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lang w:val="es-ES"/>
        </w:rPr>
      </w:pPr>
      <w:r>
        <w:rPr>
          <w:lang w:val="es-ES"/>
        </w:rPr>
      </w:r>
    </w:p>
    <w:tbl>
      <w:tblPr>
        <w:tblStyle w:val="Saretaduntaula"/>
        <w:tblW w:w="4850" w:type="pct"/>
        <w:jc w:val="left"/>
        <w:tblInd w:w="-459" w:type="dxa"/>
        <w:tblLayout w:type="fixed"/>
        <w:tblCellMar>
          <w:top w:w="0" w:type="dxa"/>
          <w:left w:w="108" w:type="dxa"/>
          <w:bottom w:w="0" w:type="dxa"/>
          <w:right w:w="108" w:type="dxa"/>
        </w:tblCellMar>
        <w:tblLook w:firstRow="1" w:noVBand="1" w:lastRow="0" w:firstColumn="1" w:lastColumn="0" w:noHBand="0" w:val="04a0"/>
      </w:tblPr>
      <w:tblGrid>
        <w:gridCol w:w="4108"/>
        <w:gridCol w:w="4276"/>
      </w:tblGrid>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2. lerroa: Eskola-kirolaren kudeaketarako eta arretarako egitura espezifikoak sortu eta  garatzeko 2025eko dirulaguntzak emateko oinarri arautzaileak.</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Línea 2:  Bases reguladoras para la concesión de subvenciones 2025 al desarrollo de estructuras específicas de gestión y atención del deporte escolar.</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lang w:val="es-ES"/>
              </w:rPr>
            </w:pPr>
            <w:r>
              <w:rPr>
                <w:rFonts w:eastAsia="Calibri" w:cs="Arial" w:ascii="Arial" w:hAnsi="Arial"/>
                <w:b/>
                <w:color w:val="000000"/>
                <w:spacing w:val="-3"/>
                <w:kern w:val="2"/>
                <w:sz w:val="22"/>
                <w:szCs w:val="22"/>
                <w:shd w:fill="FFFFFF" w:val="clear"/>
                <w:lang w:val="es-ES" w:eastAsia="en-US" w:bidi="ar-SA"/>
              </w:rPr>
              <w:t>1. Dirulaguntzaren xedearen definizioa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lang w:val="es-ES"/>
              </w:rPr>
            </w:pPr>
            <w:r>
              <w:rPr>
                <w:rFonts w:eastAsia="Calibri" w:cs="Arial" w:ascii="Arial" w:hAnsi="Arial"/>
                <w:b/>
                <w:color w:val="000000"/>
                <w:spacing w:val="-3"/>
                <w:kern w:val="2"/>
                <w:sz w:val="22"/>
                <w:szCs w:val="22"/>
                <w:shd w:fill="FFFFFF" w:val="clear"/>
                <w:lang w:val="es-ES" w:eastAsia="en-US" w:bidi="ar-SA"/>
              </w:rPr>
              <w:t>1. Definición del objeto de subvención</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omic Sans MS" w:cs="Arial"/>
                <w:spacing w:val="-3"/>
                <w:lang w:val="es-ES"/>
              </w:rPr>
            </w:pPr>
            <w:r>
              <w:rPr>
                <w:rFonts w:eastAsia="Comic Sans MS" w:cs="Arial" w:ascii="Arial" w:hAnsi="Arial"/>
                <w:spacing w:val="-3"/>
                <w:kern w:val="2"/>
                <w:sz w:val="22"/>
                <w:szCs w:val="22"/>
                <w:lang w:val="eu-ES" w:eastAsia="en-US" w:bidi="ar-SA"/>
              </w:rPr>
              <w:t xml:space="preserve">Oinarri hauen xedea da arautzea Tolosako ikastetxe edo guraso-elkarteei eskola-kirolaren programarako ematen zaizkien dirulaguntzak, lehia bidezko konkurrentzian ematen direnak. </w:t>
            </w:r>
            <w:r>
              <w:rPr>
                <w:rFonts w:eastAsia="Comic Sans MS" w:cs="Arial" w:ascii="Arial" w:hAnsi="Arial"/>
                <w:spacing w:val="-3"/>
                <w:kern w:val="2"/>
                <w:sz w:val="22"/>
                <w:szCs w:val="22"/>
                <w:lang w:val="es-ES" w:eastAsia="en-US" w:bidi="ar-SA"/>
              </w:rPr>
              <w:t xml:space="preserve">Bi atal daude: </w:t>
            </w:r>
          </w:p>
          <w:p>
            <w:pPr>
              <w:pStyle w:val="Normal"/>
              <w:widowControl w:val="false"/>
              <w:suppressAutoHyphens w:val="true"/>
              <w:spacing w:lineRule="auto" w:line="276" w:before="0" w:after="160"/>
              <w:jc w:val="both"/>
              <w:rPr>
                <w:rFonts w:ascii="Arial" w:hAnsi="Arial" w:eastAsia="Comic Sans MS" w:cs="Arial"/>
                <w:spacing w:val="-3"/>
                <w:lang w:val="es-ES"/>
              </w:rPr>
            </w:pPr>
            <w:r>
              <w:rPr>
                <w:rFonts w:eastAsia="Comic Sans MS" w:cs="Arial" w:ascii="Arial" w:hAnsi="Arial"/>
                <w:spacing w:val="-3"/>
                <w:kern w:val="2"/>
                <w:sz w:val="22"/>
                <w:szCs w:val="22"/>
                <w:lang w:val="es-ES" w:eastAsia="en-US" w:bidi="ar-SA"/>
              </w:rPr>
              <w:t>I. atala</w:t>
            </w:r>
            <w:bookmarkStart w:id="0" w:name="translation_box3"/>
            <w:bookmarkEnd w:id="0"/>
            <w:r>
              <w:rPr>
                <w:rFonts w:eastAsia="Comic Sans MS" w:cs="Arial" w:ascii="Arial" w:hAnsi="Arial"/>
                <w:spacing w:val="-3"/>
                <w:kern w:val="2"/>
                <w:sz w:val="22"/>
                <w:szCs w:val="22"/>
                <w:lang w:val="es-ES" w:eastAsia="en-US" w:bidi="ar-SA"/>
              </w:rPr>
              <w:t xml:space="preserve">: eskola-kiroleko egitura espezifiko egonkorrak sortzeko eta garatzeko. </w:t>
            </w:r>
          </w:p>
          <w:p>
            <w:pPr>
              <w:pStyle w:val="Normal"/>
              <w:widowControl w:val="false"/>
              <w:suppressAutoHyphens w:val="true"/>
              <w:spacing w:lineRule="auto" w:line="276" w:before="0" w:after="160"/>
              <w:jc w:val="both"/>
              <w:rPr>
                <w:rFonts w:ascii="Arial" w:hAnsi="Arial" w:eastAsia="Comic Sans MS" w:cs="Arial"/>
                <w:spacing w:val="-3"/>
                <w:lang w:val="es-ES"/>
              </w:rPr>
            </w:pPr>
            <w:bookmarkStart w:id="1" w:name="translation_box5"/>
            <w:bookmarkEnd w:id="1"/>
            <w:r>
              <w:rPr>
                <w:rFonts w:eastAsia="Comic Sans MS" w:cs="Arial" w:ascii="Arial" w:hAnsi="Arial"/>
                <w:spacing w:val="-3"/>
                <w:kern w:val="2"/>
                <w:sz w:val="22"/>
                <w:szCs w:val="22"/>
                <w:lang w:val="es-ES" w:eastAsia="en-US" w:bidi="ar-SA"/>
              </w:rPr>
              <w:t xml:space="preserve">II. atala: eskola-kirolaren esparruan, eskola-orduetan egiten diren eta onura dakarten jardueretarako garraio-gastuei aurre egiteko laguntzak. </w:t>
            </w:r>
          </w:p>
          <w:p>
            <w:pPr>
              <w:pStyle w:val="Normal"/>
              <w:widowControl w:val="false"/>
              <w:suppressAutoHyphens w:val="true"/>
              <w:spacing w:lineRule="auto" w:line="276" w:before="0" w:after="160"/>
              <w:jc w:val="both"/>
              <w:rPr>
                <w:rFonts w:ascii="Arial" w:hAnsi="Arial" w:eastAsia="Comic Sans MS" w:cs="Arial"/>
                <w:spacing w:val="-3"/>
                <w:lang w:val="es-ES"/>
              </w:rPr>
            </w:pPr>
            <w:r>
              <w:rPr>
                <w:rFonts w:ascii="Arial" w:hAnsi="Arial"/>
                <w:kern w:val="2"/>
                <w:sz w:val="22"/>
                <w:szCs w:val="22"/>
                <w:lang w:val="es-ES" w:eastAsia="en-US" w:bidi="ar-SA"/>
              </w:rPr>
              <w:t>Eskatzaile bakoitzak atal batean edo bietan parte hartu ahal izango du.</w:t>
            </w:r>
          </w:p>
          <w:p>
            <w:pPr>
              <w:pStyle w:val="Normal"/>
              <w:widowControl w:val="false"/>
              <w:suppressAutoHyphens w:val="true"/>
              <w:spacing w:before="0" w:after="0"/>
              <w:jc w:val="left"/>
              <w:rPr>
                <w:rFonts w:ascii="Arial" w:hAnsi="Arial" w:eastAsia="Comic Sans MS" w:cs="Arial"/>
                <w:spacing w:val="-3"/>
                <w:lang w:val="es-ES"/>
              </w:rPr>
            </w:pPr>
            <w:r>
              <w:rPr>
                <w:rFonts w:eastAsia="Comic Sans MS" w:cs="Arial" w:ascii="Arial" w:hAnsi="Arial"/>
                <w:spacing w:val="-3"/>
                <w:lang w:val="es-ES"/>
              </w:rPr>
            </w:r>
          </w:p>
          <w:p>
            <w:pPr>
              <w:pStyle w:val="Testugorputza"/>
              <w:widowControl w:val="false"/>
              <w:suppressAutoHyphens w:val="true"/>
              <w:spacing w:before="0" w:after="140"/>
              <w:jc w:val="left"/>
              <w:rPr>
                <w:rFonts w:ascii="Arial" w:hAnsi="Arial" w:eastAsia="Comic Sans MS" w:cs="Arial"/>
                <w:lang w:val="es-ES"/>
              </w:rPr>
            </w:pPr>
            <w:r>
              <w:rPr>
                <w:rFonts w:eastAsia="Comic Sans MS" w:cs="Arial" w:ascii="Arial" w:hAnsi="Arial"/>
                <w:lang w:val="es-ES"/>
              </w:rPr>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lang w:val="es-ES"/>
              </w:rPr>
            </w:pPr>
            <w:r>
              <w:rPr>
                <w:rFonts w:eastAsia="Calibri" w:cs="" w:ascii="Arial" w:hAnsi="Arial"/>
                <w:kern w:val="2"/>
                <w:sz w:val="22"/>
                <w:szCs w:val="22"/>
                <w:lang w:val="es-ES" w:eastAsia="en-US" w:bidi="ar-SA"/>
              </w:rPr>
              <w:t xml:space="preserve">Las presentes bases tienen por objeto regular la concesión de </w:t>
            </w:r>
            <w:bookmarkStart w:id="2" w:name="_Hlk193728394"/>
            <w:r>
              <w:rPr>
                <w:rFonts w:eastAsia="Calibri" w:cs="" w:ascii="Arial" w:hAnsi="Arial"/>
                <w:kern w:val="2"/>
                <w:sz w:val="22"/>
                <w:szCs w:val="22"/>
                <w:lang w:val="es-ES" w:eastAsia="en-US" w:bidi="ar-SA"/>
              </w:rPr>
              <w:t>subvenciones, en régimen de concurrencia competitiva, para el  programa de deporte escolar,  a centros escolares de Tolosa o AMPAS diferenciando dos apartados:</w:t>
            </w:r>
          </w:p>
          <w:p>
            <w:pPr>
              <w:pStyle w:val="Normal"/>
              <w:widowControl w:val="false"/>
              <w:suppressAutoHyphens w:val="true"/>
              <w:spacing w:lineRule="auto" w:line="276" w:before="0" w:after="160"/>
              <w:jc w:val="both"/>
              <w:rPr>
                <w:rFonts w:ascii="Arial" w:hAnsi="Arial" w:eastAsia="Calibri"/>
                <w:highlight w:val="yellow"/>
                <w:lang w:val="es-ES"/>
              </w:rPr>
            </w:pPr>
            <w:r>
              <w:rPr>
                <w:rFonts w:eastAsia="Calibri" w:cs="" w:ascii="Arial" w:hAnsi="Arial"/>
                <w:kern w:val="2"/>
                <w:sz w:val="22"/>
                <w:szCs w:val="22"/>
                <w:lang w:val="es-ES" w:eastAsia="en-US" w:bidi="ar-SA"/>
              </w:rPr>
              <w:t>Apartado I: ayudas a la creación y desarrollo de estructuras específicas de carácter estable para el deporte escolar.</w:t>
            </w:r>
          </w:p>
          <w:p>
            <w:pPr>
              <w:pStyle w:val="Normal"/>
              <w:widowControl w:val="false"/>
              <w:suppressAutoHyphens w:val="true"/>
              <w:spacing w:lineRule="auto" w:line="276" w:before="0" w:after="160"/>
              <w:jc w:val="both"/>
              <w:rPr>
                <w:rFonts w:ascii="Arial" w:hAnsi="Arial" w:eastAsia="Calibri"/>
                <w:lang w:val="es-ES"/>
              </w:rPr>
            </w:pPr>
            <w:r>
              <w:rPr>
                <w:rFonts w:eastAsia="Calibri" w:cs="" w:ascii="Arial" w:hAnsi="Arial"/>
                <w:kern w:val="2"/>
                <w:sz w:val="22"/>
                <w:szCs w:val="22"/>
                <w:lang w:val="es-ES" w:eastAsia="en-US" w:bidi="ar-SA"/>
              </w:rPr>
              <w:t>Apartado II: ayudas destinadas  a cubrir los gastos de transporte de actividades de carácter utilitario en el marco del deporte escolar en horario lectivo</w:t>
            </w:r>
            <w:bookmarkEnd w:id="2"/>
            <w:r>
              <w:rPr>
                <w:rFonts w:eastAsia="Calibri" w:cs="" w:ascii="Arial" w:hAnsi="Arial"/>
                <w:kern w:val="2"/>
                <w:sz w:val="22"/>
                <w:szCs w:val="22"/>
                <w:lang w:val="es-ES" w:eastAsia="en-US" w:bidi="ar-SA"/>
              </w:rPr>
              <w:t xml:space="preserve">. </w:t>
            </w:r>
          </w:p>
          <w:p>
            <w:pPr>
              <w:pStyle w:val="Normal"/>
              <w:widowControl w:val="false"/>
              <w:suppressAutoHyphens w:val="true"/>
              <w:spacing w:lineRule="auto" w:line="276" w:before="0" w:after="160"/>
              <w:jc w:val="both"/>
              <w:rPr>
                <w:rFonts w:eastAsia="Calibri"/>
                <w:lang w:val="es-ES"/>
              </w:rPr>
            </w:pPr>
            <w:bookmarkStart w:id="3" w:name="_Hlk193728505"/>
            <w:r>
              <w:rPr>
                <w:rFonts w:eastAsia="Calibri" w:cs="" w:ascii="Arial" w:hAnsi="Arial"/>
                <w:kern w:val="2"/>
                <w:sz w:val="22"/>
                <w:szCs w:val="22"/>
                <w:lang w:val="es-ES" w:eastAsia="en-US" w:bidi="ar-SA"/>
              </w:rPr>
              <w:t>Cada solicitante podrá concurrir en uno o en los dos apartados indicados.</w:t>
            </w:r>
            <w:bookmarkEnd w:id="3"/>
          </w:p>
        </w:tc>
      </w:tr>
      <w:tr>
        <w:trPr/>
        <w:tc>
          <w:tcPr>
            <w:tcW w:w="4108" w:type="dxa"/>
            <w:tcBorders>
              <w:top w:val="nil"/>
              <w:left w:val="nil"/>
              <w:bottom w:val="nil"/>
              <w:right w:val="nil"/>
            </w:tcBorders>
          </w:tcPr>
          <w:p>
            <w:pPr>
              <w:pStyle w:val="Normal"/>
              <w:widowControl w:val="false"/>
              <w:suppressAutoHyphens w:val="true"/>
              <w:spacing w:lineRule="atLeast" w:line="200" w:before="0" w:after="160"/>
              <w:jc w:val="both"/>
              <w:rPr>
                <w:rFonts w:ascii="Arial" w:hAnsi="Arial" w:eastAsia="Calibri"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2. Dirulaguntzen Plan Estrategikoan txertatzea</w:t>
            </w:r>
          </w:p>
        </w:tc>
        <w:tc>
          <w:tcPr>
            <w:tcW w:w="4276" w:type="dxa"/>
            <w:tcBorders>
              <w:top w:val="nil"/>
              <w:left w:val="nil"/>
              <w:bottom w:val="nil"/>
              <w:right w:val="nil"/>
            </w:tcBorders>
          </w:tcPr>
          <w:p>
            <w:pPr>
              <w:pStyle w:val="Normal"/>
              <w:widowControl w:val="false"/>
              <w:suppressAutoHyphens w:val="true"/>
              <w:spacing w:lineRule="auto" w:line="240" w:before="0" w:after="160"/>
              <w:jc w:val="both"/>
              <w:rPr>
                <w:rFonts w:ascii="Arial" w:hAnsi="Arial" w:eastAsia="Calibri"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2. Integración en el Plan Estratégico de Subvenciones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s-ES"/>
              </w:rPr>
            </w:pPr>
            <w:r>
              <w:rPr>
                <w:rStyle w:val="Formcontroltext"/>
                <w:rFonts w:eastAsia="Calibri" w:cs="Arial" w:ascii="Arial" w:hAnsi="Arial"/>
                <w:kern w:val="2"/>
                <w:sz w:val="22"/>
                <w:szCs w:val="22"/>
                <w:lang w:val="es-ES" w:eastAsia="en-US" w:bidi="ar-SA"/>
              </w:rPr>
              <w:t>Dirulaguntza-lerro hau Tolosako Udalaren 2023-2025 aldirako Dirulaguntzen Plan Estrategikoan sartuta dago. Osoko Bilkurak onartu zuen plan hori 2022ko abenduaren 15ean (GAO, 21. zk., 2023ko otsailaren 1ekoa).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Cs/>
                <w:color w:val="000000"/>
                <w:spacing w:val="-3"/>
                <w:shd w:fill="FFFFFF" w:val="clear"/>
                <w:lang w:val="es-ES"/>
              </w:rPr>
            </w:pPr>
            <w:r>
              <w:rPr>
                <w:rFonts w:eastAsia="Calibri" w:cs="Arial" w:ascii="Arial" w:hAnsi="Arial"/>
                <w:bCs/>
                <w:color w:val="000000"/>
                <w:spacing w:val="-3"/>
                <w:kern w:val="2"/>
                <w:sz w:val="22"/>
                <w:szCs w:val="22"/>
                <w:shd w:fill="FFFFFF" w:val="clear"/>
                <w:lang w:val="es-ES" w:eastAsia="en-US" w:bidi="ar-SA"/>
              </w:rPr>
              <w:t>Esta línea de subvenciones está incluida en el Plan Estratégico de Subvenciones del Ayuntamiento de Tolosa 2023-2025, aprobado por el Pleno del Ayuntamiento en sesión celebrada el 15 de diciembre de 2022 (BOG n.º 21 de 1 de febrero de 2023).</w:t>
            </w:r>
          </w:p>
        </w:tc>
      </w:tr>
      <w:tr>
        <w:trPr/>
        <w:tc>
          <w:tcPr>
            <w:tcW w:w="4108" w:type="dxa"/>
            <w:tcBorders>
              <w:top w:val="nil"/>
              <w:left w:val="nil"/>
              <w:bottom w:val="nil"/>
              <w:right w:val="nil"/>
            </w:tcBorders>
          </w:tcPr>
          <w:p>
            <w:pPr>
              <w:pStyle w:val="Normal"/>
              <w:widowControl w:val="false"/>
              <w:suppressAutoHyphens w:val="true"/>
              <w:spacing w:lineRule="atLeast" w:line="200" w:before="0" w:after="160"/>
              <w:jc w:val="both"/>
              <w:rPr>
                <w:rFonts w:ascii="Arial" w:hAnsi="Arial" w:cs="Arial"/>
                <w:b/>
                <w:b/>
                <w:spacing w:val="-3"/>
                <w:shd w:fill="FFFFFF" w:val="clear"/>
                <w:lang w:val="es-ES"/>
              </w:rPr>
            </w:pPr>
            <w:r>
              <w:rPr>
                <w:rFonts w:eastAsia="Calibri" w:cs="Arial" w:ascii="Arial" w:hAnsi="Arial"/>
                <w:b/>
                <w:color w:val="000000"/>
                <w:spacing w:val="-3"/>
                <w:kern w:val="2"/>
                <w:sz w:val="22"/>
                <w:szCs w:val="22"/>
                <w:shd w:fill="FFFFFF" w:val="clear"/>
                <w:lang w:val="es-ES" w:eastAsia="en-US" w:bidi="ar-SA"/>
              </w:rPr>
              <w:t>3. Entitate onuradunak</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3. Entidades beneficiarias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Cs/>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 xml:space="preserve">Entitate onuradun izan ahalko dira Tolosako </w:t>
            </w:r>
            <w:r>
              <w:rPr>
                <w:rFonts w:eastAsia="Comic Sans MS" w:cs="Arial" w:ascii="Arial" w:hAnsi="Arial"/>
                <w:spacing w:val="-3"/>
                <w:kern w:val="2"/>
                <w:sz w:val="22"/>
                <w:szCs w:val="22"/>
                <w:lang w:val="eu-ES" w:eastAsia="en-US" w:bidi="ar-SA"/>
              </w:rPr>
              <w:t>ikastetxeak edo guraso-elkarteak</w:t>
            </w:r>
            <w:r>
              <w:rPr>
                <w:rFonts w:eastAsia="Calibri" w:cs="Arial" w:ascii="Arial" w:hAnsi="Arial"/>
                <w:bCs/>
                <w:color w:val="000000"/>
                <w:spacing w:val="-3"/>
                <w:kern w:val="2"/>
                <w:sz w:val="22"/>
                <w:szCs w:val="22"/>
                <w:shd w:fill="FFFFFF" w:val="clear"/>
                <w:lang w:val="eu-ES" w:eastAsia="en-US" w:bidi="ar-SA"/>
              </w:rPr>
              <w:t>, baldin eta oinarri hauetan eta dagokien deialdian ezarritako baldintzak betetzen badituzte.</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color w:val="000000"/>
                <w:spacing w:val="-3"/>
                <w:shd w:fill="FFFFFF" w:val="clear"/>
                <w:lang w:val="es-ES"/>
              </w:rPr>
            </w:pPr>
            <w:r>
              <w:rPr>
                <w:rFonts w:eastAsia="Calibri" w:cs="Arial" w:ascii="Arial" w:hAnsi="Arial"/>
                <w:bCs/>
                <w:color w:val="000000"/>
                <w:spacing w:val="-3"/>
                <w:kern w:val="2"/>
                <w:sz w:val="22"/>
                <w:szCs w:val="22"/>
                <w:shd w:fill="FFFFFF" w:val="clear"/>
                <w:lang w:val="es-ES" w:eastAsia="en-US" w:bidi="ar-SA"/>
              </w:rPr>
              <w:t>Podrán obtener la condición de entidad beneficiaria los centros escolares y AMPAS de Tolosa que cumplan con los requisitos establecidos en las presentes bases y en esta convocatoria.</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lang w:val="en-GB"/>
              </w:rPr>
            </w:pPr>
            <w:r>
              <w:rPr>
                <w:rFonts w:eastAsia="Calibri" w:cs="Arial" w:ascii="Arial" w:hAnsi="Arial"/>
                <w:b/>
                <w:color w:val="000000"/>
                <w:spacing w:val="-3"/>
                <w:kern w:val="2"/>
                <w:sz w:val="22"/>
                <w:szCs w:val="22"/>
                <w:shd w:fill="FFFFFF" w:val="clear"/>
                <w:lang w:val="en-GB" w:eastAsia="en-US" w:bidi="ar-SA"/>
              </w:rPr>
              <w:t>4. Entitate onuradunek dirulaguntza jasotzeko bete beharreko baldintzak</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4. Requisitos que deben reunir las entidades beneficiarias para la obtención de subvenciones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lang w:val="en-GB"/>
              </w:rPr>
            </w:pPr>
            <w:r>
              <w:rPr>
                <w:rFonts w:eastAsia="Arial" w:cs="Arial" w:ascii="Arial" w:hAnsi="Arial"/>
                <w:kern w:val="2"/>
                <w:sz w:val="22"/>
                <w:szCs w:val="22"/>
                <w:lang w:val="en-GB" w:eastAsia="en-US" w:bidi="ar-SA"/>
              </w:rPr>
              <w:t>Hona hemen entitate onuradunek bete beharreko baldintza orokorrak:</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lang w:val="es-ES"/>
              </w:rPr>
            </w:pPr>
            <w:r>
              <w:rPr>
                <w:rFonts w:eastAsia="Calibri" w:cs="Arial" w:ascii="Arial" w:hAnsi="Arial"/>
                <w:spacing w:val="-3"/>
                <w:kern w:val="2"/>
                <w:sz w:val="22"/>
                <w:szCs w:val="22"/>
                <w:lang w:val="es-ES" w:eastAsia="en-US" w:bidi="ar-SA"/>
              </w:rPr>
              <w:t>Los requisitos generales a cumplir por las entidades beneficiarias son las siguientes: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lang w:val="es-ES"/>
              </w:rPr>
            </w:pPr>
            <w:r>
              <w:rPr>
                <w:rFonts w:eastAsia="Calibri" w:cs="Arial" w:ascii="Arial" w:hAnsi="Arial"/>
                <w:kern w:val="2"/>
                <w:sz w:val="22"/>
                <w:szCs w:val="22"/>
                <w:lang w:val="es-ES" w:eastAsia="en-US" w:bidi="ar-SA"/>
              </w:rPr>
              <w:t>1. Zerga-betebeharrak eta Gizarte Segurantzarekikoak beteta izatea.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lang w:val="es-ES"/>
              </w:rPr>
            </w:pPr>
            <w:r>
              <w:rPr>
                <w:rFonts w:eastAsia="Calibri" w:cs="Arial" w:ascii="Arial" w:hAnsi="Arial"/>
                <w:spacing w:val="-3"/>
                <w:kern w:val="2"/>
                <w:sz w:val="22"/>
                <w:szCs w:val="22"/>
                <w:lang w:val="es-ES" w:eastAsia="en-US" w:bidi="ar-SA"/>
              </w:rPr>
              <w:t>1. Estar al corriente en el cumplimiento de sus obligaciones tributarias y de Seguridad Social.</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Calibri" w:cs="Arial" w:ascii="Arial" w:hAnsi="Arial"/>
                <w:kern w:val="2"/>
                <w:sz w:val="22"/>
                <w:szCs w:val="22"/>
                <w:lang w:val="eu-ES" w:eastAsia="en-US" w:bidi="ar-SA"/>
              </w:rPr>
              <w:t>2. Betearazte-aldian Tolosako Udalarekin zerga-zorrik edo -zehapenik ez izatea, non eta ez dauden geroratuta, zatikatuta edo betearazpena etenda.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lang w:val="es-ES"/>
              </w:rPr>
            </w:pPr>
            <w:r>
              <w:rPr>
                <w:rFonts w:eastAsia="Calibri" w:cs="Arial" w:ascii="Arial" w:hAnsi="Arial"/>
                <w:spacing w:val="-3"/>
                <w:kern w:val="2"/>
                <w:sz w:val="22"/>
                <w:szCs w:val="22"/>
                <w:lang w:val="es-ES" w:eastAsia="en-US" w:bidi="ar-SA"/>
              </w:rPr>
              <w:t>2. No mantener deudas o sanciones tributarias en periodo ejecutivo con el Ayuntamiento de Tolosa, salvo que se encuentren aplazadas, fraccionadas o cuya ejecución estuviese suspendida.</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Calibri" w:cs="Arial" w:ascii="Arial" w:hAnsi="Arial"/>
                <w:kern w:val="2"/>
                <w:sz w:val="22"/>
                <w:szCs w:val="22"/>
                <w:lang w:val="eu-ES" w:eastAsia="en-US" w:bidi="ar-SA"/>
              </w:rPr>
              <w:t>3. Ez egotea Dirulaguntzei buruzko 38/2003 Lege Orokorraren 13. artikuluan adierazitako kasuren batean.</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lang w:val="es-ES"/>
              </w:rPr>
            </w:pPr>
            <w:r>
              <w:rPr>
                <w:rFonts w:eastAsia="Calibri" w:cs="Arial" w:ascii="Arial" w:hAnsi="Arial"/>
                <w:kern w:val="2"/>
                <w:sz w:val="22"/>
                <w:szCs w:val="22"/>
                <w:lang w:val="es-ES" w:eastAsia="en-US" w:bidi="ar-SA"/>
              </w:rPr>
              <w:t>3. No encontrarse en cualquiera de los supuestos señalados en el artículo 13 de la Ley 38/2003, General de Subvenciones.</w:t>
            </w:r>
            <w:r>
              <w:rPr>
                <w:rFonts w:eastAsia="Arial" w:cs="Arial" w:ascii="Arial" w:hAnsi="Arial"/>
                <w:kern w:val="2"/>
                <w:sz w:val="22"/>
                <w:szCs w:val="22"/>
                <w:lang w:val="es-ES" w:eastAsia="en-US" w:bidi="ar-SA"/>
              </w:rPr>
              <w:t xml:space="preserve"> </w:t>
            </w:r>
          </w:p>
        </w:tc>
      </w:tr>
      <w:tr>
        <w:trPr/>
        <w:tc>
          <w:tcPr>
            <w:tcW w:w="4108" w:type="dxa"/>
            <w:tcBorders>
              <w:top w:val="nil"/>
              <w:left w:val="nil"/>
              <w:bottom w:val="nil"/>
              <w:right w:val="nil"/>
            </w:tcBorders>
          </w:tcPr>
          <w:p>
            <w:pPr>
              <w:pStyle w:val="Testugorputza"/>
              <w:widowControl w:val="false"/>
              <w:suppressAutoHyphens w:val="true"/>
              <w:spacing w:lineRule="auto" w:line="276" w:before="0" w:after="0"/>
              <w:jc w:val="both"/>
              <w:rPr>
                <w:rFonts w:ascii="Arial" w:hAnsi="Arial" w:eastAsia="Arial" w:cs="Arial"/>
                <w:sz w:val="22"/>
                <w:szCs w:val="22"/>
              </w:rPr>
            </w:pPr>
            <w:r>
              <w:rPr>
                <w:rFonts w:eastAsia="Arial" w:cs="Arial" w:ascii="Arial" w:hAnsi="Arial"/>
                <w:sz w:val="22"/>
                <w:szCs w:val="22"/>
                <w:lang w:val="eu-ES" w:bidi="ar-SA"/>
              </w:rPr>
              <w:t xml:space="preserve">4. Ez izatea administrazio-, lan- edo zigor-zehapen irmorik dagokion zehapenean ezarritako aldian berdintasunerako eskubidea eta sexuagatiko diskriminaziorik eza urratzeagatik, </w:t>
            </w:r>
            <w:r>
              <w:rPr>
                <w:rFonts w:cs="Arial" w:ascii="Arial" w:hAnsi="Arial"/>
                <w:sz w:val="22"/>
                <w:szCs w:val="22"/>
                <w:lang w:val="eu-ES" w:bidi="ar-SA"/>
              </w:rPr>
              <w:t>ez izatea Emakumeen eta Gizonen Berdintasunerako eta Indarkeria Matxistarik gabeko Bizitzetarako Legearen testu bategina onartzen duen martxoaren 16ko 1/2023 Legegintzako Dekretuan ezarritako debekurik, ez eta araudi aplikagarrietan ezarritako bestelako kausarik ere.</w:t>
            </w:r>
          </w:p>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Calibri" w:cs="Arial" w:ascii="Arial" w:hAnsi="Arial"/>
                <w:b/>
                <w:color w:val="000000"/>
                <w:spacing w:val="-3"/>
                <w:shd w:fill="FFFFFF" w:val="clear"/>
              </w:rPr>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lang w:val="es-ES"/>
              </w:rPr>
            </w:pPr>
            <w:r>
              <w:rPr>
                <w:rFonts w:eastAsia="Calibri" w:cs="Arial" w:ascii="Arial" w:hAnsi="Arial"/>
                <w:kern w:val="2"/>
                <w:sz w:val="22"/>
                <w:szCs w:val="22"/>
                <w:lang w:val="es-ES" w:eastAsia="en-US" w:bidi="ar-SA"/>
              </w:rPr>
              <w:t>4. No estar incurso/a en sanción administrativa, laboral o penal de forma firme por haber vulnerado el derecho a la igualdad y a la no discriminación por razón de sexo durante el periodo impuesto en la correspondiente sanción, o no estar incurso/a en ninguna prohibición establecida en el Decreto Legislativo 1/2023, de 16 de marzo, por el que se aprueba el texto refundido de la Ley para la Igualdad de Mujeres y Hombres y Vidas Libres de Violencia Machista contra las Mujeres, o en cualquier otra causa estipulada en las normativas aplicables.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cs="Arial" w:ascii="Arial" w:hAnsi="Arial"/>
                <w:kern w:val="2"/>
                <w:sz w:val="22"/>
                <w:szCs w:val="22"/>
                <w:lang w:val="eu-ES" w:eastAsia="eu-ES" w:bidi="ar-SA"/>
              </w:rPr>
              <w:t>5. Ez egitea  emakumeen edo emakume-taldeen sexuagatiko diskriminazioa edo diskriminazio anizkoitzeko faktoreak eragiten dituzten jarduerak, diskriminazio- egoerak eragin ditzaketen beste faktore batzuk gertatzen direnean, hala nola arraza, kolorea, jatorri etnikoa, hizkuntza, erlijioa, politikari edo bestelako gaiei buruzko iritzia, gutxiengo nazional bateko kide izatea, ondarea, jaioterria, desgaitasuna, adina, sexu-joera, genero-identitatea, genero-adierazpena, migrazio-prozesua, errefuxiatu-estatusa, kultura, landa-jatorria, gizarte-bazterketako egoera, seropositibitate-egoera, guraso bakarreko familia, familia-konfigurazioa edo beste edozein baldintza edo inguruabar pertsonal, sozial edo administratibo.</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lang w:val="es-ES"/>
              </w:rPr>
            </w:pPr>
            <w:r>
              <w:rPr>
                <w:rFonts w:eastAsia="Calibri" w:cs="Arial" w:ascii="Arial" w:hAnsi="Arial"/>
                <w:kern w:val="2"/>
                <w:sz w:val="22"/>
                <w:szCs w:val="22"/>
                <w:lang w:val="es-ES" w:eastAsia="eu-ES" w:bidi="ar-SA"/>
                <w14:ligatures w14:val="none"/>
              </w:rPr>
              <w:t>5. No realizar actividades que supongan discriminación por razón de sexo o factores de discriminación múltiple, de mujeres o grupos de mujeres, cuando concurran otros factores que puedan dar lugar a situaciones de discriminación, tales como la raza, el color, el origen étnico, la lengua, la religión, la opinión política o de otra índole, la pertenencia a una minoría nacional, el patrimonio, el lugar de nacimiento, la discapacidad, la edad, la orientación sexual, la identidad de género, la expresión de género, el proceso migratorio, el estatus de refugiado, la cultura, el origen rural, la situación de exclusión social, la situación de seropositividad, la familia monoparental, la configuración familiar o cualquier otra condición o circunstancia personal, social o administrativa.</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lang w:val="en-GB"/>
              </w:rPr>
            </w:pPr>
            <w:r>
              <w:rPr>
                <w:rFonts w:eastAsia="Arial" w:cs="Arial" w:ascii="Arial" w:hAnsi="Arial"/>
                <w:spacing w:val="-4"/>
                <w:kern w:val="2"/>
                <w:sz w:val="22"/>
                <w:szCs w:val="22"/>
                <w:lang w:val="en-GB" w:eastAsia="en-US" w:bidi="ar-SA"/>
              </w:rPr>
              <w:t>Hona hemen onuradunek bete beharreko baldintza espezifikoak:</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lang w:val="es-ES"/>
              </w:rPr>
            </w:pPr>
            <w:r>
              <w:rPr>
                <w:rFonts w:eastAsia="Calibri" w:cs="Arial" w:ascii="Arial" w:hAnsi="Arial"/>
                <w:spacing w:val="-3"/>
                <w:kern w:val="2"/>
                <w:sz w:val="22"/>
                <w:szCs w:val="22"/>
                <w:lang w:val="es-ES" w:eastAsia="en-US" w:bidi="ar-SA"/>
              </w:rPr>
              <w:t>Los requisitos específicos a cumplir por las entidades beneficiarias son:</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Calibri" w:cs="Arial" w:ascii="Arial" w:hAnsi="Arial"/>
                <w:iCs/>
                <w:kern w:val="2"/>
                <w:sz w:val="22"/>
                <w:szCs w:val="22"/>
                <w:lang w:val="eu-ES" w:eastAsia="en-US" w:bidi="ar-SA"/>
              </w:rPr>
              <w:t>1. Diruz lagundutako jarduerak bat etorri behar du haren xede edo helburu sozialekin.</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lang w:val="es-ES"/>
              </w:rPr>
            </w:pPr>
            <w:r>
              <w:rPr>
                <w:rFonts w:eastAsia="Calibri" w:cs="Arial" w:ascii="Arial" w:hAnsi="Arial"/>
                <w:iCs/>
                <w:kern w:val="2"/>
                <w:sz w:val="22"/>
                <w:szCs w:val="22"/>
                <w:lang w:val="es-ES" w:eastAsia="en-US" w:bidi="ar-SA"/>
              </w:rPr>
              <w:t>1. La actividad subvencionada debe tener cabida dentro del objeto o fines sociales de la misma.</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lang w:val="es-ES"/>
              </w:rPr>
            </w:pPr>
            <w:r>
              <w:rPr>
                <w:rFonts w:eastAsia="Calibri" w:cs="Arial" w:ascii="Arial" w:hAnsi="Arial"/>
                <w:spacing w:val="-3"/>
                <w:kern w:val="2"/>
                <w:sz w:val="22"/>
                <w:szCs w:val="22"/>
                <w:shd w:fill="FFFFFF" w:val="clear"/>
                <w:lang w:val="es-ES" w:eastAsia="en-US" w:bidi="ar-SA"/>
              </w:rPr>
              <w:t>2. Tolosan izatea egoitza soziala.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lang w:val="es-ES"/>
              </w:rPr>
            </w:pPr>
            <w:r>
              <w:rPr>
                <w:rFonts w:eastAsia="Calibri" w:cs="Arial" w:ascii="Arial" w:hAnsi="Arial"/>
                <w:spacing w:val="-3"/>
                <w:kern w:val="2"/>
                <w:sz w:val="22"/>
                <w:szCs w:val="22"/>
                <w:lang w:val="es-ES" w:eastAsia="en-US" w:bidi="ar-SA"/>
              </w:rPr>
              <w:t>2. Tener la sede social en Tolosa.</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lang w:val="es-ES"/>
              </w:rPr>
            </w:pPr>
            <w:r>
              <w:rPr>
                <w:rFonts w:eastAsia="Calibri" w:cs="Arial" w:ascii="Arial" w:hAnsi="Arial"/>
                <w:spacing w:val="-3"/>
                <w:kern w:val="2"/>
                <w:sz w:val="22"/>
                <w:szCs w:val="22"/>
                <w:shd w:fill="FFFFFF" w:val="clear"/>
                <w:lang w:val="es-ES" w:eastAsia="en-US" w:bidi="ar-SA"/>
              </w:rPr>
              <w:t>3. Gipuzkoan eskola-kirolari buruz indarrean dagoen araudian ezarritakoa betetzea.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lang w:val="es-ES"/>
              </w:rPr>
            </w:pPr>
            <w:r>
              <w:rPr>
                <w:rFonts w:eastAsia="Calibri" w:cs="Arial" w:ascii="Arial" w:hAnsi="Arial"/>
                <w:spacing w:val="-3"/>
                <w:kern w:val="2"/>
                <w:sz w:val="22"/>
                <w:szCs w:val="22"/>
                <w:lang w:val="es-ES" w:eastAsia="en-US" w:bidi="ar-SA"/>
              </w:rPr>
              <w:t>3. Cumplir lo dispuesto en la normativa vigente en Gipuzkoa sobre Deporte Escolar.</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rPr>
            </w:pPr>
            <w:r>
              <w:rPr>
                <w:rFonts w:eastAsia="Calibri" w:cs="Arial" w:ascii="Arial" w:hAnsi="Arial"/>
                <w:bCs/>
                <w:spacing w:val="-3"/>
                <w:kern w:val="2"/>
                <w:sz w:val="22"/>
                <w:szCs w:val="22"/>
                <w:shd w:fill="FFFFFF" w:val="clear"/>
                <w:lang w:val="eu-ES" w:eastAsia="en-US" w:bidi="ar-SA"/>
              </w:rPr>
              <w:t>4. Gipuzkoako Foru Aldundiaren eta Tolosako Udalaren irizpideekin bat datorren jarduera-egitarau bat  (Jolashezi, Multikirola) diseinatzea, neskek eta mutilek tratu eta aukera berdinak izango dituztela bermatuta.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color w:val="000000"/>
                <w:spacing w:val="-3"/>
                <w:shd w:fill="FFFFFF" w:val="clear"/>
                <w:lang w:val="es-ES"/>
              </w:rPr>
            </w:pPr>
            <w:r>
              <w:rPr>
                <w:rFonts w:eastAsia="Calibri" w:cs="Arial" w:ascii="Arial" w:hAnsi="Arial"/>
                <w:spacing w:val="-3"/>
                <w:kern w:val="2"/>
                <w:sz w:val="22"/>
                <w:szCs w:val="22"/>
                <w:lang w:val="es-ES" w:eastAsia="en-US" w:bidi="ar-SA"/>
              </w:rPr>
              <w:t>4. Diseñar un programa de actividad (Jolashezi, Multikirola) acorde a las directrices de la Diputación Foral de Gipuzkoa y del Ayuntamiento de Tolosa, que garantice la igualdad de trato y oportunidades de niñas y niños.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 xml:space="preserve">5. </w:t>
            </w:r>
            <w:r>
              <w:rPr>
                <w:rFonts w:eastAsia="Arial" w:cs="Arial" w:ascii="Arial" w:hAnsi="Arial"/>
                <w:b/>
                <w:bCs/>
                <w:kern w:val="2"/>
                <w:sz w:val="22"/>
                <w:szCs w:val="22"/>
                <w:lang w:val="es-ES" w:eastAsia="en-US" w:bidi="ar-SA"/>
              </w:rPr>
              <w:t>Dirulaguntzak emateko prozedura.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5. Procedimiento de concesión.</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lang w:val="es-ES"/>
              </w:rPr>
            </w:pPr>
            <w:r>
              <w:rPr>
                <w:rFonts w:eastAsia="Calibri" w:cs="Arial" w:ascii="Arial" w:hAnsi="Arial"/>
                <w:kern w:val="2"/>
                <w:sz w:val="22"/>
                <w:szCs w:val="22"/>
                <w:lang w:val="es-ES" w:eastAsia="en-US" w:bidi="ar-SA"/>
              </w:rPr>
              <w:t>Lehia bidezko prozedura erabiliko da, deialdi eta hautaketa-prozedura bakarraren bidez.</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El procedimiento de concesión será el de concurrencia competitiva, mediante convocatoria y procedimiento selectivo único.</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Calibri" w:cs="Arial" w:ascii="Arial" w:hAnsi="Arial"/>
                <w:kern w:val="2"/>
                <w:sz w:val="22"/>
                <w:szCs w:val="22"/>
                <w:lang w:val="eu-ES" w:eastAsia="en-US" w:bidi="ar-SA"/>
              </w:rPr>
              <w:t>Prozedura ofizioz hasiko da deialdi publiko bidez, organo eskudunak onartuta eta Dirulaguntzen Datu Base Nazionalean (BDNS) eta Gipuzkoako Aldizkari Ofizialean argitaratuta.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El procedimiento se iniciará de oficio mediante convocatoria pública, aprobada por el órgano competente y publicada en la Base Nacional de Subvenciones, así como en el Boletín Oficial de Gipuzkoa.</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Calibri" w:cs="Arial" w:ascii="Arial" w:hAnsi="Arial"/>
                <w:kern w:val="2"/>
                <w:sz w:val="22"/>
                <w:szCs w:val="22"/>
                <w:lang w:val="eu-ES" w:eastAsia="en-US" w:bidi="ar-SA"/>
              </w:rPr>
              <w:t>Prozedura honen bidez, dirulaguntzak emateko, oinarri hauetan ezarritako irizpideen arabera ebaluatzen dira aurkeztutako eskaerak.</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color w:val="000000"/>
                <w:lang w:val="es-ES"/>
              </w:rPr>
            </w:pPr>
            <w:r>
              <w:rPr>
                <w:rFonts w:eastAsia="Calibri" w:cs="Arial" w:ascii="Arial" w:hAnsi="Arial"/>
                <w:color w:val="000000"/>
                <w:spacing w:val="-3"/>
                <w:kern w:val="2"/>
                <w:sz w:val="22"/>
                <w:szCs w:val="22"/>
                <w:shd w:fill="FFFFFF" w:val="clear"/>
                <w:lang w:val="es-ES" w:eastAsia="en-US" w:bidi="ar-SA"/>
              </w:rPr>
              <w:t>Mediante este procedimiento la concesi</w:t>
            </w:r>
            <w:r>
              <w:rPr>
                <w:rFonts w:eastAsia="Calibri" w:cs="Arial" w:ascii="Arial" w:hAnsi="Arial"/>
                <w:color w:val="000000"/>
                <w:kern w:val="2"/>
                <w:sz w:val="22"/>
                <w:szCs w:val="22"/>
                <w:lang w:val="es-ES" w:eastAsia="en-US" w:bidi="ar-SA"/>
              </w:rPr>
              <w:t>ón de subvenciones se realiza evaluando las solicitudes presentadas de acuerdo con los criterios establecidos en las presentes bases.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 xml:space="preserve">6. </w:t>
            </w:r>
            <w:r>
              <w:rPr>
                <w:rFonts w:eastAsia="Calibri" w:cs="Arial" w:ascii="Arial" w:hAnsi="Arial"/>
                <w:b/>
                <w:bCs/>
                <w:kern w:val="2"/>
                <w:sz w:val="22"/>
                <w:szCs w:val="22"/>
                <w:lang w:val="es-ES" w:eastAsia="en-US" w:bidi="ar-SA"/>
              </w:rPr>
              <w:t>Diruz lagun daitezkeen gastuak</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6. Gastos subvencionables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Times New Roman" w:cs="Arial" w:ascii="Arial" w:hAnsi="Arial"/>
                <w:spacing w:val="-4"/>
                <w:kern w:val="0"/>
                <w:sz w:val="22"/>
                <w:szCs w:val="22"/>
                <w:lang w:val="eu-ES" w:eastAsia="eu-ES" w:bidi="ar-SA"/>
                <w14:ligatures w14:val="none"/>
              </w:rPr>
              <w:t>Dirulaguntza jaso dezaketen gastutzat hartzen dira baldintza hauek betetzen dituztenak: batere zalantzarik gabe lagundutako jardueraren izaerarekin bat etortzea; deialdian ezarritako epearen barruan egitea; eskuraketa-balioa merkatuko balioa baino handiagoa ez izatea; eta justifikatzeko epea bukatu aurretik egiaz ordaintzea.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lang w:val="es-ES"/>
              </w:rPr>
            </w:pPr>
            <w:r>
              <w:rPr>
                <w:rFonts w:eastAsia="Calibri" w:cs="Arial" w:ascii="Arial" w:hAnsi="Arial"/>
                <w:kern w:val="2"/>
                <w:sz w:val="22"/>
                <w:szCs w:val="22"/>
                <w:lang w:val="es-ES" w:eastAsia="en-US" w:bidi="ar-SA"/>
              </w:rPr>
              <w:t>Se consideran gastos subvencionables aquellos que cumplan con la naturaleza inequívoca de la actividad subvencionada, que se realicen dentro del plazo establecido en la convocatoria, que el valor de adquisición no supere el valor de mercado y que se abonen efectivamente antes de la finalización del plazo de justificación.</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Cs/>
                <w:color w:val="000000"/>
                <w:spacing w:val="-3"/>
                <w:shd w:fill="FFFFFF" w:val="clear"/>
                <w:lang w:val="es-ES"/>
              </w:rPr>
            </w:pPr>
            <w:r>
              <w:rPr>
                <w:rFonts w:eastAsia="Calibri" w:cs="Arial" w:ascii="Arial" w:hAnsi="Arial"/>
                <w:bCs/>
                <w:color w:val="000000"/>
                <w:spacing w:val="-3"/>
                <w:kern w:val="2"/>
                <w:sz w:val="22"/>
                <w:szCs w:val="22"/>
                <w:shd w:fill="FFFFFF" w:val="clear"/>
                <w:lang w:val="es-ES" w:eastAsia="en-US" w:bidi="ar-SA"/>
              </w:rPr>
              <w:t>Hauek dira diruz lagun daitezkeen gastuak:</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lang w:val="es-ES"/>
              </w:rPr>
            </w:pPr>
            <w:r>
              <w:rPr>
                <w:rFonts w:eastAsia="Calibri" w:cs="Arial" w:ascii="Arial" w:hAnsi="Arial"/>
                <w:kern w:val="2"/>
                <w:sz w:val="22"/>
                <w:szCs w:val="22"/>
                <w:lang w:val="es-ES" w:eastAsia="en-US" w:bidi="ar-SA"/>
              </w:rPr>
              <w:t>Los gastos subvencionables son los siguientes: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Cs/>
                <w:color w:val="000000"/>
                <w:spacing w:val="-3"/>
                <w:shd w:fill="FFFFFF" w:val="clear"/>
                <w:lang w:val="es-ES"/>
              </w:rPr>
            </w:pPr>
            <w:bookmarkStart w:id="4" w:name="translation_box"/>
            <w:bookmarkEnd w:id="4"/>
            <w:r>
              <w:rPr>
                <w:rFonts w:eastAsia="Calibri" w:cs="Arial" w:ascii="Arial" w:hAnsi="Arial"/>
                <w:bCs/>
                <w:color w:val="000000"/>
                <w:spacing w:val="-3"/>
                <w:kern w:val="2"/>
                <w:sz w:val="22"/>
                <w:szCs w:val="22"/>
                <w:shd w:fill="FFFFFF" w:val="clear"/>
                <w:lang w:val="es-ES" w:eastAsia="en-US" w:bidi="ar-SA"/>
              </w:rPr>
              <w:t xml:space="preserve">I. atalean, helburua izanda eskola-kiroleko jardueren kudeaketa eta arreta hobetzea: </w:t>
            </w:r>
          </w:p>
          <w:p>
            <w:pPr>
              <w:pStyle w:val="Normal"/>
              <w:widowControl w:val="false"/>
              <w:numPr>
                <w:ilvl w:val="0"/>
                <w:numId w:val="14"/>
              </w:numPr>
              <w:suppressAutoHyphens w:val="true"/>
              <w:spacing w:lineRule="auto" w:line="276" w:before="0" w:after="160"/>
              <w:jc w:val="left"/>
              <w:rPr>
                <w:rFonts w:ascii="Arial" w:hAnsi="Arial" w:cs="Arial"/>
                <w:bCs/>
                <w:color w:val="000000"/>
                <w:spacing w:val="-3"/>
                <w:shd w:fill="FFFFFF" w:val="clear"/>
                <w:lang w:val="es-ES"/>
              </w:rPr>
            </w:pPr>
            <w:r>
              <w:rPr>
                <w:rFonts w:eastAsia="Calibri"/>
                <w:kern w:val="2"/>
                <w:sz w:val="22"/>
                <w:szCs w:val="22"/>
                <w:lang w:val="es-ES" w:eastAsia="en-US" w:bidi="ar-SA"/>
              </w:rPr>
              <w:t xml:space="preserve"> </w:t>
            </w:r>
            <w:r>
              <w:rPr>
                <w:rFonts w:eastAsia="Calibri" w:cs="Arial" w:ascii="Arial" w:hAnsi="Arial"/>
                <w:bCs/>
                <w:color w:val="000000"/>
                <w:spacing w:val="-3"/>
                <w:kern w:val="2"/>
                <w:sz w:val="22"/>
                <w:szCs w:val="22"/>
                <w:shd w:fill="FFFFFF" w:val="clear"/>
                <w:lang w:val="es-ES" w:eastAsia="en-US" w:bidi="ar-SA"/>
              </w:rPr>
              <w:t>Eskola-kirolaren koordinatzaile pedagogikoa</w:t>
            </w:r>
            <w:r>
              <w:rPr>
                <w:rFonts w:eastAsia="Calibri"/>
                <w:kern w:val="2"/>
                <w:sz w:val="22"/>
                <w:szCs w:val="22"/>
                <w:lang w:val="es-ES" w:eastAsia="en-US" w:bidi="ar-SA"/>
              </w:rPr>
              <w:t xml:space="preserve"> </w:t>
            </w:r>
          </w:p>
          <w:p>
            <w:pPr>
              <w:pStyle w:val="Normal"/>
              <w:widowControl w:val="false"/>
              <w:numPr>
                <w:ilvl w:val="0"/>
                <w:numId w:val="14"/>
              </w:numPr>
              <w:suppressAutoHyphens w:val="true"/>
              <w:spacing w:lineRule="auto" w:line="276" w:before="0" w:after="160"/>
              <w:jc w:val="left"/>
              <w:rPr>
                <w:rFonts w:ascii="Arial" w:hAnsi="Arial" w:cs="Arial"/>
                <w:bCs/>
                <w:color w:val="000000"/>
                <w:spacing w:val="-3"/>
                <w:shd w:fill="FFFFFF" w:val="clear"/>
                <w:lang w:val="es-ES"/>
              </w:rPr>
            </w:pPr>
            <w:r>
              <w:rPr>
                <w:rFonts w:eastAsia="Calibri" w:ascii="Arial" w:hAnsi="Arial"/>
                <w:kern w:val="2"/>
                <w:sz w:val="22"/>
                <w:szCs w:val="22"/>
                <w:lang w:val="es-ES" w:eastAsia="en-US" w:bidi="ar-SA"/>
              </w:rPr>
              <w:t xml:space="preserve">Begiraleak   </w:t>
            </w:r>
            <w:r>
              <w:rPr>
                <w:rFonts w:eastAsia="Calibri"/>
                <w:kern w:val="2"/>
                <w:sz w:val="22"/>
                <w:szCs w:val="22"/>
                <w:lang w:val="es-ES" w:eastAsia="en-US" w:bidi="ar-SA"/>
              </w:rPr>
              <w:t xml:space="preserve">        </w:t>
            </w:r>
          </w:p>
        </w:tc>
        <w:tc>
          <w:tcPr>
            <w:tcW w:w="4276" w:type="dxa"/>
            <w:tcBorders>
              <w:top w:val="nil"/>
              <w:left w:val="nil"/>
              <w:bottom w:val="nil"/>
              <w:right w:val="nil"/>
            </w:tcBorders>
            <w:shd w:color="auto" w:fill="auto" w:val="clear"/>
          </w:tcPr>
          <w:p>
            <w:pPr>
              <w:pStyle w:val="Normal"/>
              <w:widowControl w:val="false"/>
              <w:suppressAutoHyphens w:val="true"/>
              <w:spacing w:lineRule="auto" w:line="276" w:before="0" w:after="160"/>
              <w:jc w:val="both"/>
              <w:rPr>
                <w:rFonts w:eastAsia="Calibri"/>
                <w:lang w:val="es-ES"/>
              </w:rPr>
            </w:pPr>
            <w:r>
              <w:rPr>
                <w:rFonts w:eastAsia="Calibri" w:cs="Arial" w:ascii="Arial" w:hAnsi="Arial"/>
                <w:kern w:val="2"/>
                <w:sz w:val="22"/>
                <w:szCs w:val="22"/>
                <w:lang w:val="es-ES" w:eastAsia="en-US" w:bidi="ar-SA"/>
              </w:rPr>
              <w:t xml:space="preserve">En el apartado I, con el objeto de </w:t>
            </w:r>
            <w:r>
              <w:rPr>
                <w:rFonts w:eastAsia="Calibri" w:cs="" w:ascii="Arial" w:hAnsi="Arial"/>
                <w:kern w:val="2"/>
                <w:sz w:val="22"/>
                <w:szCs w:val="22"/>
                <w:lang w:val="es-ES" w:eastAsia="en-US" w:bidi="ar-SA"/>
              </w:rPr>
              <w:t>mejorar la gestión y la atención de las actividades de deporte escolar:</w:t>
            </w:r>
          </w:p>
          <w:p>
            <w:pPr>
              <w:pStyle w:val="Normal"/>
              <w:widowControl w:val="false"/>
              <w:numPr>
                <w:ilvl w:val="0"/>
                <w:numId w:val="15"/>
              </w:numPr>
              <w:suppressAutoHyphens w:val="true"/>
              <w:spacing w:lineRule="auto" w:line="276" w:before="0" w:after="160"/>
              <w:jc w:val="both"/>
              <w:rPr>
                <w:shd w:fill="E040FB" w:val="clear"/>
                <w:lang w:val="es-ES"/>
              </w:rPr>
            </w:pPr>
            <w:r>
              <w:rPr>
                <w:rFonts w:eastAsia="Calibri" w:cs="Arial" w:ascii="Arial" w:hAnsi="Arial"/>
                <w:bCs/>
                <w:color w:val="000000"/>
                <w:spacing w:val="-3"/>
                <w:kern w:val="2"/>
                <w:sz w:val="22"/>
                <w:szCs w:val="22"/>
                <w:shd w:fill="FFFFFF" w:val="clear"/>
                <w:lang w:val="es-ES" w:eastAsia="en-US" w:bidi="ar-SA"/>
              </w:rPr>
              <w:t>Persona coordinadora pedagógica de deporte escolar.</w:t>
            </w:r>
          </w:p>
          <w:p>
            <w:pPr>
              <w:pStyle w:val="Normal"/>
              <w:widowControl w:val="false"/>
              <w:numPr>
                <w:ilvl w:val="0"/>
                <w:numId w:val="15"/>
              </w:numPr>
              <w:suppressAutoHyphens w:val="true"/>
              <w:spacing w:lineRule="auto" w:line="276" w:before="0" w:after="160"/>
              <w:jc w:val="both"/>
              <w:rPr>
                <w:shd w:fill="E040FB" w:val="clear"/>
                <w:lang w:val="es-ES"/>
              </w:rPr>
            </w:pPr>
            <w:r>
              <w:rPr>
                <w:rFonts w:eastAsia="Calibri" w:cs="Arial" w:ascii="Arial" w:hAnsi="Arial"/>
                <w:bCs/>
                <w:color w:val="000000"/>
                <w:spacing w:val="-3"/>
                <w:kern w:val="2"/>
                <w:sz w:val="22"/>
                <w:szCs w:val="22"/>
                <w:shd w:fill="FFFFFF" w:val="clear"/>
                <w:lang w:val="es-ES" w:eastAsia="en-US" w:bidi="ar-SA"/>
              </w:rPr>
              <w:t>Monitorado</w:t>
            </w:r>
          </w:p>
        </w:tc>
      </w:tr>
      <w:tr>
        <w:trPr/>
        <w:tc>
          <w:tcPr>
            <w:tcW w:w="4108" w:type="dxa"/>
            <w:tcBorders>
              <w:top w:val="nil"/>
              <w:left w:val="nil"/>
              <w:bottom w:val="nil"/>
              <w:right w:val="nil"/>
            </w:tcBorders>
          </w:tcPr>
          <w:p>
            <w:pPr>
              <w:pStyle w:val="Normal"/>
              <w:widowControl w:val="false"/>
              <w:numPr>
                <w:ilvl w:val="0"/>
                <w:numId w:val="14"/>
              </w:numPr>
              <w:suppressAutoHyphens w:val="true"/>
              <w:spacing w:lineRule="auto" w:line="276" w:before="0" w:after="160"/>
              <w:jc w:val="both"/>
              <w:rPr>
                <w:rFonts w:ascii="Arial" w:hAnsi="Arial" w:cs="Arial"/>
                <w:bCs/>
                <w:color w:val="000000"/>
                <w:spacing w:val="-3"/>
                <w:shd w:fill="FFFFFF" w:val="clear"/>
                <w:lang w:val="es-ES"/>
              </w:rPr>
            </w:pPr>
            <w:r>
              <w:rPr>
                <w:rFonts w:eastAsia="Calibri" w:cs="Arial" w:ascii="Arial" w:hAnsi="Arial"/>
                <w:bCs/>
                <w:color w:val="000000"/>
                <w:spacing w:val="-3"/>
                <w:kern w:val="2"/>
                <w:sz w:val="22"/>
                <w:szCs w:val="22"/>
                <w:shd w:fill="FFFFFF" w:val="clear"/>
                <w:lang w:val="es-ES" w:eastAsia="en-US" w:bidi="ar-SA"/>
              </w:rPr>
              <w:t>EKI, inklusio taldeak</w:t>
            </w:r>
          </w:p>
        </w:tc>
        <w:tc>
          <w:tcPr>
            <w:tcW w:w="4276" w:type="dxa"/>
            <w:tcBorders>
              <w:top w:val="nil"/>
              <w:left w:val="nil"/>
              <w:bottom w:val="nil"/>
              <w:right w:val="nil"/>
            </w:tcBorders>
          </w:tcPr>
          <w:p>
            <w:pPr>
              <w:pStyle w:val="Normal"/>
              <w:widowControl w:val="false"/>
              <w:numPr>
                <w:ilvl w:val="0"/>
                <w:numId w:val="15"/>
              </w:numPr>
              <w:suppressAutoHyphens w:val="true"/>
              <w:spacing w:lineRule="auto" w:line="276" w:before="0" w:after="160"/>
              <w:jc w:val="both"/>
              <w:rPr>
                <w:shd w:fill="E040FB" w:val="clear"/>
                <w:lang w:val="es-ES"/>
              </w:rPr>
            </w:pPr>
            <w:r>
              <w:rPr>
                <w:rFonts w:eastAsia="Calibri" w:cs="Arial" w:ascii="Arial" w:hAnsi="Arial"/>
                <w:bCs/>
                <w:color w:val="000000"/>
                <w:spacing w:val="-3"/>
                <w:kern w:val="2"/>
                <w:sz w:val="22"/>
                <w:szCs w:val="22"/>
                <w:shd w:fill="FFFFFF" w:val="clear"/>
                <w:lang w:val="es-ES" w:eastAsia="en-US" w:bidi="ar-SA"/>
              </w:rPr>
              <w:t>Grupos de inclusión (EKI)</w:t>
            </w:r>
          </w:p>
        </w:tc>
      </w:tr>
      <w:tr>
        <w:trPr/>
        <w:tc>
          <w:tcPr>
            <w:tcW w:w="4108" w:type="dxa"/>
            <w:tcBorders>
              <w:top w:val="nil"/>
              <w:left w:val="nil"/>
              <w:bottom w:val="nil"/>
              <w:right w:val="nil"/>
            </w:tcBorders>
          </w:tcPr>
          <w:p>
            <w:pPr>
              <w:pStyle w:val="Normal"/>
              <w:widowControl w:val="false"/>
              <w:numPr>
                <w:ilvl w:val="0"/>
                <w:numId w:val="14"/>
              </w:numPr>
              <w:suppressAutoHyphens w:val="true"/>
              <w:spacing w:lineRule="auto" w:line="276" w:before="0" w:after="160"/>
              <w:jc w:val="both"/>
              <w:rPr>
                <w:rFonts w:ascii="Arial" w:hAnsi="Arial" w:cs="Arial"/>
                <w:bCs/>
                <w:color w:val="000000"/>
                <w:spacing w:val="-3"/>
                <w:shd w:fill="FFFFFF" w:val="clear"/>
                <w:lang w:val="es-ES"/>
              </w:rPr>
            </w:pPr>
            <w:r>
              <w:rPr>
                <w:rFonts w:eastAsia="Calibri" w:cs="Arial" w:ascii="Arial" w:hAnsi="Arial"/>
                <w:bCs/>
                <w:color w:val="000000"/>
                <w:spacing w:val="-3"/>
                <w:kern w:val="2"/>
                <w:sz w:val="22"/>
                <w:szCs w:val="22"/>
                <w:shd w:fill="FFFFFF" w:val="clear"/>
                <w:lang w:val="es-ES" w:eastAsia="en-US" w:bidi="ar-SA"/>
              </w:rPr>
              <w:t>Zaurgarritasun ekonomikoko egoeran  dauden ikasleak.</w:t>
            </w:r>
          </w:p>
        </w:tc>
        <w:tc>
          <w:tcPr>
            <w:tcW w:w="4276" w:type="dxa"/>
            <w:tcBorders>
              <w:top w:val="nil"/>
              <w:left w:val="nil"/>
              <w:bottom w:val="nil"/>
              <w:right w:val="nil"/>
            </w:tcBorders>
          </w:tcPr>
          <w:p>
            <w:pPr>
              <w:pStyle w:val="Normal"/>
              <w:widowControl w:val="false"/>
              <w:numPr>
                <w:ilvl w:val="0"/>
                <w:numId w:val="15"/>
              </w:numPr>
              <w:suppressAutoHyphens w:val="true"/>
              <w:spacing w:lineRule="auto" w:line="276" w:before="0" w:after="160"/>
              <w:jc w:val="both"/>
              <w:rPr>
                <w:rFonts w:ascii="Arial" w:hAnsi="Arial" w:eastAsia="Calibri" w:cs="Arial"/>
                <w:bCs/>
                <w:color w:val="000000"/>
                <w:spacing w:val="-3"/>
                <w:shd w:fill="FFFFFF" w:val="clear"/>
                <w:lang w:val="es-ES"/>
              </w:rPr>
            </w:pPr>
            <w:r>
              <w:rPr>
                <w:rFonts w:eastAsia="Calibri" w:cs="Arial" w:ascii="Arial" w:hAnsi="Arial"/>
                <w:bCs/>
                <w:color w:val="000000"/>
                <w:spacing w:val="-3"/>
                <w:kern w:val="2"/>
                <w:sz w:val="22"/>
                <w:szCs w:val="22"/>
                <w:shd w:fill="FFFFFF" w:val="clear"/>
                <w:lang w:val="es-ES" w:eastAsia="en-US" w:bidi="ar-SA"/>
              </w:rPr>
              <w:t>Alumnado en situación de vulnerabilidad económica.</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color w:val="000000"/>
                <w:spacing w:val="-3"/>
                <w:shd w:fill="FFFFFF" w:val="clear"/>
                <w:lang w:val="es-ES"/>
              </w:rPr>
            </w:pPr>
            <w:r>
              <w:rPr>
                <w:rFonts w:eastAsia="Calibri" w:cs="Arial" w:ascii="Arial" w:hAnsi="Arial"/>
                <w:bCs/>
                <w:color w:val="000000"/>
                <w:spacing w:val="-3"/>
                <w:kern w:val="2"/>
                <w:sz w:val="22"/>
                <w:szCs w:val="22"/>
                <w:shd w:fill="FFFFFF" w:val="clear"/>
                <w:lang w:val="es-ES" w:eastAsia="en-US" w:bidi="ar-SA"/>
              </w:rPr>
              <w:t xml:space="preserve"> </w:t>
            </w:r>
            <w:r>
              <w:rPr>
                <w:rFonts w:eastAsia="Calibri" w:cs="Arial" w:ascii="Arial" w:hAnsi="Arial"/>
                <w:bCs/>
                <w:color w:val="000000"/>
                <w:spacing w:val="-3"/>
                <w:kern w:val="2"/>
                <w:sz w:val="22"/>
                <w:szCs w:val="22"/>
                <w:shd w:fill="FFFFFF" w:val="clear"/>
                <w:lang w:val="es-ES" w:eastAsia="en-US" w:bidi="ar-SA"/>
              </w:rPr>
              <w:t xml:space="preserve">II atalean, </w:t>
            </w:r>
            <w:bookmarkStart w:id="5" w:name="translation_box4"/>
            <w:bookmarkEnd w:id="5"/>
            <w:r>
              <w:rPr>
                <w:rFonts w:eastAsia="Calibri" w:cs="Arial" w:ascii="Arial" w:hAnsi="Arial"/>
                <w:bCs/>
                <w:color w:val="000000"/>
                <w:spacing w:val="-3"/>
                <w:kern w:val="2"/>
                <w:sz w:val="22"/>
                <w:szCs w:val="22"/>
                <w:shd w:fill="FFFFFF" w:val="clear"/>
                <w:lang w:val="es-ES" w:eastAsia="en-US" w:bidi="ar-SA"/>
              </w:rPr>
              <w:t>helburua izanda eskola-kirolaren esparruan eskola-orduetan egiten diren eta onura dakarten jardueretarako garraio-gastuei aurre egiten laguntzea:</w:t>
              <w:br/>
            </w:r>
          </w:p>
          <w:p>
            <w:pPr>
              <w:pStyle w:val="ListParagraph"/>
              <w:widowControl w:val="false"/>
              <w:numPr>
                <w:ilvl w:val="0"/>
                <w:numId w:val="32"/>
              </w:numPr>
              <w:suppressAutoHyphens w:val="true"/>
              <w:spacing w:lineRule="auto" w:line="276" w:before="0" w:after="160"/>
              <w:contextualSpacing/>
              <w:jc w:val="both"/>
              <w:rPr>
                <w:rFonts w:ascii="Arial" w:hAnsi="Arial" w:eastAsia="Calibri" w:cs="Arial"/>
                <w:bCs/>
                <w:color w:val="000000"/>
                <w:spacing w:val="-3"/>
                <w:shd w:fill="FFFFFF" w:val="clear"/>
                <w:lang w:val="es-ES"/>
              </w:rPr>
            </w:pPr>
            <w:r>
              <w:rPr>
                <w:rFonts w:eastAsia="Calibri" w:cs="Arial" w:ascii="Arial" w:hAnsi="Arial"/>
                <w:bCs/>
                <w:color w:val="000000"/>
                <w:spacing w:val="-3"/>
                <w:kern w:val="2"/>
                <w:sz w:val="22"/>
                <w:szCs w:val="22"/>
                <w:shd w:fill="FFFFFF" w:val="clear"/>
                <w:lang w:val="es-ES" w:eastAsia="en-US" w:bidi="ar-SA"/>
              </w:rPr>
              <w:t xml:space="preserve">Ikasleak Usabal kiroldegiko igerilekuetara garraiatzeko gastuak (taxia, autobusa). </w:t>
            </w:r>
            <w:bookmarkStart w:id="6" w:name="translation_box1"/>
            <w:bookmarkEnd w:id="6"/>
          </w:p>
          <w:p>
            <w:pPr>
              <w:pStyle w:val="Normal"/>
              <w:widowControl w:val="false"/>
              <w:suppressAutoHyphens w:val="true"/>
              <w:spacing w:lineRule="auto" w:line="276" w:before="0" w:after="160"/>
              <w:jc w:val="both"/>
              <w:rPr>
                <w:rFonts w:ascii="Arial" w:hAnsi="Arial" w:eastAsia="Calibri" w:cs="Arial"/>
                <w:bCs/>
                <w:color w:val="000000"/>
                <w:spacing w:val="-3"/>
                <w:shd w:fill="FFFFFF" w:val="clear"/>
                <w:lang w:val="es-ES"/>
              </w:rPr>
            </w:pPr>
            <w:r>
              <w:rPr>
                <w:rFonts w:eastAsia="Calibri" w:cs="Arial" w:ascii="Arial" w:hAnsi="Arial"/>
                <w:bCs/>
                <w:color w:val="000000"/>
                <w:spacing w:val="-3"/>
                <w:shd w:fill="FFFFFF" w:val="clear"/>
                <w:lang w:val="es-ES"/>
              </w:rPr>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lang w:val="es-ES"/>
              </w:rPr>
            </w:pPr>
            <w:r>
              <w:rPr>
                <w:rFonts w:eastAsia="Calibri" w:cs="Arial" w:ascii="Arial" w:hAnsi="Arial"/>
                <w:bCs/>
                <w:color w:val="000000"/>
                <w:spacing w:val="-3"/>
                <w:kern w:val="2"/>
                <w:sz w:val="22"/>
                <w:szCs w:val="22"/>
                <w:lang w:val="es-ES" w:eastAsia="en-US" w:bidi="ar-SA"/>
              </w:rPr>
              <w:t xml:space="preserve">En el apartado II: </w:t>
            </w:r>
            <w:r>
              <w:rPr>
                <w:rFonts w:eastAsia="Calibri" w:cs="" w:ascii="Arial" w:hAnsi="Arial"/>
                <w:kern w:val="2"/>
                <w:sz w:val="22"/>
                <w:szCs w:val="22"/>
                <w:lang w:val="es-ES" w:eastAsia="en-US" w:bidi="ar-SA"/>
              </w:rPr>
              <w:t xml:space="preserve"> ayudas destinadas  a cubrir los gastos de transporte de actividades de carácter utilitario en el marco del deporte escolar en horario lectivo: </w:t>
            </w:r>
          </w:p>
          <w:p>
            <w:pPr>
              <w:pStyle w:val="ListParagraph"/>
              <w:widowControl w:val="false"/>
              <w:numPr>
                <w:ilvl w:val="0"/>
                <w:numId w:val="31"/>
              </w:numPr>
              <w:suppressAutoHyphens w:val="true"/>
              <w:spacing w:lineRule="auto" w:line="276" w:before="0" w:after="160"/>
              <w:contextualSpacing/>
              <w:jc w:val="both"/>
              <w:rPr>
                <w:lang w:val="es-ES"/>
              </w:rPr>
            </w:pPr>
            <w:r>
              <w:rPr>
                <w:rFonts w:eastAsia="Calibri" w:cs="Arial" w:ascii="Arial" w:hAnsi="Arial"/>
                <w:bCs/>
                <w:color w:val="000000"/>
                <w:spacing w:val="-3"/>
                <w:kern w:val="2"/>
                <w:sz w:val="22"/>
                <w:szCs w:val="22"/>
                <w:lang w:val="es-ES" w:eastAsia="en-US" w:bidi="ar-SA"/>
              </w:rPr>
              <w:t>Gastos de transporte del alumnado  a las piscinas del polideportivo Usabal (taxi, autobus).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Arial" w:cs="Arial"/>
              </w:rPr>
            </w:pPr>
            <w:r>
              <w:rPr>
                <w:rFonts w:eastAsia="Arial" w:cs="Arial" w:ascii="Arial" w:hAnsi="Arial"/>
                <w:kern w:val="2"/>
                <w:sz w:val="22"/>
                <w:szCs w:val="22"/>
                <w:lang w:val="eu-ES" w:eastAsia="en-US" w:bidi="ar-SA"/>
              </w:rPr>
              <w:t>Diruz lagun daitekeen gastuaren zenbatekoa, obra-exekuzioaren kostuari dagokionez, 40.000 eurotik gorakoa bada (BEZa sartu gabe), edo aholkularitza edo asistentzia teknikoko enpresek egindako ondasun-horniketa edo zerbitzu-prestazioen kasuan 15.000tik gorakoa bada (BEZa sartu gabe), onuradunak, gutxienez, hiru eskaintza eskatu behar dizkie hiru hornitzaileri, zerbitzu-prestazio edo ondasun-horniketarako konpromisoa onartu baino lehen. Hau da salbuespena: diruz lagun daitezkeen gastuen ezaugarri bereziengatik, merkatuan ez egotea behar adina entitate dagokion horniketa egiteko edo zerbitzua emateko, edo gastua dirulaguntza-eskaera egin baino lehen eginda egotea, eta agiri bidez hala egiaztatzea.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lang w:val="es-ES"/>
              </w:rPr>
            </w:pPr>
            <w:r>
              <w:rPr>
                <w:rFonts w:eastAsia="Calibri" w:cs="Arial" w:ascii="Arial" w:hAnsi="Arial"/>
                <w:kern w:val="2"/>
                <w:sz w:val="22"/>
                <w:szCs w:val="22"/>
                <w:lang w:val="es-ES" w:eastAsia="en-US" w:bidi="ar-SA"/>
              </w:rPr>
              <w:t>Cuando el importe del gasto subvencionable supere la cuantía de 40.000 euros en el supuesto de coste por ejecución de obra, o de 15.000 euros en el supuesto de suministro de bienes de equipo o prestación de servicios por empresas de consultoría  o asistencia técnica, la beneficiaria deberá solicitar como mínimo tres ofertas de diferentes proveedores, con carácter previo a la contracción del compromiso para la prestación del servicio o la entrega del bien, salvo que por las especiales características de los gastos subvencionables no exista en el mercado suficiente número de entidades que lo suministren o presten, o salvo que el gasto se hubiera realizado con anterioridad a la solicitud de la subvención, y así se acredite documentalmente.</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Eskatu diren hiru eskaintza horiek aurkeztu egin behar dira justifikazioa egiterakoan edo, hala badagokio, dirulaguntzaren eskaeran, eta haien arteko hautaketa eraginkortasun- eta ekonomia-irizpideen arabera egin behar da. Hala, aukeratutako eskaintza ez bada ekonomikoki onena, txosten batean justifikatu beharko da hautaketa hori.</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lang w:val="es-ES"/>
              </w:rPr>
            </w:pPr>
            <w:r>
              <w:rPr>
                <w:rFonts w:eastAsia="Calibri" w:cs="Arial" w:ascii="Arial" w:hAnsi="Arial"/>
                <w:kern w:val="2"/>
                <w:sz w:val="22"/>
                <w:szCs w:val="22"/>
                <w:lang w:val="es-ES" w:eastAsia="en-US" w:bidi="ar-SA"/>
              </w:rPr>
              <w:t>La elección entre las ofertas presentadas, que deberá aportarse en la justificación, o en su caso, en la solicitud de la subvención, se realizará conforme a criterios de eficiencia y economía, debiendo justificarse expresamente en una memoria la elección cuando no recaiga en la propuesta económica más ventajosa.</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s-ES"/>
              </w:rPr>
            </w:pPr>
            <w:r>
              <w:rPr>
                <w:rFonts w:eastAsia="Arial" w:cs="Arial" w:ascii="Arial" w:hAnsi="Arial"/>
                <w:kern w:val="2"/>
                <w:sz w:val="22"/>
                <w:szCs w:val="22"/>
                <w:lang w:val="es-ES" w:eastAsia="en-US" w:bidi="ar-SA"/>
              </w:rPr>
              <w:t>Ez dira, inolaz ere, diruz laguntzeko gastuak izango hauek:</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lang w:val="es-ES"/>
              </w:rPr>
            </w:pPr>
            <w:r>
              <w:rPr>
                <w:rFonts w:eastAsia="Calibri" w:cs="Arial" w:ascii="Arial" w:hAnsi="Arial"/>
                <w:kern w:val="2"/>
                <w:sz w:val="22"/>
                <w:szCs w:val="22"/>
                <w:lang w:val="es-ES" w:eastAsia="en-US" w:bidi="ar-SA"/>
              </w:rPr>
              <w:t>No tendrán en ningún caso la consideración de gasto subvencionable los:</w:t>
            </w:r>
          </w:p>
        </w:tc>
      </w:tr>
      <w:tr>
        <w:trPr/>
        <w:tc>
          <w:tcPr>
            <w:tcW w:w="4108" w:type="dxa"/>
            <w:tcBorders>
              <w:top w:val="nil"/>
              <w:left w:val="nil"/>
              <w:bottom w:val="nil"/>
              <w:right w:val="nil"/>
            </w:tcBorders>
          </w:tcPr>
          <w:p>
            <w:pPr>
              <w:pStyle w:val="ListParagraph"/>
              <w:widowControl w:val="false"/>
              <w:numPr>
                <w:ilvl w:val="0"/>
                <w:numId w:val="9"/>
              </w:numPr>
              <w:suppressAutoHyphens w:val="true"/>
              <w:spacing w:lineRule="auto" w:line="276" w:before="0" w:after="160"/>
              <w:ind w:left="777" w:hanging="284"/>
              <w:contextualSpacing/>
              <w:jc w:val="both"/>
              <w:rPr>
                <w:rFonts w:ascii="Arial" w:hAnsi="Arial" w:cs="Arial"/>
                <w:b/>
                <w:b/>
                <w:color w:val="000000"/>
                <w:spacing w:val="-3"/>
                <w:shd w:fill="FFFFFF" w:val="clear"/>
                <w:lang w:val="es-ES"/>
              </w:rPr>
            </w:pPr>
            <w:r>
              <w:rPr>
                <w:rFonts w:eastAsia="Arial" w:cs="Arial" w:ascii="Arial" w:hAnsi="Arial"/>
                <w:kern w:val="2"/>
                <w:sz w:val="22"/>
                <w:szCs w:val="22"/>
                <w:lang w:val="es-ES" w:eastAsia="en-US" w:bidi="ar-SA"/>
              </w:rPr>
              <w:t>Banku-kontuetako interes zordunak.</w:t>
            </w:r>
          </w:p>
        </w:tc>
        <w:tc>
          <w:tcPr>
            <w:tcW w:w="4276" w:type="dxa"/>
            <w:tcBorders>
              <w:top w:val="nil"/>
              <w:left w:val="nil"/>
              <w:bottom w:val="nil"/>
              <w:right w:val="nil"/>
            </w:tcBorders>
          </w:tcPr>
          <w:p>
            <w:pPr>
              <w:pStyle w:val="ListParagraph"/>
              <w:widowControl w:val="false"/>
              <w:numPr>
                <w:ilvl w:val="0"/>
                <w:numId w:val="10"/>
              </w:numPr>
              <w:suppressAutoHyphens w:val="true"/>
              <w:spacing w:lineRule="auto" w:line="276" w:before="0" w:after="160"/>
              <w:contextualSpacing/>
              <w:jc w:val="both"/>
              <w:rPr>
                <w:rFonts w:ascii="Arial" w:hAnsi="Arial" w:cs="Arial"/>
                <w:lang w:val="es-ES"/>
              </w:rPr>
            </w:pPr>
            <w:r>
              <w:rPr>
                <w:rFonts w:eastAsia="Calibri" w:cs="Arial" w:ascii="Arial" w:hAnsi="Arial"/>
                <w:kern w:val="2"/>
                <w:sz w:val="22"/>
                <w:szCs w:val="22"/>
                <w:lang w:val="es-ES" w:eastAsia="en-US" w:bidi="ar-SA"/>
              </w:rPr>
              <w:t>Intereses deudores de cuentas bancarias.</w:t>
            </w:r>
          </w:p>
        </w:tc>
      </w:tr>
      <w:tr>
        <w:trPr/>
        <w:tc>
          <w:tcPr>
            <w:tcW w:w="4108" w:type="dxa"/>
            <w:tcBorders>
              <w:top w:val="nil"/>
              <w:left w:val="nil"/>
              <w:bottom w:val="nil"/>
              <w:right w:val="nil"/>
            </w:tcBorders>
          </w:tcPr>
          <w:p>
            <w:pPr>
              <w:pStyle w:val="ListParagraph"/>
              <w:widowControl w:val="false"/>
              <w:numPr>
                <w:ilvl w:val="0"/>
                <w:numId w:val="9"/>
              </w:numPr>
              <w:suppressAutoHyphens w:val="true"/>
              <w:spacing w:lineRule="auto" w:line="276" w:before="0" w:after="160"/>
              <w:ind w:left="777" w:hanging="284"/>
              <w:contextualSpacing/>
              <w:jc w:val="both"/>
              <w:rPr>
                <w:rFonts w:ascii="Arial" w:hAnsi="Arial" w:cs="Arial"/>
                <w:b/>
                <w:b/>
                <w:color w:val="000000"/>
                <w:spacing w:val="-3"/>
                <w:shd w:fill="FFFFFF" w:val="clear"/>
                <w:lang w:val="es-ES"/>
              </w:rPr>
            </w:pPr>
            <w:r>
              <w:rPr>
                <w:rFonts w:eastAsia="Arial" w:cs="Arial" w:ascii="Arial" w:hAnsi="Arial"/>
                <w:kern w:val="2"/>
                <w:sz w:val="22"/>
                <w:szCs w:val="22"/>
                <w:lang w:val="es-ES" w:eastAsia="en-US" w:bidi="ar-SA"/>
              </w:rPr>
              <w:t>Interesak, errekarguak eta zehapen administratibo eta penalak.</w:t>
            </w:r>
          </w:p>
        </w:tc>
        <w:tc>
          <w:tcPr>
            <w:tcW w:w="4276" w:type="dxa"/>
            <w:tcBorders>
              <w:top w:val="nil"/>
              <w:left w:val="nil"/>
              <w:bottom w:val="nil"/>
              <w:right w:val="nil"/>
            </w:tcBorders>
          </w:tcPr>
          <w:p>
            <w:pPr>
              <w:pStyle w:val="ListParagraph"/>
              <w:widowControl w:val="false"/>
              <w:numPr>
                <w:ilvl w:val="0"/>
                <w:numId w:val="10"/>
              </w:numPr>
              <w:suppressAutoHyphens w:val="true"/>
              <w:spacing w:lineRule="auto" w:line="276" w:before="0" w:after="160"/>
              <w:contextualSpacing/>
              <w:jc w:val="both"/>
              <w:rPr>
                <w:rFonts w:ascii="Arial" w:hAnsi="Arial" w:cs="Arial"/>
                <w:lang w:val="es-ES"/>
              </w:rPr>
            </w:pPr>
            <w:r>
              <w:rPr>
                <w:rFonts w:eastAsia="Calibri" w:cs="Arial" w:ascii="Arial" w:hAnsi="Arial"/>
                <w:kern w:val="2"/>
                <w:sz w:val="22"/>
                <w:szCs w:val="22"/>
                <w:lang w:val="es-ES" w:eastAsia="en-US" w:bidi="ar-SA"/>
              </w:rPr>
              <w:t>Intereses, recargos y sanciones administrativas y penales.</w:t>
            </w:r>
          </w:p>
          <w:p>
            <w:pPr>
              <w:pStyle w:val="ListParagraph"/>
              <w:widowControl w:val="false"/>
              <w:suppressAutoHyphens w:val="true"/>
              <w:spacing w:lineRule="auto" w:line="276" w:before="0" w:after="160"/>
              <w:contextualSpacing/>
              <w:jc w:val="both"/>
              <w:rPr>
                <w:rFonts w:ascii="Arial" w:hAnsi="Arial" w:cs="Arial"/>
                <w:lang w:val="es-ES"/>
              </w:rPr>
            </w:pPr>
            <w:r>
              <w:rPr>
                <w:rFonts w:cs="Arial" w:ascii="Arial" w:hAnsi="Arial"/>
                <w:lang w:val="es-ES"/>
              </w:rPr>
            </w:r>
          </w:p>
        </w:tc>
      </w:tr>
      <w:tr>
        <w:trPr/>
        <w:tc>
          <w:tcPr>
            <w:tcW w:w="4108" w:type="dxa"/>
            <w:tcBorders>
              <w:top w:val="nil"/>
              <w:left w:val="nil"/>
              <w:bottom w:val="nil"/>
              <w:right w:val="nil"/>
            </w:tcBorders>
          </w:tcPr>
          <w:p>
            <w:pPr>
              <w:pStyle w:val="ListParagraph"/>
              <w:widowControl w:val="false"/>
              <w:numPr>
                <w:ilvl w:val="0"/>
                <w:numId w:val="9"/>
              </w:numPr>
              <w:suppressAutoHyphens w:val="true"/>
              <w:spacing w:lineRule="auto" w:line="276" w:before="0" w:after="160"/>
              <w:ind w:left="777" w:hanging="284"/>
              <w:contextualSpacing/>
              <w:jc w:val="both"/>
              <w:rPr>
                <w:rFonts w:ascii="Arial" w:hAnsi="Arial" w:cs="Arial"/>
                <w:b/>
                <w:b/>
                <w:color w:val="000000"/>
                <w:spacing w:val="-3"/>
                <w:shd w:fill="FFFFFF" w:val="clear"/>
                <w:lang w:val="es-ES"/>
              </w:rPr>
            </w:pPr>
            <w:r>
              <w:rPr>
                <w:rFonts w:eastAsia="Arial" w:cs="Arial" w:ascii="Arial" w:hAnsi="Arial"/>
                <w:kern w:val="2"/>
                <w:sz w:val="22"/>
                <w:szCs w:val="22"/>
                <w:lang w:val="es-ES" w:eastAsia="en-US" w:bidi="ar-SA"/>
              </w:rPr>
              <w:t>Prozedura judizialek eragindako gastuak.</w:t>
            </w:r>
          </w:p>
        </w:tc>
        <w:tc>
          <w:tcPr>
            <w:tcW w:w="4276" w:type="dxa"/>
            <w:tcBorders>
              <w:top w:val="nil"/>
              <w:left w:val="nil"/>
              <w:bottom w:val="nil"/>
              <w:right w:val="nil"/>
            </w:tcBorders>
          </w:tcPr>
          <w:p>
            <w:pPr>
              <w:pStyle w:val="ListParagraph"/>
              <w:widowControl w:val="false"/>
              <w:numPr>
                <w:ilvl w:val="0"/>
                <w:numId w:val="10"/>
              </w:numPr>
              <w:suppressAutoHyphens w:val="true"/>
              <w:spacing w:lineRule="auto" w:line="276" w:before="0" w:after="160"/>
              <w:contextualSpacing/>
              <w:jc w:val="both"/>
              <w:rPr>
                <w:rFonts w:ascii="Arial" w:hAnsi="Arial" w:cs="Arial"/>
                <w:lang w:val="es-ES"/>
              </w:rPr>
            </w:pPr>
            <w:r>
              <w:rPr>
                <w:rFonts w:eastAsia="Calibri" w:cs="Arial" w:ascii="Arial" w:hAnsi="Arial"/>
                <w:kern w:val="2"/>
                <w:sz w:val="22"/>
                <w:szCs w:val="22"/>
                <w:lang w:val="es-ES" w:eastAsia="en-US" w:bidi="ar-SA"/>
              </w:rPr>
              <w:t>Gastos originados por procedimientos judiciales.</w:t>
            </w:r>
          </w:p>
        </w:tc>
      </w:tr>
      <w:tr>
        <w:trPr/>
        <w:tc>
          <w:tcPr>
            <w:tcW w:w="4108" w:type="dxa"/>
            <w:tcBorders>
              <w:top w:val="nil"/>
              <w:left w:val="nil"/>
              <w:bottom w:val="nil"/>
              <w:right w:val="nil"/>
            </w:tcBorders>
          </w:tcPr>
          <w:p>
            <w:pPr>
              <w:pStyle w:val="ListParagraph"/>
              <w:widowControl w:val="false"/>
              <w:numPr>
                <w:ilvl w:val="0"/>
                <w:numId w:val="9"/>
              </w:numPr>
              <w:suppressAutoHyphens w:val="true"/>
              <w:spacing w:lineRule="auto" w:line="276" w:before="0" w:after="160"/>
              <w:ind w:left="777" w:hanging="284"/>
              <w:contextualSpacing/>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Zeharkako zergak, errekuperagarriak edo konpentsagarriak izan badaitezke.</w:t>
            </w:r>
          </w:p>
        </w:tc>
        <w:tc>
          <w:tcPr>
            <w:tcW w:w="4276" w:type="dxa"/>
            <w:tcBorders>
              <w:top w:val="nil"/>
              <w:left w:val="nil"/>
              <w:bottom w:val="nil"/>
              <w:right w:val="nil"/>
            </w:tcBorders>
          </w:tcPr>
          <w:p>
            <w:pPr>
              <w:pStyle w:val="ListParagraph"/>
              <w:widowControl w:val="false"/>
              <w:numPr>
                <w:ilvl w:val="0"/>
                <w:numId w:val="10"/>
              </w:numPr>
              <w:suppressAutoHyphens w:val="true"/>
              <w:spacing w:lineRule="auto" w:line="276" w:before="0" w:after="160"/>
              <w:contextualSpacing/>
              <w:jc w:val="both"/>
              <w:rPr>
                <w:rFonts w:ascii="Arial" w:hAnsi="Arial" w:cs="Arial"/>
                <w:lang w:val="es-ES"/>
              </w:rPr>
            </w:pPr>
            <w:r>
              <w:rPr>
                <w:rFonts w:eastAsia="Calibri" w:cs="Arial" w:ascii="Arial" w:hAnsi="Arial"/>
                <w:kern w:val="2"/>
                <w:sz w:val="22"/>
                <w:szCs w:val="22"/>
                <w:lang w:val="es-ES" w:eastAsia="en-US" w:bidi="ar-SA"/>
              </w:rPr>
              <w:t>Impuestos indirectos, siempre que sean susceptibles de recuperación o compensación.</w:t>
            </w:r>
          </w:p>
        </w:tc>
      </w:tr>
      <w:tr>
        <w:trPr/>
        <w:tc>
          <w:tcPr>
            <w:tcW w:w="4108" w:type="dxa"/>
            <w:tcBorders>
              <w:top w:val="nil"/>
              <w:left w:val="nil"/>
              <w:bottom w:val="nil"/>
              <w:right w:val="nil"/>
            </w:tcBorders>
          </w:tcPr>
          <w:p>
            <w:pPr>
              <w:pStyle w:val="ListParagraph"/>
              <w:widowControl w:val="false"/>
              <w:numPr>
                <w:ilvl w:val="0"/>
                <w:numId w:val="9"/>
              </w:numPr>
              <w:suppressAutoHyphens w:val="true"/>
              <w:spacing w:lineRule="auto" w:line="276" w:before="0" w:after="160"/>
              <w:ind w:left="777" w:hanging="284"/>
              <w:contextualSpacing/>
              <w:jc w:val="both"/>
              <w:rPr>
                <w:rFonts w:ascii="Arial" w:hAnsi="Arial" w:cs="Arial"/>
                <w:b/>
                <w:b/>
                <w:color w:val="000000"/>
                <w:spacing w:val="-3"/>
                <w:shd w:fill="FFFFFF" w:val="clear"/>
                <w:lang w:val="es-ES"/>
              </w:rPr>
            </w:pPr>
            <w:r>
              <w:rPr>
                <w:rFonts w:eastAsia="Arial" w:cs="Arial" w:ascii="Arial" w:hAnsi="Arial"/>
                <w:kern w:val="2"/>
                <w:sz w:val="22"/>
                <w:szCs w:val="22"/>
                <w:lang w:val="es-ES" w:eastAsia="en-US" w:bidi="ar-SA"/>
              </w:rPr>
              <w:t>Errentaren gaineko zerga pertsonalak.</w:t>
            </w:r>
          </w:p>
        </w:tc>
        <w:tc>
          <w:tcPr>
            <w:tcW w:w="4276" w:type="dxa"/>
            <w:tcBorders>
              <w:top w:val="nil"/>
              <w:left w:val="nil"/>
              <w:bottom w:val="nil"/>
              <w:right w:val="nil"/>
            </w:tcBorders>
          </w:tcPr>
          <w:p>
            <w:pPr>
              <w:pStyle w:val="ListParagraph"/>
              <w:widowControl w:val="false"/>
              <w:numPr>
                <w:ilvl w:val="0"/>
                <w:numId w:val="10"/>
              </w:numPr>
              <w:suppressAutoHyphens w:val="true"/>
              <w:spacing w:lineRule="auto" w:line="276" w:before="0" w:after="160"/>
              <w:contextualSpacing/>
              <w:jc w:val="both"/>
              <w:rPr>
                <w:rFonts w:ascii="Arial" w:hAnsi="Arial" w:cs="Arial"/>
                <w:lang w:val="es-ES"/>
              </w:rPr>
            </w:pPr>
            <w:r>
              <w:rPr>
                <w:rFonts w:eastAsia="Calibri" w:cs="Arial" w:ascii="Arial" w:hAnsi="Arial"/>
                <w:kern w:val="2"/>
                <w:sz w:val="22"/>
                <w:szCs w:val="22"/>
                <w:lang w:val="es-ES" w:eastAsia="en-US" w:bidi="ar-SA"/>
              </w:rPr>
              <w:t>Impuestos personales sobre la renta.</w:t>
            </w:r>
          </w:p>
        </w:tc>
      </w:tr>
      <w:tr>
        <w:trPr/>
        <w:tc>
          <w:tcPr>
            <w:tcW w:w="4108" w:type="dxa"/>
            <w:tcBorders>
              <w:top w:val="nil"/>
              <w:left w:val="nil"/>
              <w:bottom w:val="nil"/>
              <w:right w:val="nil"/>
            </w:tcBorders>
          </w:tcPr>
          <w:p>
            <w:pPr>
              <w:pStyle w:val="ListParagraph"/>
              <w:widowControl w:val="false"/>
              <w:numPr>
                <w:ilvl w:val="0"/>
                <w:numId w:val="9"/>
              </w:numPr>
              <w:suppressAutoHyphens w:val="true"/>
              <w:spacing w:lineRule="auto" w:line="276" w:before="0" w:after="160"/>
              <w:ind w:left="777" w:hanging="284"/>
              <w:contextualSpacing/>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Entitate onuradunaren ondasun inbentariagarrien amortizazio-gastuak, jarduera garatzeko erabiltzen badira (salbu eta Dirulaguntzei buruzko Lege Orokorraren 31.6 artikuluko baldintzak betetzen badira).</w:t>
            </w:r>
          </w:p>
        </w:tc>
        <w:tc>
          <w:tcPr>
            <w:tcW w:w="4276" w:type="dxa"/>
            <w:tcBorders>
              <w:top w:val="nil"/>
              <w:left w:val="nil"/>
              <w:bottom w:val="nil"/>
              <w:right w:val="nil"/>
            </w:tcBorders>
          </w:tcPr>
          <w:p>
            <w:pPr>
              <w:pStyle w:val="ListParagraph"/>
              <w:widowControl w:val="false"/>
              <w:numPr>
                <w:ilvl w:val="0"/>
                <w:numId w:val="10"/>
              </w:numPr>
              <w:suppressAutoHyphens w:val="true"/>
              <w:spacing w:lineRule="auto" w:line="276" w:before="0" w:after="160"/>
              <w:contextualSpacing/>
              <w:jc w:val="both"/>
              <w:rPr>
                <w:rFonts w:ascii="Arial" w:hAnsi="Arial" w:cs="Arial"/>
                <w:lang w:val="es-ES"/>
              </w:rPr>
            </w:pPr>
            <w:r>
              <w:rPr>
                <w:rFonts w:eastAsia="Calibri" w:cs="Arial" w:ascii="Arial" w:hAnsi="Arial"/>
                <w:kern w:val="2"/>
                <w:sz w:val="22"/>
                <w:szCs w:val="22"/>
                <w:lang w:val="es-ES" w:eastAsia="en-US" w:bidi="ar-SA"/>
              </w:rPr>
              <w:t>Gastos de amortización de los bienes inventariables de la entidad beneficiaria que se utilicen para el desarrollo de la actividad (salvo que se cumplan los requisitos del artículo 31.6. de la Ley General de Subvenciones).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omic Sans MS" w:cs="Arial"/>
                <w:b/>
                <w:b/>
                <w:bCs/>
                <w:spacing w:val="-3"/>
                <w:lang w:val="es-ES"/>
              </w:rPr>
            </w:pPr>
            <w:r>
              <w:rPr>
                <w:rFonts w:eastAsia="Comic Sans MS" w:cs="Arial" w:ascii="Arial" w:hAnsi="Arial"/>
                <w:b/>
                <w:bCs/>
                <w:spacing w:val="-3"/>
                <w:kern w:val="2"/>
                <w:sz w:val="22"/>
                <w:szCs w:val="22"/>
                <w:lang w:val="es-ES" w:eastAsia="en-US" w:bidi="ar-SA"/>
              </w:rPr>
              <w:t>7. Eskaerak aurkezteko modua eta lekua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7. Forma y lugar de presentación de solicitudes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omic Sans MS" w:cs="Arial"/>
                <w:b/>
                <w:b/>
                <w:bCs/>
                <w:spacing w:val="-3"/>
              </w:rPr>
            </w:pPr>
            <w:r>
              <w:rPr>
                <w:rStyle w:val="Fuentedeprrafopredeter1"/>
                <w:rFonts w:eastAsia="Arial" w:cs="Arial" w:ascii="Arial" w:hAnsi="Arial"/>
                <w:kern w:val="2"/>
                <w:sz w:val="22"/>
                <w:szCs w:val="22"/>
                <w:lang w:val="eu-ES" w:eastAsia="en-US" w:bidi="ar-SA"/>
              </w:rPr>
              <w:t>Oinarri hauek eta deialdia Dirulaguntzen Datu Base Nazionalean (BDNS) eta Gipuzkoako Aldizkari Ofizialean (GAO) argitaratuko dira.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lang w:val="es-ES"/>
              </w:rPr>
            </w:pPr>
            <w:r>
              <w:rPr>
                <w:rFonts w:eastAsia="Calibri" w:cs="Arial" w:ascii="Arial" w:hAnsi="Arial"/>
                <w:color w:val="000000"/>
                <w:spacing w:val="-3"/>
                <w:kern w:val="2"/>
                <w:sz w:val="22"/>
                <w:szCs w:val="22"/>
                <w:lang w:val="es-ES" w:eastAsia="en-US" w:bidi="ar-SA"/>
              </w:rPr>
              <w:t>Las presentes bases y la convocatoria serán publicadas en la Base de Datos nacional de Subvenciones (BDNS) así como en el Boletín Oficial de Gipuzkoa (BOG).</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omic Sans MS" w:cs="Arial"/>
                <w:spacing w:val="-3"/>
              </w:rPr>
            </w:pPr>
            <w:r>
              <w:rPr>
                <w:rStyle w:val="Fuentedeprrafopredeter1"/>
                <w:rFonts w:eastAsia="Arial" w:cs="Arial" w:ascii="Arial" w:hAnsi="Arial"/>
                <w:kern w:val="2"/>
                <w:sz w:val="22"/>
                <w:szCs w:val="22"/>
                <w:lang w:val="eu-ES" w:eastAsia="en-US" w:bidi="ar-SA"/>
              </w:rPr>
              <w:t>Pertsona juridikoek, nortasun juridikorik gabeko entitateek eta Administrazio Publikoen Administrazio Prozedura Erkidearen urriaren 1eko 39/2015 Legearen 14.2 eta 14.3 artikuluetan zehaztutako beste batzuek telematikoki aurkeztu beharko dituzte eskaerak, Tolosako Udalaren egoitza elektronikoaren bidez</w:t>
            </w:r>
            <w:r>
              <w:rPr>
                <w:rFonts w:eastAsia="Comic Sans MS"/>
                <w:spacing w:val="-3"/>
                <w:kern w:val="2"/>
                <w:sz w:val="22"/>
                <w:szCs w:val="22"/>
                <w:lang w:val="eu-ES" w:eastAsia="en-US" w:bidi="ar-SA"/>
              </w:rPr>
              <w:t>.</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Style w:val="Fuentedeprrafopredeter1"/>
                <w:rFonts w:ascii="Arial" w:hAnsi="Arial" w:cs="Arial"/>
                <w:sz w:val="16"/>
                <w:szCs w:val="16"/>
                <w:lang w:val="es-ES"/>
              </w:rPr>
            </w:pPr>
            <w:r>
              <w:rPr>
                <w:rFonts w:eastAsia="Calibri" w:cs="Arial" w:ascii="Arial" w:hAnsi="Arial"/>
                <w:color w:val="000000"/>
                <w:spacing w:val="-3"/>
                <w:kern w:val="2"/>
                <w:sz w:val="22"/>
                <w:szCs w:val="22"/>
                <w:lang w:val="es-ES" w:eastAsia="en-US" w:bidi="ar-SA"/>
              </w:rPr>
              <w:t>En el caso de las personas jurídicas, entidades sin personalidad jurídica y otras especificadas en los artículos 14.2 y 14.3 de Ley 39/2015, 1 de octubre, de Procedimiento Administrativo Común de las Administraciones Públicas deberán presentar sus solicitudes por vía telemática a través de la Sede Electrónica.</w:t>
            </w:r>
          </w:p>
          <w:p>
            <w:pPr>
              <w:pStyle w:val="Normal"/>
              <w:widowControl w:val="false"/>
              <w:suppressAutoHyphens w:val="true"/>
              <w:spacing w:lineRule="auto" w:line="276" w:before="0" w:after="160"/>
              <w:jc w:val="both"/>
              <w:rPr>
                <w:rStyle w:val="Fuentedeprrafopredeter1"/>
                <w:rFonts w:ascii="Arial" w:hAnsi="Arial" w:cs="Arial"/>
                <w:sz w:val="16"/>
                <w:szCs w:val="16"/>
                <w:lang w:val="es-ES"/>
              </w:rPr>
            </w:pPr>
            <w:r>
              <w:rPr>
                <w:rFonts w:cs="Arial" w:ascii="Arial" w:hAnsi="Arial"/>
                <w:sz w:val="16"/>
                <w:szCs w:val="16"/>
                <w:lang w:val="es-ES"/>
              </w:rPr>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Style w:val="Fuentedeprrafopredeter1"/>
                <w:rFonts w:ascii="Arial" w:hAnsi="Arial" w:eastAsia="Arial" w:cs="Arial"/>
                <w:b/>
                <w:b/>
                <w:bCs/>
                <w:lang w:val="en-GB"/>
              </w:rPr>
            </w:pPr>
            <w:r>
              <w:rPr>
                <w:rFonts w:cs="Arial" w:ascii="Arial" w:hAnsi="Arial"/>
                <w:b/>
                <w:bCs/>
                <w:kern w:val="2"/>
                <w:sz w:val="22"/>
                <w:szCs w:val="22"/>
                <w:lang w:val="en-GB" w:eastAsia="en-US" w:bidi="ar-SA"/>
              </w:rPr>
              <w:t>8. Eskaerarekin batera aurkeztu beharreko dokumentazioa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
                <w:b/>
                <w:bCs/>
                <w:color w:val="000000"/>
                <w:spacing w:val="-3"/>
                <w:lang w:val="es-ES"/>
              </w:rPr>
            </w:pPr>
            <w:r>
              <w:rPr>
                <w:rFonts w:cs="Arial" w:ascii="Arial" w:hAnsi="Arial"/>
                <w:b/>
                <w:bCs/>
                <w:kern w:val="2"/>
                <w:sz w:val="22"/>
                <w:szCs w:val="22"/>
                <w:lang w:val="es-ES" w:eastAsia="en-US" w:bidi="ar-SA"/>
              </w:rPr>
              <w:t>8. Documentación a acompañar a la solicitud</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lang w:val="es-ES"/>
              </w:rPr>
            </w:pPr>
            <w:r>
              <w:rPr>
                <w:rFonts w:eastAsia="Arial" w:cs="Arial" w:ascii="Arial" w:hAnsi="Arial"/>
                <w:kern w:val="2"/>
                <w:sz w:val="22"/>
                <w:szCs w:val="22"/>
                <w:lang w:val="es-ES" w:eastAsia="en-US" w:bidi="ar-SA"/>
              </w:rPr>
              <w:t>1. Udalak emandako eskaera-orri normalizatua. Udalaren</w:t>
            </w:r>
            <w:r>
              <w:rPr>
                <w:rFonts w:eastAsia="Calibri" w:cs="Arial" w:ascii="Arial" w:hAnsi="Arial"/>
                <w:kern w:val="2"/>
                <w:sz w:val="22"/>
                <w:szCs w:val="24"/>
                <w:lang w:val="es-ES" w:eastAsia="en-US" w:bidi="ar-SA"/>
              </w:rPr>
              <w:t xml:space="preserve"> </w:t>
            </w:r>
            <w:r>
              <w:rPr>
                <w:rFonts w:eastAsia="Arial" w:cs="Arial" w:ascii="Arial" w:hAnsi="Arial"/>
                <w:kern w:val="2"/>
                <w:sz w:val="22"/>
                <w:szCs w:val="22"/>
                <w:lang w:val="es-ES" w:eastAsia="en-US" w:bidi="ar-SA"/>
              </w:rPr>
              <w:t xml:space="preserve">egoitza elektronikoan sartu, eta hortik dagokion dirulaguntza-lerroan sartuta eskura daiteke: </w:t>
            </w:r>
            <w:hyperlink r:id="rId2">
              <w:r>
                <w:rPr>
                  <w:rStyle w:val="Internetesteka"/>
                  <w:rFonts w:eastAsia="Calibri" w:cs="Arial" w:ascii="Arial" w:hAnsi="Arial"/>
                  <w:kern w:val="2"/>
                  <w:sz w:val="22"/>
                  <w:szCs w:val="22"/>
                  <w:lang w:val="eu-ES" w:eastAsia="en-US" w:bidi="ar-SA"/>
                </w:rPr>
                <w:t>https://uzt.gipuzkoa.eus/WAS/AYTO/USCServicioCiudadanoVer15WEB/home.do?De=EU07112885</w:t>
              </w:r>
            </w:hyperlink>
            <w:r>
              <w:rPr>
                <w:rFonts w:eastAsia="Arial" w:cs="Arial" w:ascii="Arial" w:hAnsi="Arial"/>
                <w:kern w:val="2"/>
                <w:sz w:val="22"/>
                <w:szCs w:val="22"/>
                <w:lang w:val="es-ES" w:eastAsia="en-US" w:bidi="ar-SA"/>
              </w:rPr>
              <w:t>. Eskaera-orri hori entitate eskatzailea ordezkatzeko legezko gaitasuna duen pertsonak sinatu beharko du.</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lang w:val="es-ES"/>
              </w:rPr>
            </w:pPr>
            <w:r>
              <w:rPr>
                <w:rFonts w:eastAsia="Calibri" w:cs="Arial" w:ascii="Arial" w:hAnsi="Arial"/>
                <w:spacing w:val="-3"/>
                <w:kern w:val="2"/>
                <w:sz w:val="22"/>
                <w:szCs w:val="22"/>
                <w:lang w:val="es-ES" w:eastAsia="en-US" w:bidi="ar-SA"/>
              </w:rPr>
              <w:t xml:space="preserve">1. Impreso de solicitud normalizado facilitado por el Ayuntamiento, accediendo a la Sede Electrónica, y después a la línea de subvención correspondiente: </w:t>
            </w:r>
            <w:hyperlink r:id="rId3">
              <w:r>
                <w:rPr>
                  <w:rStyle w:val="Internetesteka"/>
                  <w:rFonts w:eastAsia="Calibri" w:cs="Arial" w:ascii="Arial" w:hAnsi="Arial"/>
                  <w:kern w:val="2"/>
                  <w:sz w:val="22"/>
                  <w:szCs w:val="22"/>
                  <w:lang w:val="eu-ES" w:eastAsia="en-US" w:bidi="ar-SA"/>
                </w:rPr>
                <w:t>https://uzt.gipuzkoa.eus/WAS/AYTO/USCServicioCiudadanoVer15WEB/home.do?De=CA07112885</w:t>
              </w:r>
            </w:hyperlink>
            <w:r>
              <w:rPr>
                <w:rFonts w:eastAsia="Calibri" w:cs="Arial" w:ascii="Arial" w:hAnsi="Arial"/>
                <w:spacing w:val="-3"/>
                <w:kern w:val="2"/>
                <w:sz w:val="22"/>
                <w:szCs w:val="22"/>
                <w:lang w:val="es-ES" w:eastAsia="en-US" w:bidi="ar-SA"/>
              </w:rPr>
              <w:t>. Dicho impreso deberá estar firmado por la persona que tenga la capacidad legal para representar a la entidad solicitante.</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lang w:val="es-ES"/>
              </w:rPr>
            </w:pPr>
            <w:r>
              <w:rPr>
                <w:rFonts w:eastAsia="Droid Sans Fallback" w:cs="Arial" w:ascii="Arial" w:hAnsi="Arial"/>
                <w:kern w:val="2"/>
                <w:sz w:val="22"/>
                <w:szCs w:val="22"/>
                <w:lang w:val="es-ES" w:eastAsia="en-US" w:bidi="hi-IN"/>
              </w:rPr>
              <w:t xml:space="preserve">Eskaera-orrian, hauek adierazi behar dira: </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lang w:val="es-ES"/>
              </w:rPr>
            </w:pPr>
            <w:r>
              <w:rPr>
                <w:rFonts w:eastAsia="Calibri" w:cs="Arial" w:ascii="Arial" w:hAnsi="Arial"/>
                <w:spacing w:val="-3"/>
                <w:kern w:val="2"/>
                <w:sz w:val="22"/>
                <w:szCs w:val="22"/>
                <w:lang w:val="es-ES" w:eastAsia="en-US" w:bidi="ar-SA"/>
              </w:rPr>
              <w:t>En el mismo, se indicarán los siguientes aspectos: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lang w:val="es-ES"/>
              </w:rPr>
            </w:pPr>
            <w:r>
              <w:rPr>
                <w:rFonts w:eastAsia="Droid Sans Fallback" w:cs="Arial" w:ascii="Arial" w:hAnsi="Arial"/>
                <w:kern w:val="2"/>
                <w:sz w:val="22"/>
                <w:szCs w:val="22"/>
                <w:lang w:val="es-ES" w:eastAsia="en-US" w:bidi="hi-IN"/>
              </w:rPr>
              <w:t>a) Erantzukizunpeko adierazpena, aplikatzekoa den araudiaren arabera dirulaguntzak lortzeko debekurik ez duela adierazten duena.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lang w:val="es-ES"/>
              </w:rPr>
            </w:pPr>
            <w:r>
              <w:rPr>
                <w:rFonts w:eastAsia="Calibri" w:cs="Arial" w:ascii="Arial" w:hAnsi="Arial"/>
                <w:spacing w:val="-3"/>
                <w:kern w:val="2"/>
                <w:sz w:val="22"/>
                <w:szCs w:val="22"/>
                <w:lang w:val="es-ES" w:eastAsia="en-US" w:bidi="ar-SA"/>
              </w:rPr>
              <w:t>a) Declaración responsable de no estar incurso/a en ninguna de las causas de prohibición para  la obtención de subvenciones según lo estipulado por la normativa aplicable.</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rPr>
            </w:pPr>
            <w:r>
              <w:rPr>
                <w:rFonts w:eastAsia="Droid Sans Fallback" w:cs="Arial" w:ascii="Arial" w:hAnsi="Arial"/>
                <w:kern w:val="2"/>
                <w:sz w:val="22"/>
                <w:szCs w:val="22"/>
                <w:lang w:val="eu-ES" w:eastAsia="en-US" w:bidi="hi-IN"/>
              </w:rPr>
              <w:t>b) Erantzukizunpeko adierazpena, beste sail, instituzio, erakunde eta abarretan egindako dirulaguntza-eskaerak edo, hala badagokio, jarduera edo helburu bererako eman zaizkionak jasotzen dituena.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lang w:val="es-ES"/>
              </w:rPr>
            </w:pPr>
            <w:r>
              <w:rPr>
                <w:rFonts w:eastAsia="Calibri" w:cs="Arial" w:ascii="Arial" w:hAnsi="Arial"/>
                <w:spacing w:val="-3"/>
                <w:kern w:val="2"/>
                <w:sz w:val="22"/>
                <w:szCs w:val="22"/>
                <w:lang w:val="es-ES" w:eastAsia="en-US" w:bidi="ar-SA"/>
              </w:rPr>
              <w:t>b) Declaración responsable en la que se hagan constar las solicitudes de subvención formuladas ante otros departamentos, instituciones, organismos, etc., o en su caso, de las que estuvieran otorgadas para la misma actividad o finalidad.</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lang w:val="es-ES"/>
              </w:rPr>
            </w:pPr>
            <w:r>
              <w:rPr>
                <w:rFonts w:eastAsia="Droid Sans Fallback" w:cs="Arial" w:ascii="Arial" w:hAnsi="Arial"/>
                <w:kern w:val="2"/>
                <w:sz w:val="22"/>
                <w:szCs w:val="22"/>
                <w:lang w:val="es-ES" w:eastAsia="en-US" w:bidi="hi-IN"/>
              </w:rPr>
              <w:t>2. Ordezkaritza-agiria hala badagokio.</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lang w:val="es-ES"/>
              </w:rPr>
            </w:pPr>
            <w:r>
              <w:rPr>
                <w:rFonts w:eastAsia="Calibri" w:cs="Arial" w:ascii="Arial" w:hAnsi="Arial"/>
                <w:spacing w:val="-3"/>
                <w:kern w:val="2"/>
                <w:sz w:val="22"/>
                <w:szCs w:val="22"/>
                <w:lang w:val="es-ES" w:eastAsia="en-US" w:bidi="ar-SA"/>
              </w:rPr>
              <w:t>2. Documento de representación en su caso.</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spacing w:val="-3"/>
                <w:shd w:fill="FFFFFF" w:val="clear"/>
              </w:rPr>
            </w:pPr>
            <w:r>
              <w:rPr>
                <w:rFonts w:eastAsia="Calibri" w:cs="Arial" w:ascii="Arial" w:hAnsi="Arial"/>
                <w:bCs/>
                <w:spacing w:val="-3"/>
                <w:kern w:val="2"/>
                <w:sz w:val="22"/>
                <w:szCs w:val="22"/>
                <w:shd w:fill="FFFFFF" w:val="clear"/>
                <w:lang w:val="eu-ES" w:eastAsia="en-US" w:bidi="ar-SA"/>
              </w:rPr>
              <w:t>3. Jardueraren proiektua ( (DKEK-PRE-00 inprimakia), besteak beste honako hauek adierazita:</w:t>
            </w:r>
          </w:p>
          <w:p>
            <w:pPr>
              <w:pStyle w:val="Normal"/>
              <w:widowControl w:val="false"/>
              <w:suppressAutoHyphens w:val="true"/>
              <w:spacing w:lineRule="auto" w:line="276" w:before="0" w:after="160"/>
              <w:jc w:val="both"/>
              <w:rPr>
                <w:rFonts w:ascii="Arial" w:hAnsi="Arial" w:cs="Arial"/>
              </w:rPr>
            </w:pPr>
            <w:r>
              <w:rPr>
                <w:rFonts w:eastAsia="Calibri" w:cs="Arial" w:ascii="Arial" w:hAnsi="Arial"/>
                <w:kern w:val="2"/>
                <w:sz w:val="22"/>
                <w:szCs w:val="22"/>
                <w:lang w:val="eu-ES" w:eastAsia="en-US" w:bidi="ar-SA"/>
              </w:rPr>
              <w:t xml:space="preserve">a) Jardueraren hedapenerako euskararentzat aurreikusitako tratamendua. </w:t>
            </w:r>
          </w:p>
          <w:p>
            <w:pPr>
              <w:pStyle w:val="Normal"/>
              <w:widowControl w:val="false"/>
              <w:suppressAutoHyphens w:val="true"/>
              <w:spacing w:lineRule="auto" w:line="276" w:before="0" w:after="160"/>
              <w:jc w:val="both"/>
              <w:rPr>
                <w:rFonts w:ascii="Arial" w:hAnsi="Arial" w:cs="Arial"/>
                <w:b/>
                <w:b/>
                <w:bCs/>
                <w:lang w:val="es-ES"/>
              </w:rPr>
            </w:pPr>
            <w:r>
              <w:rPr>
                <w:rFonts w:eastAsia="Calibri" w:cs="Arial" w:ascii="Arial" w:hAnsi="Arial"/>
                <w:kern w:val="2"/>
                <w:sz w:val="22"/>
                <w:szCs w:val="22"/>
                <w:lang w:val="es-ES" w:eastAsia="en-US" w:bidi="ar-SA"/>
              </w:rPr>
              <w:t>b) Genero-ikuspegiaren eta ikuspegi intersekzionalaren tratamendua proiektuan, eta berdintasun-helburuen presentzia, aldez aurreko egoera diferentzialaren arabera, hala badagokio.</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spacing w:val="-3"/>
                <w:shd w:fill="FFFFFF" w:val="clear"/>
                <w:lang w:val="es-ES"/>
              </w:rPr>
            </w:pPr>
            <w:r>
              <w:rPr>
                <w:rFonts w:eastAsia="Calibri" w:cs="Arial" w:ascii="Arial" w:hAnsi="Arial"/>
                <w:bCs/>
                <w:spacing w:val="-3"/>
                <w:kern w:val="2"/>
                <w:sz w:val="22"/>
                <w:szCs w:val="22"/>
                <w:shd w:fill="FFFFFF" w:val="clear"/>
                <w:lang w:val="es-ES" w:eastAsia="en-US" w:bidi="ar-SA"/>
              </w:rPr>
              <w:t>3. Proyecto de la actividad (impreso DKEK-PRE-00 ) en el cual se indicarán entre otros, los siguientes aspectos:</w:t>
            </w:r>
          </w:p>
          <w:p>
            <w:pPr>
              <w:pStyle w:val="Normal"/>
              <w:widowControl w:val="false"/>
              <w:suppressAutoHyphens w:val="true"/>
              <w:spacing w:lineRule="auto" w:line="276" w:before="0" w:after="160"/>
              <w:jc w:val="both"/>
              <w:rPr>
                <w:rFonts w:ascii="Arial" w:hAnsi="Arial" w:eastAsia="Calibri" w:cs="Arial"/>
                <w:bCs/>
                <w:spacing w:val="-3"/>
                <w:shd w:fill="FFFFFF" w:val="clear"/>
                <w:lang w:val="es-ES"/>
              </w:rPr>
            </w:pPr>
            <w:r>
              <w:rPr>
                <w:rFonts w:eastAsia="Calibri" w:cs="Arial" w:ascii="Arial" w:hAnsi="Arial"/>
                <w:bCs/>
                <w:spacing w:val="-3"/>
                <w:kern w:val="2"/>
                <w:sz w:val="22"/>
                <w:szCs w:val="22"/>
                <w:shd w:fill="FFFFFF" w:val="clear"/>
                <w:lang w:val="es-ES" w:eastAsia="en-US" w:bidi="ar-SA"/>
              </w:rPr>
              <w:t>a) Tratamiento del euskera previsto en la difusión de la actividad.</w:t>
            </w:r>
          </w:p>
          <w:p>
            <w:pPr>
              <w:pStyle w:val="Normal"/>
              <w:widowControl w:val="false"/>
              <w:suppressAutoHyphens w:val="true"/>
              <w:spacing w:lineRule="auto" w:line="276" w:before="0" w:after="160"/>
              <w:jc w:val="both"/>
              <w:rPr>
                <w:rFonts w:ascii="Arial" w:hAnsi="Arial" w:eastAsia="Calibri" w:cs="Arial"/>
                <w:bCs/>
                <w:spacing w:val="-3"/>
                <w:shd w:fill="FFFFFF" w:val="clear"/>
                <w:lang w:val="es-ES"/>
              </w:rPr>
            </w:pPr>
            <w:r>
              <w:rPr>
                <w:rFonts w:eastAsia="Calibri" w:cs="Arial" w:ascii="Arial" w:hAnsi="Arial"/>
                <w:bCs/>
                <w:spacing w:val="-3"/>
                <w:kern w:val="2"/>
                <w:sz w:val="22"/>
                <w:szCs w:val="22"/>
                <w:shd w:fill="FFFFFF" w:val="clear"/>
                <w:lang w:val="es-ES" w:eastAsia="en-US" w:bidi="ar-SA"/>
              </w:rPr>
              <w:t>b) Tratamiento de la perspectiva de género e interseccional en el proyecto y presencia de objetivos de igualdad, en función de la situación diferencial previa, en su caso.</w:t>
            </w:r>
          </w:p>
          <w:p>
            <w:pPr>
              <w:pStyle w:val="Normal"/>
              <w:widowControl w:val="false"/>
              <w:suppressAutoHyphens w:val="true"/>
              <w:spacing w:lineRule="auto" w:line="276" w:before="0" w:after="160"/>
              <w:jc w:val="both"/>
              <w:rPr>
                <w:rFonts w:ascii="Arial" w:hAnsi="Arial" w:cs="Arial"/>
                <w:b/>
                <w:b/>
                <w:bCs/>
                <w:lang w:val="es-ES"/>
              </w:rPr>
            </w:pPr>
            <w:r>
              <w:rPr>
                <w:rFonts w:cs="Arial" w:ascii="Arial" w:hAnsi="Arial"/>
                <w:b/>
                <w:bCs/>
                <w:lang w:val="es-ES"/>
              </w:rPr>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lang w:val="es-ES"/>
              </w:rPr>
            </w:pPr>
            <w:r>
              <w:rPr>
                <w:rFonts w:eastAsia="Calibri" w:cs="Arial" w:ascii="Arial" w:hAnsi="Arial"/>
                <w:bCs/>
                <w:spacing w:val="-3"/>
                <w:kern w:val="2"/>
                <w:sz w:val="22"/>
                <w:szCs w:val="22"/>
                <w:shd w:fill="FFFFFF" w:val="clear"/>
                <w:lang w:val="es-ES" w:eastAsia="en-US" w:bidi="ar-SA"/>
              </w:rPr>
              <w:t xml:space="preserve">4. Gastuen eta diru-sarreren aurrekontua (inprimaki bera) </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lang w:val="es-ES"/>
              </w:rPr>
            </w:pPr>
            <w:r>
              <w:rPr>
                <w:rFonts w:eastAsia="Calibri" w:cs="Arial" w:ascii="Arial" w:hAnsi="Arial"/>
                <w:bCs/>
                <w:spacing w:val="-3"/>
                <w:kern w:val="2"/>
                <w:sz w:val="22"/>
                <w:szCs w:val="22"/>
                <w:shd w:fill="FFFFFF" w:val="clear"/>
                <w:lang w:val="es-ES" w:eastAsia="en-US" w:bidi="ar-SA"/>
              </w:rPr>
              <w:t xml:space="preserve">4. Presupuesto de gastos e ingresos </w:t>
            </w:r>
            <w:r>
              <w:rPr>
                <w:rFonts w:eastAsia="Calibri" w:cs="Arial" w:ascii="Arial" w:hAnsi="Arial"/>
                <w:spacing w:val="-3"/>
                <w:kern w:val="2"/>
                <w:sz w:val="22"/>
                <w:szCs w:val="22"/>
                <w:shd w:fill="FFFFFF" w:val="clear"/>
                <w:lang w:val="es-ES" w:eastAsia="en-US" w:bidi="ar-SA"/>
              </w:rPr>
              <w:t>(mismo impreso)</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lang w:val="en-GB"/>
              </w:rPr>
            </w:pPr>
            <w:r>
              <w:rPr>
                <w:rFonts w:eastAsia="Calibri" w:cs="Arial" w:ascii="Arial" w:hAnsi="Arial"/>
                <w:kern w:val="2"/>
                <w:sz w:val="22"/>
                <w:szCs w:val="22"/>
                <w:lang w:val="en-GB" w:eastAsia="en-US" w:bidi="ar-SA"/>
              </w:rPr>
              <w:t>Agiriak kontsultatzearen aurka egin bada: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lang w:val="es-ES"/>
              </w:rPr>
            </w:pPr>
            <w:r>
              <w:rPr>
                <w:rFonts w:eastAsia="Calibri" w:cs="Arial" w:ascii="Arial" w:hAnsi="Arial"/>
                <w:kern w:val="2"/>
                <w:sz w:val="22"/>
                <w:szCs w:val="22"/>
                <w:lang w:val="es-ES" w:eastAsia="en-US" w:bidi="ar-SA"/>
              </w:rPr>
              <w:t>En caso de oposición a la consulta de documentos: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rPr>
            </w:pPr>
            <w:r>
              <w:rPr>
                <w:rFonts w:eastAsia="Arial" w:cs="Arial" w:ascii="Arial" w:hAnsi="Arial"/>
                <w:kern w:val="2"/>
                <w:sz w:val="22"/>
                <w:szCs w:val="22"/>
                <w:lang w:val="eu-ES" w:eastAsia="en-US" w:bidi="ar-SA"/>
              </w:rPr>
              <w:t>5. Gipuzkoako Foru Aldundiko Ogasunari eta Gizarte Segurantzari ordaindu beharrekoak ordainduta dituela egiaztatzen duen agiria.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lang w:val="es-ES"/>
              </w:rPr>
            </w:pPr>
            <w:r>
              <w:rPr>
                <w:rFonts w:eastAsia="Calibri" w:cs="Arial" w:ascii="Arial" w:hAnsi="Arial"/>
                <w:kern w:val="2"/>
                <w:sz w:val="22"/>
                <w:szCs w:val="22"/>
                <w:lang w:val="es-ES" w:eastAsia="en-US" w:bidi="ar-SA"/>
              </w:rPr>
              <w:t>5. Certificado de estar al corriente de los pagos con la Hacienda de la Diputación Foral de Gipuzkoa y la Seguridad Social.</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rPr>
            </w:pPr>
            <w:r>
              <w:rPr>
                <w:rFonts w:eastAsia="Arial" w:cs="Arial" w:ascii="Arial" w:hAnsi="Arial"/>
                <w:kern w:val="2"/>
                <w:sz w:val="22"/>
                <w:szCs w:val="22"/>
                <w:lang w:val="eu-ES" w:eastAsia="en-US" w:bidi="ar-SA"/>
              </w:rPr>
              <w:t>6. Tolosako Udalari ordaindu beharrekoak ordainduta dituela egiaztatzen duen agiria.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lang w:val="es-ES"/>
              </w:rPr>
            </w:pPr>
            <w:r>
              <w:rPr>
                <w:rFonts w:eastAsia="Calibri" w:cs="Arial" w:ascii="Arial" w:hAnsi="Arial"/>
                <w:kern w:val="2"/>
                <w:sz w:val="22"/>
                <w:szCs w:val="22"/>
                <w:lang w:val="es-ES" w:eastAsia="en-US" w:bidi="ar-SA"/>
              </w:rPr>
              <w:t>6. Certificado de estar al corriente de los pagos con el Ayuntamiento de Tolosa.</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lang w:val="es-ES"/>
              </w:rPr>
            </w:pPr>
            <w:r>
              <w:rPr>
                <w:rFonts w:eastAsia="Calibri" w:cs="Arial" w:ascii="Arial" w:hAnsi="Arial"/>
                <w:kern w:val="2"/>
                <w:sz w:val="22"/>
                <w:szCs w:val="22"/>
                <w:lang w:val="es-ES" w:eastAsia="en-US" w:bidi="ar-SA"/>
              </w:rPr>
              <w:t>7. Kontu korrontearen titulartasunaren ziurtagiria.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lang w:val="es-ES"/>
              </w:rPr>
            </w:pPr>
            <w:r>
              <w:rPr>
                <w:rFonts w:eastAsia="Calibri" w:cs="Arial" w:ascii="Arial" w:hAnsi="Arial"/>
                <w:kern w:val="2"/>
                <w:sz w:val="22"/>
                <w:szCs w:val="22"/>
                <w:lang w:val="es-ES" w:eastAsia="en-US" w:bidi="ar-SA"/>
              </w:rPr>
              <w:t>7. Certificado de la titularidad de la cuenta corriente.</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rPr>
            </w:pPr>
            <w:r>
              <w:rPr>
                <w:rFonts w:eastAsia="Arial" w:cs="Arial" w:ascii="Arial" w:hAnsi="Arial"/>
                <w:kern w:val="2"/>
                <w:sz w:val="22"/>
                <w:szCs w:val="22"/>
                <w:lang w:val="eu-ES" w:eastAsia="en-US" w:bidi="ar-SA"/>
              </w:rPr>
              <w:t>8. IGAEn BDNSn dirulaguntzak eta laguntzak eskuratzeko inhabilitazioaren agiria.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lang w:val="es-ES"/>
              </w:rPr>
            </w:pPr>
            <w:r>
              <w:rPr>
                <w:rFonts w:eastAsia="Calibri" w:cs="Arial" w:ascii="Arial" w:hAnsi="Arial"/>
                <w:color w:val="000000"/>
                <w:spacing w:val="-3"/>
                <w:kern w:val="2"/>
                <w:sz w:val="22"/>
                <w:szCs w:val="22"/>
                <w:shd w:fill="FFFFFF" w:val="clear"/>
                <w:lang w:val="es-ES" w:eastAsia="en-US" w:bidi="ar-SA"/>
              </w:rPr>
              <w:t>8. Certificado de inhabilitaciones para obtener subvenciones y ayudas de BDNS al IGAE.</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 xml:space="preserve">9. </w:t>
            </w:r>
            <w:r>
              <w:rPr>
                <w:rFonts w:eastAsia="Calibri" w:cs="Arial" w:ascii="Arial" w:hAnsi="Arial"/>
                <w:b/>
                <w:bCs/>
                <w:kern w:val="2"/>
                <w:sz w:val="22"/>
                <w:szCs w:val="22"/>
                <w:lang w:val="es-ES" w:eastAsia="en-US" w:bidi="ar-SA"/>
              </w:rPr>
              <w:t>Dokumentazio elkarreragilea eta egiaztagarria.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lang w:val="es-ES"/>
              </w:rPr>
            </w:pPr>
            <w:r>
              <w:rPr>
                <w:rFonts w:eastAsia="Calibri" w:cs="Arial" w:ascii="Arial" w:hAnsi="Arial"/>
                <w:b/>
                <w:bCs/>
                <w:color w:val="000000"/>
                <w:spacing w:val="-3"/>
                <w:kern w:val="2"/>
                <w:sz w:val="22"/>
                <w:szCs w:val="22"/>
                <w:lang w:val="es-ES" w:eastAsia="en-US" w:bidi="ar-SA"/>
              </w:rPr>
              <w:t>9. Documentación interoperable y verificable.</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Administrazio Publikoen Administrazio Prozedura Erkidearen urriaren 1eko 39/2015 Legeak 28. artikuluan aitortzen du herritarrek eskubidea dutela Tolosako Udalaren esku dauden dokumentuak ez aurkezteko.</w:t>
            </w:r>
          </w:p>
        </w:tc>
        <w:tc>
          <w:tcPr>
            <w:tcW w:w="4276" w:type="dxa"/>
            <w:tcBorders>
              <w:top w:val="nil"/>
              <w:left w:val="nil"/>
              <w:bottom w:val="nil"/>
              <w:right w:val="nil"/>
            </w:tcBorders>
          </w:tcPr>
          <w:p>
            <w:pPr>
              <w:pStyle w:val="Normal"/>
              <w:widowControl w:val="false"/>
              <w:suppressAutoHyphens w:val="true"/>
              <w:spacing w:lineRule="auto" w:line="240"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La ley 39/2015, de 1 de octubre, del Procedimiento Administrativo Común de las Administraciones Públicas, en el artículo 28 reconoce el derecho de la ciudadanía a no aportar documentos que ya se encuentren en poder del Ayuntamiento de Tolosa.</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Style w:val="Fuentedeprrafopredeter1"/>
                <w:rFonts w:eastAsia="Arial" w:cs="Arial" w:ascii="Arial" w:hAnsi="Arial"/>
                <w:iCs/>
                <w:spacing w:val="-4"/>
                <w:kern w:val="2"/>
                <w:sz w:val="22"/>
                <w:szCs w:val="22"/>
                <w:lang w:val="eu-ES" w:eastAsia="en-US" w:bidi="ar-SA"/>
              </w:rPr>
              <w:t>Ondorio horietarako, pertsona edo erakunde interesdunak adierazi beharko du noiz eta zer administrazio-organoren aurrean aurkeztu zituen dokumentu horiek, betiere 5 urte baino gehiago igaro ez badira dagokien prozedura amaitu zenetik, Dirulaguntzei buruzko azaroaren 17ko 38/2003 Lege Orokorraren 23.3 artikuluaren arabera, eta organo instrukzio-egileak eskatu beharko ditu, salbu eta prozeduran jasota badago pertsonaren/erakundearen berariazko aurkakotasuna, edo aplikatzekoa den lege bereziak berariazko adostasuna eskatzen badu.</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A estos efectos, la persona o entidad interesada deberá indicar en qué momento y ante qué órgano administrativo presentó los citados documentos, siempre y que no hayan transcurrido más de 5 años desde la finalización el procedimiento al que correspondan, de acuerdo al artículo 23.3 de la Ley 38/2003, de 17 de noviembre, General de Subvenciones, debiendo ser recabados por el órgano instructor, salvo que conste en el procedimiento la oposición expresa de la persona/entidad o la ley especial aplicable requiera su consentimiento expreso.</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Style w:val="Fuentedeprrafopredeter1"/>
                <w:rFonts w:eastAsia="Arial" w:cs="Arial" w:ascii="Arial" w:hAnsi="Arial"/>
                <w:iCs/>
                <w:spacing w:val="-4"/>
                <w:kern w:val="2"/>
                <w:sz w:val="22"/>
                <w:szCs w:val="22"/>
                <w:lang w:val="eu-ES" w:eastAsia="en-US" w:bidi="ar-SA"/>
              </w:rPr>
              <w:t>Era berean, herritarrei aitortzen zaie edozein Administraziok eginiko dokumentuak ez aurkezteko eskubidea. Tolosako Udalak dokumentu horiek kontsultatu edo eskuratu ahal izango ditu NISAE elkarreragingarritasun-nodoaren bidez. NISAE euskal sektore publikoko administrazio eta erakunde guztiek erabiltzen duten plataforma da, datu elektronikoak administrazio batzuen eta besteen artean partekatzeko nodo autonomikoa, hain zuzen.</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A su vez, se reconoce el derecho de la ciudadanía a no aportar documentos que hayan sido elaborados por cualquier Administración. De tal forma que el Ayuntamiento de Tolosa podrá consultar o recabar dichos documentos a través del nodo de interoperabilidad NISAE, plataforma común para todas las administraciones y entidades del sector público vasco como nodo autonómico para el intercambio de datos electrónicos entre distintas administraciones.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Entitate eskatzaileek berariaz adierazi ahal izango dute ez daudela ados dokumentuak egiaztatzearekin; horrelakoetan, haiek aurkeztu beharko dituzte dokumentuak.</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Las entidades solicitantes podrán mostrar su oposición expresa a la verificación de documentos, en cuyo caso serán ellas mismas las encargadas de su aportación.</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Ildo horretan, dirulaguntza lerro honetarako, honako baldintza hauek egiaztatuko dira NISAE bitartekaritzarako edo sarbide publikorako plataforma korporatiboen bidez:</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En este sentido, los requisitos que se verificarán para esta línea de subvención a través de las plataformas corporativas, de intermediación NISAE o acceso público serán los siguientes:</w:t>
            </w:r>
          </w:p>
        </w:tc>
      </w:tr>
      <w:tr>
        <w:trPr/>
        <w:tc>
          <w:tcPr>
            <w:tcW w:w="4108" w:type="dxa"/>
            <w:tcBorders>
              <w:top w:val="nil"/>
              <w:left w:val="nil"/>
              <w:bottom w:val="nil"/>
              <w:right w:val="nil"/>
            </w:tcBorders>
          </w:tcPr>
          <w:p>
            <w:pPr>
              <w:pStyle w:val="ListParagraph"/>
              <w:widowControl w:val="false"/>
              <w:numPr>
                <w:ilvl w:val="0"/>
                <w:numId w:val="11"/>
              </w:numPr>
              <w:suppressAutoHyphens w:val="true"/>
              <w:spacing w:lineRule="auto" w:line="276" w:before="0" w:after="160"/>
              <w:contextualSpacing/>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Gipuzkoako Foru Aldundiko Ogasunari eta Gizarte Segurantzari ordaindu beharrekoak ordainduta dituela egiaztatzen duen agiria.</w:t>
            </w:r>
          </w:p>
          <w:p>
            <w:pPr>
              <w:pStyle w:val="ListParagraph"/>
              <w:widowControl w:val="false"/>
              <w:tabs>
                <w:tab w:val="clear" w:pos="708"/>
                <w:tab w:val="left" w:pos="1190" w:leader="none"/>
              </w:tabs>
              <w:suppressAutoHyphens w:val="true"/>
              <w:spacing w:before="0" w:after="160"/>
              <w:ind w:left="2160" w:hanging="0"/>
              <w:contextualSpacing/>
              <w:jc w:val="left"/>
              <w:rPr>
                <w:rFonts w:ascii="Arial" w:hAnsi="Arial" w:cs="Arial"/>
              </w:rPr>
            </w:pPr>
            <w:r>
              <w:rPr>
                <w:rFonts w:cs="Arial" w:ascii="Arial" w:hAnsi="Arial"/>
              </w:rPr>
            </w:r>
          </w:p>
        </w:tc>
        <w:tc>
          <w:tcPr>
            <w:tcW w:w="4276" w:type="dxa"/>
            <w:tcBorders>
              <w:top w:val="nil"/>
              <w:left w:val="nil"/>
              <w:bottom w:val="nil"/>
              <w:right w:val="nil"/>
            </w:tcBorders>
          </w:tcPr>
          <w:p>
            <w:pPr>
              <w:pStyle w:val="ListParagraph"/>
              <w:widowControl w:val="false"/>
              <w:numPr>
                <w:ilvl w:val="0"/>
                <w:numId w:val="11"/>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Certificado de estar al corriente de los pagos con la Hacienda de la Diputación Foral de Gipuzkoa y Seguridad Social.</w:t>
            </w:r>
          </w:p>
        </w:tc>
      </w:tr>
      <w:tr>
        <w:trPr/>
        <w:tc>
          <w:tcPr>
            <w:tcW w:w="4108" w:type="dxa"/>
            <w:tcBorders>
              <w:top w:val="nil"/>
              <w:left w:val="nil"/>
              <w:bottom w:val="nil"/>
              <w:right w:val="nil"/>
            </w:tcBorders>
          </w:tcPr>
          <w:p>
            <w:pPr>
              <w:pStyle w:val="ListParagraph"/>
              <w:widowControl w:val="false"/>
              <w:numPr>
                <w:ilvl w:val="0"/>
                <w:numId w:val="11"/>
              </w:numPr>
              <w:suppressAutoHyphens w:val="true"/>
              <w:spacing w:lineRule="auto" w:line="276" w:before="0" w:after="160"/>
              <w:contextualSpacing/>
              <w:jc w:val="both"/>
              <w:rPr>
                <w:rFonts w:ascii="Arial" w:hAnsi="Arial" w:eastAsia="Arial" w:cs="Arial"/>
              </w:rPr>
            </w:pPr>
            <w:r>
              <w:rPr>
                <w:rFonts w:eastAsia="Arial" w:cs="Arial" w:ascii="Arial" w:hAnsi="Arial"/>
                <w:kern w:val="2"/>
                <w:sz w:val="22"/>
                <w:szCs w:val="22"/>
                <w:lang w:val="eu-ES" w:eastAsia="en-US" w:bidi="ar-SA"/>
              </w:rPr>
              <w:t>IGAEn BDNSn dirulaguntzak eta laguntzak eskuratzeko inhabilitazioaren agiria.</w:t>
            </w:r>
          </w:p>
        </w:tc>
        <w:tc>
          <w:tcPr>
            <w:tcW w:w="4276" w:type="dxa"/>
            <w:tcBorders>
              <w:top w:val="nil"/>
              <w:left w:val="nil"/>
              <w:bottom w:val="nil"/>
              <w:right w:val="nil"/>
            </w:tcBorders>
          </w:tcPr>
          <w:p>
            <w:pPr>
              <w:pStyle w:val="ListParagraph"/>
              <w:widowControl w:val="false"/>
              <w:numPr>
                <w:ilvl w:val="0"/>
                <w:numId w:val="11"/>
              </w:numPr>
              <w:suppressAutoHyphens w:val="true"/>
              <w:spacing w:lineRule="auto" w:line="276" w:before="0" w:after="160"/>
              <w:contextualSpacing/>
              <w:jc w:val="both"/>
              <w:rPr>
                <w:rFonts w:ascii="Arial" w:hAnsi="Arial" w:eastAsia="Calibri"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Certificado de inhabilitaciones para obtener subvenciones y ayudas de BDNS al IGAE.</w:t>
            </w:r>
          </w:p>
        </w:tc>
      </w:tr>
      <w:tr>
        <w:trPr/>
        <w:tc>
          <w:tcPr>
            <w:tcW w:w="4108" w:type="dxa"/>
            <w:tcBorders>
              <w:top w:val="nil"/>
              <w:left w:val="nil"/>
              <w:bottom w:val="nil"/>
              <w:right w:val="nil"/>
            </w:tcBorders>
          </w:tcPr>
          <w:p>
            <w:pPr>
              <w:pStyle w:val="ListParagraph"/>
              <w:widowControl w:val="false"/>
              <w:numPr>
                <w:ilvl w:val="0"/>
                <w:numId w:val="11"/>
              </w:numPr>
              <w:suppressAutoHyphens w:val="true"/>
              <w:spacing w:lineRule="auto" w:line="276" w:before="0" w:after="160"/>
              <w:contextualSpacing/>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Tolosako Udalari ordaindu beharrekoak ordainduta dituela egiaztatzen duen agiria.</w:t>
            </w:r>
          </w:p>
        </w:tc>
        <w:tc>
          <w:tcPr>
            <w:tcW w:w="4276" w:type="dxa"/>
            <w:tcBorders>
              <w:top w:val="nil"/>
              <w:left w:val="nil"/>
              <w:bottom w:val="nil"/>
              <w:right w:val="nil"/>
            </w:tcBorders>
          </w:tcPr>
          <w:p>
            <w:pPr>
              <w:pStyle w:val="ListParagraph"/>
              <w:widowControl w:val="false"/>
              <w:numPr>
                <w:ilvl w:val="0"/>
                <w:numId w:val="11"/>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Certificado de estar al corriente de los pagos con el Ayuntamiento de Tolosa. Certificado de la titularidad de la cuenta corriente.</w:t>
            </w:r>
          </w:p>
        </w:tc>
      </w:tr>
      <w:tr>
        <w:trPr/>
        <w:tc>
          <w:tcPr>
            <w:tcW w:w="4108" w:type="dxa"/>
            <w:tcBorders>
              <w:top w:val="nil"/>
              <w:left w:val="nil"/>
              <w:bottom w:val="nil"/>
              <w:right w:val="nil"/>
            </w:tcBorders>
          </w:tcPr>
          <w:p>
            <w:pPr>
              <w:pStyle w:val="ListParagraph"/>
              <w:widowControl w:val="false"/>
              <w:numPr>
                <w:ilvl w:val="0"/>
                <w:numId w:val="11"/>
              </w:numPr>
              <w:suppressAutoHyphens w:val="true"/>
              <w:spacing w:lineRule="auto" w:line="276" w:before="0" w:after="160"/>
              <w:contextualSpacing/>
              <w:jc w:val="both"/>
              <w:rPr>
                <w:rFonts w:ascii="Arial" w:hAnsi="Arial" w:cs="Arial"/>
                <w:b/>
                <w:b/>
                <w:color w:val="000000"/>
                <w:spacing w:val="-3"/>
                <w:shd w:fill="FFFFFF" w:val="clear"/>
                <w:lang w:val="es-ES"/>
              </w:rPr>
            </w:pPr>
            <w:r>
              <w:rPr>
                <w:rFonts w:eastAsia="Calibri" w:cs="Arial" w:ascii="Arial" w:hAnsi="Arial"/>
                <w:kern w:val="2"/>
                <w:sz w:val="22"/>
                <w:szCs w:val="22"/>
                <w:lang w:val="es-ES" w:eastAsia="en-US" w:bidi="ar-SA"/>
              </w:rPr>
              <w:t>Kontu korrontearen titulartasunaren ziurtagiria.</w:t>
            </w:r>
          </w:p>
        </w:tc>
        <w:tc>
          <w:tcPr>
            <w:tcW w:w="4276" w:type="dxa"/>
            <w:tcBorders>
              <w:top w:val="nil"/>
              <w:left w:val="nil"/>
              <w:bottom w:val="nil"/>
              <w:right w:val="nil"/>
            </w:tcBorders>
          </w:tcPr>
          <w:p>
            <w:pPr>
              <w:pStyle w:val="ListParagraph"/>
              <w:widowControl w:val="false"/>
              <w:numPr>
                <w:ilvl w:val="0"/>
                <w:numId w:val="11"/>
              </w:numPr>
              <w:suppressAutoHyphens w:val="true"/>
              <w:spacing w:lineRule="auto" w:line="276" w:before="0" w:after="160"/>
              <w:ind w:left="720" w:right="113" w:hanging="360"/>
              <w:contextualSpacing/>
              <w:jc w:val="both"/>
              <w:rPr>
                <w:rFonts w:ascii="Arial" w:hAnsi="Arial" w:cs="Arial"/>
                <w:color w:val="000000"/>
                <w:spacing w:val="-3"/>
                <w:shd w:fill="FFFFFF" w:val="clear"/>
                <w:lang w:val="es-ES"/>
              </w:rPr>
            </w:pPr>
            <w:r>
              <w:rPr>
                <w:rFonts w:eastAsia="Calibri" w:cs="Arial" w:ascii="Arial" w:hAnsi="Arial"/>
                <w:kern w:val="2"/>
                <w:sz w:val="22"/>
                <w:szCs w:val="22"/>
                <w:lang w:val="es-ES" w:eastAsia="en-US" w:bidi="ar-SA"/>
              </w:rPr>
              <w:t>Certificado de la titularidad de la cuenta corriente.</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Salbuespenez, instrukzio-organoak ezin baditu aurreko paragrafoetan aipatutako agiriak eskuratu, berriz eskatu ahal izango dio entitate eskatzaileari aurkez ditzala.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Excepcionalmente, si el órgano instructor no pudiera recabar los documentos citados en los apartados anteriores, podrá solicitar nuevamente a la entidad solicitante su aportación.</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Besterik ezean, prozedura bideratu eta ebazteko ardura duen organo eskudunak eskatu ahal izango du aurkeztutako eskaera behar bezala ebaluatu eta ebazteko beharrezkotzat jotzen duen dokumentazio eta informazio osagarri guztia.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En última instancia, el órgano competente responsable de instruir y resolver el procedimiento podrá requerir cuanta documentación e información complementaria considere necesaria para la adecuada evaluación y resolución de la solicitud presentada.</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 xml:space="preserve">10. </w:t>
            </w:r>
            <w:r>
              <w:rPr>
                <w:rFonts w:eastAsia="Calibri" w:cs="Arial" w:ascii="Arial" w:hAnsi="Arial"/>
                <w:b/>
                <w:bCs/>
                <w:kern w:val="2"/>
                <w:sz w:val="22"/>
                <w:szCs w:val="22"/>
                <w:lang w:val="es-ES" w:eastAsia="en-US" w:bidi="ar-SA"/>
              </w:rPr>
              <w:t>Akatsak zuzentzea eta dokumentazio osagarria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10. Subsanación de errores y documentación complementaria</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Arial" w:cs="Arial"/>
                <w:lang w:val="es-ES"/>
              </w:rPr>
            </w:pPr>
            <w:r>
              <w:rPr>
                <w:rFonts w:eastAsia="Arial" w:cs="Arial" w:ascii="Arial" w:hAnsi="Arial"/>
                <w:kern w:val="2"/>
                <w:sz w:val="22"/>
                <w:szCs w:val="22"/>
                <w:lang w:val="eu-ES" w:eastAsia="en-US" w:bidi="ar-SA"/>
              </w:rPr>
              <w:t xml:space="preserve">Prozedura hasteko eskaeran ez badira betetzen deialdian ezarritako baldintzak, interesdunari hamar eguneko epea emango zaio, jakinarazpena egin eta hurrengo egunetik zenbatzen hasita, akatsa zuzentzeko edo aurkeztu ez dituen nahitaezko agiriak aurkez ditzan. </w:t>
            </w:r>
            <w:r>
              <w:rPr>
                <w:rFonts w:eastAsia="Arial" w:cs="Arial" w:ascii="Arial" w:hAnsi="Arial"/>
                <w:kern w:val="2"/>
                <w:sz w:val="22"/>
                <w:szCs w:val="22"/>
                <w:lang w:val="es-ES" w:eastAsia="en-US" w:bidi="ar-SA"/>
              </w:rPr>
              <w:t>Era berean, adieraziko zaio, eskatutakoa egiten ez badu, eskaeran atzera egin duela ulertuko dela. Horretarako, ebazpena emango da, Administrazio Prozedura Erkidearen urriaren 1eko 39/2015 Legearen 68. artikuluan ezarritakoarekin bat etorrita.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Si la solicitud de iniciación no reúne los requisitos establecidos en la convocatoria se requerirá a la persona interesada para que, en un plazo de diez días, contados a partir del día siguiente al de la notificación, subsane la falta o acompañe los documentos preceptivos, con indicación de que, si así no lo hiciera, se le tendrá por desistido de su petición, previa resolución que deberá ser dictada, de conformidad con lo establecido en el Artículo 68 de la Ley 39/2015, de 1 de octubre, del Procedimiento Administrativo Común.</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11. </w:t>
            </w:r>
            <w:r>
              <w:rPr>
                <w:rFonts w:eastAsia="Calibri" w:cs="Arial" w:ascii="Arial" w:hAnsi="Arial"/>
                <w:b/>
                <w:bCs/>
                <w:kern w:val="2"/>
                <w:sz w:val="22"/>
                <w:szCs w:val="22"/>
                <w:lang w:val="eu-ES" w:eastAsia="en-US" w:bidi="ar-SA"/>
              </w:rPr>
              <w:t>Dirulaguntzaren zenbateko indibidualizatua zehazteko irizpideak</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11. Criterios para determinar la cuantía individualizada de la subvención</w:t>
            </w:r>
          </w:p>
        </w:tc>
      </w:tr>
      <w:tr>
        <w:trPr/>
        <w:tc>
          <w:tcPr>
            <w:tcW w:w="4108" w:type="dxa"/>
            <w:tcBorders>
              <w:top w:val="nil"/>
              <w:left w:val="nil"/>
              <w:bottom w:val="nil"/>
              <w:right w:val="nil"/>
            </w:tcBorders>
          </w:tcPr>
          <w:p>
            <w:pPr>
              <w:pStyle w:val="Normal"/>
              <w:widowControl w:val="false"/>
              <w:suppressAutoHyphens w:val="true"/>
              <w:spacing w:lineRule="auto" w:line="276" w:before="0" w:after="0"/>
              <w:ind w:right="113" w:hanging="0"/>
              <w:jc w:val="both"/>
              <w:rPr>
                <w:rFonts w:ascii="Arial" w:hAnsi="Arial" w:eastAsia="SimSun" w:cs="Mangal"/>
                <w:lang w:val="es-ES" w:eastAsia="zh-CN" w:bidi="hi-IN"/>
                <w14:ligatures w14:val="none"/>
              </w:rPr>
            </w:pPr>
            <w:r>
              <w:rPr>
                <w:rFonts w:eastAsia="SimSun" w:cs="Mangal" w:ascii="Arial" w:hAnsi="Arial"/>
                <w:kern w:val="2"/>
                <w:sz w:val="22"/>
                <w:szCs w:val="22"/>
                <w:lang w:val="es-ES" w:eastAsia="zh-CN" w:bidi="hi-IN"/>
                <w14:ligatures w14:val="none"/>
              </w:rPr>
              <w:t>Ebaluatzeko adierazleak honela puntuatuko dira:</w:t>
            </w:r>
          </w:p>
          <w:p>
            <w:pPr>
              <w:pStyle w:val="Normal"/>
              <w:widowControl w:val="false"/>
              <w:suppressAutoHyphens w:val="true"/>
              <w:spacing w:lineRule="auto" w:line="276" w:before="0" w:after="0"/>
              <w:ind w:right="113" w:hanging="0"/>
              <w:jc w:val="both"/>
              <w:rPr>
                <w:lang w:val="es-ES"/>
              </w:rPr>
            </w:pPr>
            <w:r>
              <w:rPr>
                <w:lang w:val="es-ES"/>
              </w:rPr>
            </w:r>
          </w:p>
          <w:p>
            <w:pPr>
              <w:pStyle w:val="Normal"/>
              <w:widowControl w:val="false"/>
              <w:suppressAutoHyphens w:val="true"/>
              <w:spacing w:lineRule="auto" w:line="276" w:before="0" w:after="0"/>
              <w:ind w:right="113" w:hanging="0"/>
              <w:jc w:val="both"/>
              <w:rPr>
                <w:rFonts w:ascii="Arial" w:hAnsi="Arial" w:eastAsia="SimSun" w:cs="Mangal"/>
                <w:lang w:val="es-ES" w:eastAsia="zh-CN" w:bidi="hi-IN"/>
                <w14:ligatures w14:val="none"/>
              </w:rPr>
            </w:pPr>
            <w:bookmarkStart w:id="7" w:name="translation_box2"/>
            <w:bookmarkEnd w:id="7"/>
            <w:r>
              <w:rPr>
                <w:rFonts w:eastAsia="SimSun" w:cs="Mangal" w:ascii="Arial" w:hAnsi="Arial"/>
                <w:kern w:val="2"/>
                <w:sz w:val="22"/>
                <w:szCs w:val="22"/>
                <w:lang w:val="es-ES" w:eastAsia="zh-CN" w:bidi="hi-IN"/>
                <w14:ligatures w14:val="none"/>
              </w:rPr>
              <w:t>I. atalerako, helburu izanik eskola-kiroleko jardueren kudeaketa eta arreta hobetzea, honako hauek puntuatuko dira:</w:t>
            </w:r>
          </w:p>
          <w:p>
            <w:pPr>
              <w:pStyle w:val="Normal"/>
              <w:widowControl w:val="false"/>
              <w:suppressAutoHyphens w:val="true"/>
              <w:spacing w:lineRule="auto" w:line="276" w:before="0" w:after="0"/>
              <w:ind w:right="113" w:hanging="0"/>
              <w:jc w:val="both"/>
              <w:rPr>
                <w:lang w:val="es-ES"/>
              </w:rPr>
            </w:pPr>
            <w:r>
              <w:rPr>
                <w:lang w:val="es-ES"/>
              </w:rPr>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Style w:val="Formcontroltext"/>
                <w:rFonts w:ascii="Arial" w:hAnsi="Arial" w:cs="Arial"/>
                <w:lang w:val="es-ES"/>
              </w:rPr>
            </w:pPr>
            <w:r>
              <w:rPr>
                <w:rStyle w:val="Formcontroltext"/>
                <w:rFonts w:eastAsia="Calibri" w:cs="Arial" w:ascii="Arial" w:hAnsi="Arial"/>
                <w:kern w:val="2"/>
                <w:sz w:val="22"/>
                <w:szCs w:val="22"/>
                <w:lang w:val="es-ES" w:eastAsia="en-US" w:bidi="ar-SA"/>
              </w:rPr>
              <w:t>Los indicadores de evaluación se puntuarán de la siguiente manera:</w:t>
            </w:r>
          </w:p>
          <w:p>
            <w:pPr>
              <w:pStyle w:val="Normal"/>
              <w:widowControl w:val="false"/>
              <w:suppressAutoHyphens w:val="true"/>
              <w:spacing w:lineRule="auto" w:line="276" w:before="0" w:after="160"/>
              <w:jc w:val="both"/>
              <w:rPr>
                <w:lang w:val="es-ES"/>
              </w:rPr>
            </w:pPr>
            <w:r>
              <w:rPr>
                <w:rStyle w:val="Formcontroltext"/>
                <w:rFonts w:eastAsia="Calibri" w:cs="Arial" w:ascii="Arial" w:hAnsi="Arial"/>
                <w:kern w:val="2"/>
                <w:sz w:val="22"/>
                <w:szCs w:val="22"/>
                <w:lang w:val="es-ES" w:eastAsia="en-US" w:bidi="ar-SA"/>
              </w:rPr>
              <w:t>Para el apartado I,</w:t>
            </w:r>
            <w:r>
              <w:rPr>
                <w:rFonts w:eastAsia="Calibri" w:cs="" w:ascii="Arial" w:hAnsi="Arial"/>
                <w:kern w:val="2"/>
                <w:sz w:val="22"/>
                <w:szCs w:val="22"/>
                <w:lang w:val="es-ES" w:eastAsia="en-US" w:bidi="ar-SA"/>
              </w:rPr>
              <w:t xml:space="preserve"> siendo el objetivo mejora de la gestión y de la atención de las actividades de deporte escolar, se puntuarán los siguientes:</w:t>
            </w:r>
          </w:p>
        </w:tc>
      </w:tr>
      <w:tr>
        <w:trPr/>
        <w:tc>
          <w:tcPr>
            <w:tcW w:w="4108" w:type="dxa"/>
            <w:tcBorders>
              <w:top w:val="nil"/>
              <w:left w:val="nil"/>
              <w:bottom w:val="nil"/>
              <w:right w:val="nil"/>
            </w:tcBorders>
          </w:tcPr>
          <w:p>
            <w:pPr>
              <w:pStyle w:val="Western"/>
              <w:widowControl w:val="false"/>
              <w:suppressAutoHyphens w:val="true"/>
              <w:spacing w:before="0" w:after="160"/>
              <w:ind w:right="113" w:hanging="0"/>
              <w:jc w:val="left"/>
              <w:rPr>
                <w:b/>
                <w:b/>
                <w:bCs/>
                <w:lang w:val="es-ES"/>
              </w:rPr>
            </w:pPr>
            <w:r>
              <w:rPr>
                <w:rFonts w:cs="Arial" w:ascii="Arial" w:hAnsi="Arial"/>
                <w:b/>
                <w:bCs/>
                <w:sz w:val="22"/>
                <w:szCs w:val="22"/>
                <w:lang w:val="es-ES" w:bidi="ar-SA"/>
              </w:rPr>
              <w:t>I.-  Eskola-kirolean izena ematea: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I.- Inscripción en deporte escolar:</w:t>
            </w:r>
          </w:p>
        </w:tc>
      </w:tr>
      <w:tr>
        <w:trPr/>
        <w:tc>
          <w:tcPr>
            <w:tcW w:w="4108" w:type="dxa"/>
            <w:tcBorders>
              <w:top w:val="nil"/>
              <w:left w:val="nil"/>
              <w:bottom w:val="nil"/>
              <w:right w:val="nil"/>
            </w:tcBorders>
          </w:tcPr>
          <w:p>
            <w:pPr>
              <w:pStyle w:val="Western"/>
              <w:widowControl w:val="false"/>
              <w:suppressAutoHyphens w:val="true"/>
              <w:spacing w:before="0" w:after="142"/>
              <w:ind w:right="113" w:hanging="0"/>
              <w:jc w:val="both"/>
              <w:rPr>
                <w:lang w:val="eu-ES" w:bidi="ar-SA"/>
              </w:rPr>
            </w:pPr>
            <w:r>
              <w:rPr>
                <w:rFonts w:cs="Arial" w:ascii="Arial" w:hAnsi="Arial"/>
                <w:sz w:val="22"/>
                <w:szCs w:val="22"/>
                <w:lang w:val="eu-ES" w:bidi="ar-SA"/>
              </w:rPr>
              <w:t>Gipuzkoako Foru Aldundiak Lehen Hezkuntzako 1., 2., 3., 4., 5., eta 6. mailetako ikasleentzako dituen Jolashezi edo Multikirola programetan Tolosako ikastetxeek inskribatzen dituzten taldeak baloratuko dira, betiere honako baldintza hauek betetzen badituzte:</w:t>
            </w:r>
          </w:p>
        </w:tc>
        <w:tc>
          <w:tcPr>
            <w:tcW w:w="4276" w:type="dxa"/>
            <w:tcBorders>
              <w:top w:val="nil"/>
              <w:left w:val="nil"/>
              <w:bottom w:val="nil"/>
              <w:right w:val="nil"/>
            </w:tcBorders>
          </w:tcPr>
          <w:p>
            <w:pPr>
              <w:pStyle w:val="Normal"/>
              <w:widowControl w:val="false"/>
              <w:suppressAutoHyphens w:val="true"/>
              <w:spacing w:lineRule="auto" w:line="276" w:before="0" w:after="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Se valorarán los grupos inscritos por los centros escolares de Tolosa en los programas Jolashezi o Multikirola de la Diputación Foral de Gipuzkoa para el alumnado de 1.º, 2.º, 3.º, 4.º, 5 y 6.º de Educación Primaria siempre que cumplan los siguientes requisitos:</w:t>
            </w:r>
          </w:p>
        </w:tc>
      </w:tr>
      <w:tr>
        <w:trPr/>
        <w:tc>
          <w:tcPr>
            <w:tcW w:w="4108" w:type="dxa"/>
            <w:tcBorders>
              <w:top w:val="nil"/>
              <w:left w:val="nil"/>
              <w:bottom w:val="nil"/>
              <w:right w:val="nil"/>
            </w:tcBorders>
          </w:tcPr>
          <w:p>
            <w:pPr>
              <w:pStyle w:val="ListParagraph"/>
              <w:widowControl w:val="false"/>
              <w:numPr>
                <w:ilvl w:val="0"/>
                <w:numId w:val="16"/>
              </w:numPr>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Gutxienez 8 ikaslek eman behar dute izena. Hala ere, 6 ikasleko taldeak onartuko ahal izango dira, Aldundiak onartu baditu.</w:t>
            </w:r>
          </w:p>
        </w:tc>
        <w:tc>
          <w:tcPr>
            <w:tcW w:w="4276" w:type="dxa"/>
            <w:tcBorders>
              <w:top w:val="nil"/>
              <w:left w:val="nil"/>
              <w:bottom w:val="nil"/>
              <w:right w:val="nil"/>
            </w:tcBorders>
          </w:tcPr>
          <w:p>
            <w:pPr>
              <w:pStyle w:val="ListParagraph"/>
              <w:widowControl w:val="false"/>
              <w:numPr>
                <w:ilvl w:val="0"/>
                <w:numId w:val="16"/>
              </w:numPr>
              <w:tabs>
                <w:tab w:val="clear" w:pos="708"/>
                <w:tab w:val="left" w:pos="709" w:leader="none"/>
              </w:tabs>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Contar con un número mínimo de 8 alumnos/as inscritos/as. Sin embargo, podrán admitirse grupos de 6 alumnos/as si han sido autorizados por la Diputación.</w:t>
            </w:r>
          </w:p>
        </w:tc>
      </w:tr>
      <w:tr>
        <w:trPr>
          <w:trHeight w:val="2157" w:hRule="atLeast"/>
        </w:trPr>
        <w:tc>
          <w:tcPr>
            <w:tcW w:w="4108" w:type="dxa"/>
            <w:tcBorders>
              <w:top w:val="nil"/>
              <w:left w:val="nil"/>
              <w:bottom w:val="nil"/>
              <w:right w:val="nil"/>
            </w:tcBorders>
          </w:tcPr>
          <w:p>
            <w:pPr>
              <w:pStyle w:val="ListParagraph"/>
              <w:widowControl w:val="false"/>
              <w:numPr>
                <w:ilvl w:val="0"/>
                <w:numId w:val="16"/>
              </w:numPr>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 xml:space="preserve">Jolashezi taldeen kasuan, dirulaguntzarako kontuan hartuko dira Gipuzkoako Foru Aldundiak emandako eduki didaktikoak jarraitzen dituztenak: Jolashezi proiektua. </w:t>
            </w:r>
          </w:p>
        </w:tc>
        <w:tc>
          <w:tcPr>
            <w:tcW w:w="4276" w:type="dxa"/>
            <w:tcBorders>
              <w:top w:val="nil"/>
              <w:left w:val="nil"/>
              <w:bottom w:val="nil"/>
              <w:right w:val="nil"/>
            </w:tcBorders>
          </w:tcPr>
          <w:p>
            <w:pPr>
              <w:pStyle w:val="ListParagraph"/>
              <w:widowControl w:val="false"/>
              <w:numPr>
                <w:ilvl w:val="0"/>
                <w:numId w:val="16"/>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En el caso de los grupos Jolashezi, se tendrán en cuenta a efectos de la subvención, aquellos grupos que sigan los contenidos didácticos facilitados por la Diputación  Foral de Gipuzkoa: Proyecto             Jolashezi.</w:t>
            </w:r>
          </w:p>
        </w:tc>
      </w:tr>
      <w:tr>
        <w:trPr/>
        <w:tc>
          <w:tcPr>
            <w:tcW w:w="4108" w:type="dxa"/>
            <w:tcBorders>
              <w:top w:val="nil"/>
              <w:left w:val="nil"/>
              <w:bottom w:val="nil"/>
              <w:right w:val="nil"/>
            </w:tcBorders>
          </w:tcPr>
          <w:p>
            <w:pPr>
              <w:pStyle w:val="ListParagraph"/>
              <w:widowControl w:val="false"/>
              <w:numPr>
                <w:ilvl w:val="0"/>
                <w:numId w:val="16"/>
              </w:numPr>
              <w:suppressAutoHyphens w:val="true"/>
              <w:spacing w:lineRule="auto" w:line="276" w:before="0" w:after="160"/>
              <w:contextualSpacing/>
              <w:jc w:val="both"/>
              <w:rPr>
                <w:rFonts w:ascii="Arial" w:hAnsi="Arial" w:cs="Arial"/>
                <w:b/>
                <w:b/>
                <w:color w:val="000000"/>
                <w:spacing w:val="-3"/>
                <w:shd w:fill="FFFFFF" w:val="clear"/>
                <w:lang w:val="es-ES"/>
              </w:rPr>
            </w:pPr>
            <w:r>
              <w:rPr>
                <w:rFonts w:eastAsia="Calibri" w:cs="Arial" w:ascii="Arial" w:hAnsi="Arial"/>
                <w:kern w:val="2"/>
                <w:sz w:val="22"/>
                <w:szCs w:val="22"/>
                <w:lang w:val="es-ES" w:eastAsia="en-US" w:bidi="ar-SA"/>
              </w:rPr>
              <w:t>Jolas Hezi eta/edo Multikirola taldeko begirale bat izatea.</w:t>
            </w:r>
          </w:p>
        </w:tc>
        <w:tc>
          <w:tcPr>
            <w:tcW w:w="4276" w:type="dxa"/>
            <w:tcBorders>
              <w:top w:val="nil"/>
              <w:left w:val="nil"/>
              <w:bottom w:val="nil"/>
              <w:right w:val="nil"/>
            </w:tcBorders>
          </w:tcPr>
          <w:p>
            <w:pPr>
              <w:pStyle w:val="ListParagraph"/>
              <w:widowControl w:val="false"/>
              <w:numPr>
                <w:ilvl w:val="0"/>
                <w:numId w:val="16"/>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Contar con un/a monitor/a de equipo Jolas Hezi y/o Multikirola</w:t>
            </w:r>
          </w:p>
        </w:tc>
      </w:tr>
      <w:tr>
        <w:trPr/>
        <w:tc>
          <w:tcPr>
            <w:tcW w:w="4108" w:type="dxa"/>
            <w:tcBorders>
              <w:top w:val="nil"/>
              <w:left w:val="nil"/>
              <w:bottom w:val="nil"/>
              <w:right w:val="nil"/>
            </w:tcBorders>
          </w:tcPr>
          <w:p>
            <w:pPr>
              <w:pStyle w:val="ListParagraph"/>
              <w:widowControl w:val="false"/>
              <w:numPr>
                <w:ilvl w:val="0"/>
                <w:numId w:val="16"/>
              </w:numPr>
              <w:suppressAutoHyphens w:val="true"/>
              <w:spacing w:lineRule="auto" w:line="276" w:before="0" w:after="160"/>
              <w:contextualSpacing/>
              <w:jc w:val="both"/>
              <w:rPr>
                <w:rFonts w:ascii="Arial" w:hAnsi="Arial" w:cs="Arial"/>
                <w:b/>
                <w:b/>
                <w:color w:val="000000"/>
                <w:spacing w:val="-3"/>
                <w:shd w:fill="FFFFFF" w:val="clear"/>
                <w:lang w:val="es-ES"/>
              </w:rPr>
            </w:pPr>
            <w:r>
              <w:rPr>
                <w:rFonts w:eastAsia="Calibri" w:cs="Arial" w:ascii="Arial" w:hAnsi="Arial"/>
                <w:kern w:val="2"/>
                <w:sz w:val="22"/>
                <w:szCs w:val="22"/>
                <w:lang w:val="es-ES" w:eastAsia="en-US" w:bidi="ar-SA"/>
              </w:rPr>
              <w:t>Eskaintza garatzea, astean gutxienez saio batekin.</w:t>
            </w:r>
          </w:p>
        </w:tc>
        <w:tc>
          <w:tcPr>
            <w:tcW w:w="4276" w:type="dxa"/>
            <w:tcBorders>
              <w:top w:val="nil"/>
              <w:left w:val="nil"/>
              <w:bottom w:val="nil"/>
              <w:right w:val="nil"/>
            </w:tcBorders>
          </w:tcPr>
          <w:p>
            <w:pPr>
              <w:pStyle w:val="ListParagraph"/>
              <w:widowControl w:val="false"/>
              <w:numPr>
                <w:ilvl w:val="0"/>
                <w:numId w:val="16"/>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Desarrollar la oferta con un mínimo de una sesión semanal.</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rPr>
            </w:pPr>
            <w:bookmarkStart w:id="8" w:name="_Hlk163825086"/>
            <w:bookmarkEnd w:id="8"/>
            <w:r>
              <w:rPr>
                <w:rFonts w:eastAsia="Calibri" w:cs="Arial" w:ascii="Arial" w:hAnsi="Arial"/>
                <w:kern w:val="2"/>
                <w:sz w:val="22"/>
                <w:szCs w:val="22"/>
                <w:lang w:val="eu-ES" w:eastAsia="en-US" w:bidi="ar-SA"/>
              </w:rPr>
              <w:t>Hasieran, banatu beharreko kopuru osotik 500 euro gordeko dira, eta kopuru hori erabiliko da Jolasezi eta/edo Multikirola programan eskola-kirol inklusiboko (EKI-EKE) taldeak dituzten ikastetxeentzat; hau da, dibertsitate funtzionala duten eta ez duten ikaslez osatutako taldeak dituzten ikastetxeentzat.</w:t>
            </w:r>
          </w:p>
          <w:p>
            <w:pPr>
              <w:pStyle w:val="Normal"/>
              <w:widowControl w:val="false"/>
              <w:suppressAutoHyphens w:val="true"/>
              <w:spacing w:lineRule="auto" w:line="276" w:before="0" w:after="160"/>
              <w:jc w:val="both"/>
              <w:rPr>
                <w:rFonts w:ascii="Arial" w:hAnsi="Arial" w:cs="Arial"/>
                <w:bCs/>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83 €-ko dirulaguntza emango da ikastetxe eta EKI-EKE talde bakoitzeko, eta gehienez bi talde ikastetxe  edo eskola-kiroleko egitura bakoitzeko.</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Inicialmente, del importe total a repartir se detraerán 500 € destinados a los centros escolares que dentro de su programa Jolashezi y/o Multikirola tengan grupos o equipos de deporte escolar inclusivo (EKI-EKE); es decir, que se componen de escolares con y sin diversidad funcional de forma inclusiva.</w:t>
            </w:r>
          </w:p>
          <w:p>
            <w:pPr>
              <w:pStyle w:val="Normal"/>
              <w:widowControl w:val="false"/>
              <w:suppressAutoHyphens w:val="true"/>
              <w:spacing w:lineRule="auto" w:line="276" w:before="0" w:after="160"/>
              <w:jc w:val="both"/>
              <w:rPr>
                <w:rFonts w:ascii="Arial" w:hAnsi="Arial" w:eastAsia="Calibri" w:cs="Arial"/>
                <w:color w:val="000000"/>
                <w:spacing w:val="-3"/>
                <w:shd w:fill="FFFFFF" w:val="clear"/>
                <w:lang w:val="es-ES"/>
              </w:rPr>
            </w:pPr>
            <w:r>
              <w:rPr>
                <w:rFonts w:eastAsia="Calibri" w:cs="Arial" w:ascii="Arial" w:hAnsi="Arial"/>
                <w:color w:val="000000"/>
                <w:spacing w:val="-3"/>
                <w:shd w:fill="FFFFFF" w:val="clear"/>
                <w:lang w:val="es-ES"/>
              </w:rPr>
            </w:r>
          </w:p>
          <w:p>
            <w:pPr>
              <w:pStyle w:val="Normal"/>
              <w:widowControl w:val="false"/>
              <w:suppressAutoHyphens w:val="true"/>
              <w:spacing w:lineRule="auto" w:line="276" w:before="0" w:after="160"/>
              <w:jc w:val="both"/>
              <w:rPr>
                <w:rFonts w:ascii="Arial" w:hAnsi="Arial" w:eastAsia="Calibri"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 xml:space="preserve">Se subvencionará con 83 € por centro y grupo EKI-EKE, y no más de dos grupos  por cada centro o estructura de deporte escolar. </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rPr>
            </w:pPr>
            <w:r>
              <w:rPr>
                <w:rFonts w:eastAsia="Calibri" w:cs="Arial" w:ascii="Arial" w:hAnsi="Arial"/>
                <w:kern w:val="2"/>
                <w:sz w:val="22"/>
                <w:szCs w:val="22"/>
                <w:lang w:val="eu-ES" w:eastAsia="en-US" w:bidi="ar-SA"/>
              </w:rPr>
              <w:t>Halaber, diru kopuru osotik, gehienez, 3.000 € gordeko  dira eskola-kirolean parte hartzeko zailtasun ekonomikoak dituzten ikasleei laguntzeko. Ikastetxeko zuzendaritzak eta guraso-elkarteko zuzendaritzak dagokion txostena egin beharko dute, eta zerrenda bat egin egoera horretan dauden eta dirulaguntzaren xede den ikasturteko eskola-kirolaren programan izena eman eta parte hartu duten ikasleekin.</w:t>
            </w:r>
          </w:p>
          <w:p>
            <w:pPr>
              <w:pStyle w:val="Normal"/>
              <w:widowControl w:val="false"/>
              <w:suppressAutoHyphens w:val="true"/>
              <w:spacing w:lineRule="auto" w:line="276" w:before="0" w:after="160"/>
              <w:jc w:val="both"/>
              <w:rPr>
                <w:rFonts w:ascii="Arial" w:hAnsi="Arial" w:cs="Arial"/>
                <w:bCs/>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Helburu horretarako erreserbatutako guztizko zenbatekoaren % 60 (1.800 €) ikastetxe publikoko ikasleentzat izango da, eta % 40 (1200 €) itunpeko ikastetxeetako ikasleentzat; bakoitzerako % 20 (600 €+ 600 €).</w:t>
            </w:r>
          </w:p>
          <w:p>
            <w:pPr>
              <w:pStyle w:val="Normal"/>
              <w:widowControl w:val="false"/>
              <w:suppressAutoHyphens w:val="true"/>
              <w:spacing w:lineRule="auto" w:line="276" w:before="0" w:after="160"/>
              <w:jc w:val="both"/>
              <w:rPr>
                <w:rFonts w:ascii="Arial" w:hAnsi="Arial" w:cs="Arial"/>
                <w:bCs/>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Ikastetxe publikorako, gehienez ere, 100 €-ko dirulaguntza emango da ikasleko, eta itunpeko ikastetxeetako ikasleko, gehienez, 40 €-ko dirulaguntza.</w:t>
            </w:r>
          </w:p>
          <w:p>
            <w:pPr>
              <w:pStyle w:val="Normal"/>
              <w:widowControl w:val="false"/>
              <w:suppressAutoHyphens w:val="true"/>
              <w:spacing w:lineRule="auto" w:line="276" w:before="0" w:after="160"/>
              <w:jc w:val="both"/>
              <w:rPr>
                <w:rFonts w:ascii="Arial" w:hAnsi="Arial" w:cs="Arial"/>
                <w:bCs/>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Eskaeren guztizkoak gainditu egiten badu helburu horretarako erreserbatutako zenbatekoa (3.000 €), eta dirulaguntzak banatu ondoren soberakina badago, soberakin hori erabiliko da, atal honetan ezarritako ehunekoei eta mugei jarraikiz.</w:t>
            </w:r>
          </w:p>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cs="Arial" w:ascii="Arial" w:hAnsi="Arial"/>
                <w:b/>
                <w:color w:val="000000"/>
                <w:spacing w:val="-3"/>
                <w:shd w:fill="FFFFFF" w:val="clear"/>
              </w:rPr>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Asimismo, se reservará hasta un máximo de 3.000 € de la cantidad total a repartir, como ayuda al alumnado con dificultades económicas para acceder al deporte escolar. La dirección del centro escolar, como la de la AMPA  habrán de emitir el informe pertinente</w:t>
            </w:r>
            <w:bookmarkStart w:id="9" w:name="_Hlk1638250861"/>
            <w:r>
              <w:rPr>
                <w:rFonts w:eastAsia="Calibri" w:cs="Arial" w:ascii="Arial" w:hAnsi="Arial"/>
                <w:color w:val="000000"/>
                <w:spacing w:val="-3"/>
                <w:kern w:val="2"/>
                <w:sz w:val="22"/>
                <w:szCs w:val="22"/>
                <w:shd w:fill="FFFFFF" w:val="clear"/>
                <w:lang w:val="es-ES" w:eastAsia="en-US" w:bidi="ar-SA"/>
              </w:rPr>
              <w:t xml:space="preserve"> con la relación de escolares que se encuentren en esta situación y que hayan estado inscritos y participado en el programa del deporte escolar del curso objeto de subvención.</w:t>
            </w:r>
          </w:p>
          <w:p>
            <w:pPr>
              <w:pStyle w:val="Normal"/>
              <w:widowControl w:val="false"/>
              <w:suppressAutoHyphens w:val="true"/>
              <w:spacing w:lineRule="auto" w:line="276" w:before="0" w:after="160"/>
              <w:jc w:val="both"/>
              <w:rPr>
                <w:rFonts w:ascii="Arial" w:hAnsi="Arial" w:eastAsia="Calibri"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Del importe total reservado para este objetivo, el 60% (1.800 €) se destinará al alumnado del centro público y el 40% (1200 €) al de los centros concertados, a razón de 20% (600 € + 600 €) para cada uno.</w:t>
            </w:r>
          </w:p>
          <w:p>
            <w:pPr>
              <w:pStyle w:val="Normal"/>
              <w:widowControl w:val="false"/>
              <w:suppressAutoHyphens w:val="true"/>
              <w:spacing w:lineRule="auto" w:line="276" w:before="0" w:after="160"/>
              <w:jc w:val="both"/>
              <w:rPr>
                <w:rFonts w:ascii="Arial" w:hAnsi="Arial" w:eastAsia="Calibri"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Se subvencionará hasta un máximo de  100 € por alumno/a para el centro público, y un máximo de 40 € por alumno/a de los centros concertados.</w:t>
            </w:r>
          </w:p>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Si el total de solicitudes excediera la cantidad reservada para este objetivo (3.000 €) y  hubiera remanente tras el reparto de las subvenciones,  se utilizará dicho remanente aplicándose conforme a los porcentajes y límites establecidos en este apartado.</w:t>
            </w:r>
            <w:bookmarkEnd w:id="9"/>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s-ES"/>
              </w:rPr>
            </w:pPr>
            <w:r>
              <w:rPr>
                <w:rFonts w:eastAsia="Calibri" w:cs="Arial" w:ascii="Arial" w:hAnsi="Arial"/>
                <w:kern w:val="2"/>
                <w:sz w:val="22"/>
                <w:szCs w:val="22"/>
                <w:lang w:val="es-ES" w:eastAsia="en-US" w:bidi="ar-SA"/>
              </w:rPr>
              <w:t>Soberakina geratzen bada, banatu beharreko guztizko kopurura itzuliko da.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Si quedara remanente, volverá al importe total a repartir.</w:t>
            </w:r>
          </w:p>
        </w:tc>
      </w:tr>
      <w:tr>
        <w:trPr/>
        <w:tc>
          <w:tcPr>
            <w:tcW w:w="4108" w:type="dxa"/>
            <w:tcBorders>
              <w:top w:val="nil"/>
              <w:left w:val="nil"/>
              <w:bottom w:val="nil"/>
              <w:right w:val="nil"/>
            </w:tcBorders>
          </w:tcPr>
          <w:p>
            <w:pPr>
              <w:pStyle w:val="Western"/>
              <w:widowControl w:val="false"/>
              <w:suppressAutoHyphens w:val="true"/>
              <w:spacing w:before="0" w:after="142"/>
              <w:ind w:right="113" w:hanging="0"/>
              <w:jc w:val="left"/>
              <w:rPr>
                <w:lang w:val="es-ES"/>
              </w:rPr>
            </w:pPr>
            <w:r>
              <w:rPr>
                <w:rFonts w:cs="Arial" w:ascii="Arial" w:hAnsi="Arial"/>
                <w:sz w:val="22"/>
                <w:szCs w:val="22"/>
                <w:lang w:val="es-ES" w:bidi="ar-SA"/>
              </w:rPr>
              <w:t>Dirulaguntza adierazle hauen arabera emango da:</w:t>
            </w:r>
          </w:p>
        </w:tc>
        <w:tc>
          <w:tcPr>
            <w:tcW w:w="4276" w:type="dxa"/>
            <w:tcBorders>
              <w:top w:val="nil"/>
              <w:left w:val="nil"/>
              <w:bottom w:val="nil"/>
              <w:right w:val="nil"/>
            </w:tcBorders>
          </w:tcPr>
          <w:p>
            <w:pPr>
              <w:pStyle w:val="Normal"/>
              <w:widowControl w:val="false"/>
              <w:suppressAutoHyphens w:val="true"/>
              <w:spacing w:lineRule="auto" w:line="276" w:before="0" w:after="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La subvención será concedida conforme a los siguientes indicadores:</w:t>
            </w:r>
          </w:p>
        </w:tc>
      </w:tr>
      <w:tr>
        <w:trPr/>
        <w:tc>
          <w:tcPr>
            <w:tcW w:w="4108" w:type="dxa"/>
            <w:tcBorders>
              <w:top w:val="nil"/>
              <w:left w:val="nil"/>
              <w:bottom w:val="nil"/>
              <w:right w:val="nil"/>
            </w:tcBorders>
          </w:tcPr>
          <w:p>
            <w:pPr>
              <w:pStyle w:val="Western"/>
              <w:widowControl w:val="false"/>
              <w:numPr>
                <w:ilvl w:val="0"/>
                <w:numId w:val="6"/>
              </w:numPr>
              <w:suppressAutoHyphens w:val="true"/>
              <w:spacing w:before="0" w:after="142"/>
              <w:ind w:left="720" w:right="113" w:hanging="360"/>
              <w:jc w:val="left"/>
              <w:rPr>
                <w:b/>
                <w:b/>
                <w:bCs/>
              </w:rPr>
            </w:pPr>
            <w:r>
              <w:rPr>
                <w:rFonts w:cs="Arial" w:ascii="Arial" w:hAnsi="Arial"/>
                <w:b/>
                <w:bCs/>
                <w:sz w:val="22"/>
                <w:szCs w:val="22"/>
                <w:lang w:val="eu-ES" w:bidi="ar-SA"/>
              </w:rPr>
              <w:t>Parte hartzen duten taldeen kopuruarekin lotutako irizpideak.</w:t>
            </w:r>
          </w:p>
        </w:tc>
        <w:tc>
          <w:tcPr>
            <w:tcW w:w="4276" w:type="dxa"/>
            <w:tcBorders>
              <w:top w:val="nil"/>
              <w:left w:val="nil"/>
              <w:bottom w:val="nil"/>
              <w:right w:val="nil"/>
            </w:tcBorders>
          </w:tcPr>
          <w:p>
            <w:pPr>
              <w:pStyle w:val="Normal"/>
              <w:widowControl w:val="false"/>
              <w:suppressAutoHyphens w:val="true"/>
              <w:spacing w:lineRule="auto" w:line="276" w:before="0" w:after="0"/>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a) Criterios relacionados con el número de grupos participantes.</w:t>
            </w:r>
          </w:p>
          <w:p>
            <w:pPr>
              <w:pStyle w:val="Normal"/>
              <w:widowControl w:val="false"/>
              <w:suppressAutoHyphens w:val="true"/>
              <w:spacing w:lineRule="auto" w:line="276" w:before="0" w:after="0"/>
              <w:jc w:val="both"/>
              <w:rPr>
                <w:rFonts w:ascii="Arial" w:hAnsi="Arial" w:cs="Arial"/>
                <w:color w:val="000000"/>
                <w:spacing w:val="-3"/>
                <w:shd w:fill="FFFFFF" w:val="clear"/>
                <w:lang w:val="es-ES"/>
              </w:rPr>
            </w:pPr>
            <w:r>
              <w:rPr>
                <w:rFonts w:cs="Arial" w:ascii="Arial" w:hAnsi="Arial"/>
                <w:color w:val="000000"/>
                <w:spacing w:val="-3"/>
                <w:shd w:fill="FFFFFF" w:val="clear"/>
                <w:lang w:val="es-ES"/>
              </w:rPr>
            </w:r>
          </w:p>
        </w:tc>
      </w:tr>
      <w:tr>
        <w:trPr/>
        <w:tc>
          <w:tcPr>
            <w:tcW w:w="4108" w:type="dxa"/>
            <w:tcBorders>
              <w:top w:val="nil"/>
              <w:left w:val="nil"/>
              <w:bottom w:val="nil"/>
              <w:right w:val="nil"/>
            </w:tcBorders>
          </w:tcPr>
          <w:p>
            <w:pPr>
              <w:pStyle w:val="Western"/>
              <w:widowControl w:val="false"/>
              <w:suppressAutoHyphens w:val="true"/>
              <w:spacing w:lineRule="auto" w:line="276" w:before="0" w:after="142"/>
              <w:ind w:right="113" w:hanging="0"/>
              <w:jc w:val="both"/>
              <w:rPr>
                <w:lang w:val="eu-ES" w:bidi="ar-SA"/>
              </w:rPr>
            </w:pPr>
            <w:r>
              <w:rPr>
                <w:rFonts w:cs="Arial" w:ascii="Arial" w:hAnsi="Arial"/>
                <w:sz w:val="22"/>
                <w:szCs w:val="22"/>
                <w:lang w:val="eu-ES" w:bidi="ar-SA"/>
              </w:rPr>
              <w:t>Talde bakoitzari dirulaguntza-modulu bat ezarriko zaio jarduera-hilabete bakoitzeko, eta zenbatekoak saio-kopuruaren eta begiraleen lan-harreman motaren arabera aldatuko dira.</w:t>
            </w:r>
          </w:p>
        </w:tc>
        <w:tc>
          <w:tcPr>
            <w:tcW w:w="4276" w:type="dxa"/>
            <w:tcBorders>
              <w:top w:val="nil"/>
              <w:left w:val="nil"/>
              <w:bottom w:val="nil"/>
              <w:right w:val="nil"/>
            </w:tcBorders>
          </w:tcPr>
          <w:p>
            <w:pPr>
              <w:pStyle w:val="Normal"/>
              <w:widowControl w:val="false"/>
              <w:suppressAutoHyphens w:val="true"/>
              <w:spacing w:lineRule="auto" w:line="276" w:before="0" w:after="142"/>
              <w:jc w:val="both"/>
              <w:rPr>
                <w:rFonts w:ascii="Arial" w:hAnsi="Arial" w:eastAsia="Calibri" w:cs="Arial"/>
                <w:b/>
                <w:b/>
                <w:bCs/>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Se establecerá a cada grupo un módulo subvencional por cada mes de actividad, con unas cuantías que variarán en función del número de sesiones y del tipo de relación laboral del monitorado.</w:t>
            </w:r>
          </w:p>
        </w:tc>
      </w:tr>
      <w:tr>
        <w:trPr/>
        <w:tc>
          <w:tcPr>
            <w:tcW w:w="4108" w:type="dxa"/>
            <w:tcBorders>
              <w:top w:val="nil"/>
              <w:left w:val="nil"/>
              <w:bottom w:val="nil"/>
              <w:right w:val="nil"/>
            </w:tcBorders>
          </w:tcPr>
          <w:p>
            <w:pPr>
              <w:pStyle w:val="Western"/>
              <w:widowControl w:val="false"/>
              <w:suppressAutoHyphens w:val="true"/>
              <w:spacing w:before="280" w:after="142"/>
              <w:ind w:right="113" w:hanging="0"/>
              <w:jc w:val="both"/>
              <w:rPr>
                <w:lang w:val="eu-ES" w:bidi="ar-SA"/>
              </w:rPr>
            </w:pPr>
            <w:r>
              <w:rPr>
                <w:rFonts w:cs="Arial" w:ascii="Arial" w:hAnsi="Arial"/>
                <w:sz w:val="22"/>
                <w:szCs w:val="22"/>
                <w:lang w:val="eu-ES" w:bidi="ar-SA"/>
              </w:rPr>
              <w:t>Begiraleek ikasturteko eskola-lizentzia izan behar dute; baita euskaraz komunikatzeko gaitasuna ere.</w:t>
            </w:r>
          </w:p>
        </w:tc>
        <w:tc>
          <w:tcPr>
            <w:tcW w:w="4276" w:type="dxa"/>
            <w:tcBorders>
              <w:top w:val="nil"/>
              <w:left w:val="nil"/>
              <w:bottom w:val="nil"/>
              <w:right w:val="nil"/>
            </w:tcBorders>
          </w:tcPr>
          <w:p>
            <w:pPr>
              <w:pStyle w:val="Normal"/>
              <w:widowControl w:val="false"/>
              <w:suppressAutoHyphens w:val="true"/>
              <w:spacing w:lineRule="auto" w:line="276" w:before="0" w:after="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El monitorado deberá tener la licencia escolar del curso, además de capacidad para comunicarse en euskera.</w:t>
            </w:r>
          </w:p>
        </w:tc>
      </w:tr>
      <w:tr>
        <w:trPr/>
        <w:tc>
          <w:tcPr>
            <w:tcW w:w="4108" w:type="dxa"/>
            <w:tcBorders>
              <w:top w:val="nil"/>
              <w:left w:val="nil"/>
              <w:bottom w:val="nil"/>
              <w:right w:val="nil"/>
            </w:tcBorders>
          </w:tcPr>
          <w:p>
            <w:pPr>
              <w:pStyle w:val="Western"/>
              <w:widowControl w:val="false"/>
              <w:suppressAutoHyphens w:val="true"/>
              <w:spacing w:before="0" w:after="142"/>
              <w:ind w:right="113" w:hanging="0"/>
              <w:jc w:val="left"/>
              <w:rPr>
                <w:lang w:val="eu-ES" w:bidi="ar-SA"/>
              </w:rPr>
            </w:pPr>
            <w:r>
              <w:rPr>
                <w:rFonts w:cs="Arial" w:ascii="Arial" w:hAnsi="Arial"/>
                <w:sz w:val="22"/>
                <w:szCs w:val="22"/>
                <w:lang w:val="eu-ES" w:bidi="ar-SA"/>
              </w:rPr>
              <w:t>Honako modulu eta zenbateko hauek ezarri dira:</w:t>
            </w:r>
          </w:p>
        </w:tc>
        <w:tc>
          <w:tcPr>
            <w:tcW w:w="4276" w:type="dxa"/>
            <w:tcBorders>
              <w:top w:val="nil"/>
              <w:left w:val="nil"/>
              <w:bottom w:val="nil"/>
              <w:right w:val="nil"/>
            </w:tcBorders>
          </w:tcPr>
          <w:p>
            <w:pPr>
              <w:pStyle w:val="Normal"/>
              <w:widowControl w:val="false"/>
              <w:suppressAutoHyphens w:val="true"/>
              <w:spacing w:lineRule="auto" w:line="276" w:before="0" w:after="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Los módulos y las cuantías establecidas son los siguientes:</w:t>
            </w:r>
          </w:p>
        </w:tc>
      </w:tr>
      <w:tr>
        <w:trPr/>
        <w:tc>
          <w:tcPr>
            <w:tcW w:w="4108" w:type="dxa"/>
            <w:tcBorders>
              <w:top w:val="nil"/>
              <w:left w:val="nil"/>
              <w:bottom w:val="nil"/>
              <w:right w:val="nil"/>
            </w:tcBorders>
          </w:tcPr>
          <w:p>
            <w:pPr>
              <w:pStyle w:val="ListParagraph"/>
              <w:widowControl w:val="false"/>
              <w:numPr>
                <w:ilvl w:val="0"/>
                <w:numId w:val="8"/>
              </w:numPr>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Astean saio bateko taldeak (asteburuko saioa kontuan hartu gabe) eta kontratatutako teknikariak: 165 euro gehienez hilabeteko.</w:t>
            </w:r>
          </w:p>
          <w:p>
            <w:pPr>
              <w:pStyle w:val="ListParagraph"/>
              <w:widowControl w:val="false"/>
              <w:suppressAutoHyphens w:val="true"/>
              <w:spacing w:lineRule="auto" w:line="276" w:before="0" w:after="160"/>
              <w:contextualSpacing/>
              <w:jc w:val="both"/>
              <w:rPr>
                <w:rFonts w:ascii="Arial" w:hAnsi="Arial" w:cs="Arial"/>
                <w:b/>
                <w:b/>
                <w:color w:val="000000"/>
                <w:spacing w:val="-3"/>
                <w:shd w:fill="FFFFFF" w:val="clear"/>
              </w:rPr>
            </w:pPr>
            <w:r>
              <w:rPr>
                <w:rFonts w:cs="Arial" w:ascii="Arial" w:hAnsi="Arial"/>
                <w:b/>
                <w:color w:val="000000"/>
                <w:spacing w:val="-3"/>
                <w:shd w:fill="FFFFFF" w:val="clear"/>
              </w:rPr>
            </w:r>
          </w:p>
        </w:tc>
        <w:tc>
          <w:tcPr>
            <w:tcW w:w="4276" w:type="dxa"/>
            <w:tcBorders>
              <w:top w:val="nil"/>
              <w:left w:val="nil"/>
              <w:bottom w:val="nil"/>
              <w:right w:val="nil"/>
            </w:tcBorders>
          </w:tcPr>
          <w:p>
            <w:pPr>
              <w:pStyle w:val="ListParagraph"/>
              <w:widowControl w:val="false"/>
              <w:numPr>
                <w:ilvl w:val="0"/>
                <w:numId w:val="1"/>
              </w:numPr>
              <w:suppressAutoHyphens w:val="true"/>
              <w:spacing w:lineRule="auto" w:line="276" w:before="0" w:after="160"/>
              <w:ind w:left="405" w:hanging="284"/>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Grupos de una sesión semanal (sin incluir la del fin de semana) y personal técnico contratado: 165 euros por mes máximo.</w:t>
            </w:r>
          </w:p>
        </w:tc>
      </w:tr>
      <w:tr>
        <w:trPr/>
        <w:tc>
          <w:tcPr>
            <w:tcW w:w="4108" w:type="dxa"/>
            <w:tcBorders>
              <w:top w:val="nil"/>
              <w:left w:val="nil"/>
              <w:bottom w:val="nil"/>
              <w:right w:val="nil"/>
            </w:tcBorders>
          </w:tcPr>
          <w:p>
            <w:pPr>
              <w:pStyle w:val="ListParagraph"/>
              <w:widowControl w:val="false"/>
              <w:numPr>
                <w:ilvl w:val="0"/>
                <w:numId w:val="8"/>
              </w:numPr>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Astean bi saio edo gehiagoko taldeak (asteburuko saioa kontuan hartu gabe) eta kontratatutako teknikariak: 241 euro gehienez hilabeteko.</w:t>
            </w:r>
          </w:p>
          <w:p>
            <w:pPr>
              <w:pStyle w:val="ListParagraph"/>
              <w:widowControl w:val="false"/>
              <w:suppressAutoHyphens w:val="true"/>
              <w:spacing w:lineRule="auto" w:line="240" w:before="0" w:after="160"/>
              <w:contextualSpacing/>
              <w:jc w:val="both"/>
              <w:rPr>
                <w:rFonts w:ascii="Arial" w:hAnsi="Arial" w:cs="Arial"/>
                <w:b/>
                <w:b/>
                <w:color w:val="000000"/>
                <w:spacing w:val="-3"/>
                <w:shd w:fill="FFFFFF" w:val="clear"/>
              </w:rPr>
            </w:pPr>
            <w:r>
              <w:rPr>
                <w:rFonts w:cs="Arial" w:ascii="Arial" w:hAnsi="Arial"/>
                <w:b/>
                <w:color w:val="000000"/>
                <w:spacing w:val="-3"/>
                <w:shd w:fill="FFFFFF" w:val="clear"/>
              </w:rPr>
            </w:r>
          </w:p>
        </w:tc>
        <w:tc>
          <w:tcPr>
            <w:tcW w:w="4276" w:type="dxa"/>
            <w:tcBorders>
              <w:top w:val="nil"/>
              <w:left w:val="nil"/>
              <w:bottom w:val="nil"/>
              <w:right w:val="nil"/>
            </w:tcBorders>
          </w:tcPr>
          <w:p>
            <w:pPr>
              <w:pStyle w:val="ListParagraph"/>
              <w:widowControl w:val="false"/>
              <w:numPr>
                <w:ilvl w:val="0"/>
                <w:numId w:val="1"/>
              </w:numPr>
              <w:suppressAutoHyphens w:val="true"/>
              <w:spacing w:lineRule="auto" w:line="276" w:before="0" w:after="160"/>
              <w:ind w:left="405" w:hanging="284"/>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Grupos de dos o más sesiones semanales (sin incluir la del fin de semana) y personal técnico contratado: 241 euros por mes máximo.</w:t>
            </w:r>
          </w:p>
        </w:tc>
      </w:tr>
      <w:tr>
        <w:trPr/>
        <w:tc>
          <w:tcPr>
            <w:tcW w:w="4108" w:type="dxa"/>
            <w:tcBorders>
              <w:top w:val="nil"/>
              <w:left w:val="nil"/>
              <w:bottom w:val="nil"/>
              <w:right w:val="nil"/>
            </w:tcBorders>
          </w:tcPr>
          <w:p>
            <w:pPr>
              <w:pStyle w:val="ListParagraph"/>
              <w:widowControl w:val="false"/>
              <w:numPr>
                <w:ilvl w:val="0"/>
                <w:numId w:val="8"/>
              </w:numPr>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Astean saio bateko taldeak (asteburuko saioa kontuan hartu gabe) eta teknikari boluntarioak: 40 euro gehienez hilabeteko.</w:t>
            </w:r>
          </w:p>
        </w:tc>
        <w:tc>
          <w:tcPr>
            <w:tcW w:w="4276" w:type="dxa"/>
            <w:tcBorders>
              <w:top w:val="nil"/>
              <w:left w:val="nil"/>
              <w:bottom w:val="nil"/>
              <w:right w:val="nil"/>
            </w:tcBorders>
          </w:tcPr>
          <w:p>
            <w:pPr>
              <w:pStyle w:val="ListParagraph"/>
              <w:widowControl w:val="false"/>
              <w:numPr>
                <w:ilvl w:val="0"/>
                <w:numId w:val="1"/>
              </w:numPr>
              <w:suppressAutoHyphens w:val="true"/>
              <w:spacing w:lineRule="auto" w:line="276" w:before="0" w:after="160"/>
              <w:ind w:left="405" w:hanging="284"/>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Grupos de una sesión semanal (sin incluir la del fin de semana) y personal técnico voluntario: 40 euros por mes máximo.</w:t>
            </w:r>
          </w:p>
        </w:tc>
      </w:tr>
      <w:tr>
        <w:trPr/>
        <w:tc>
          <w:tcPr>
            <w:tcW w:w="4108" w:type="dxa"/>
            <w:tcBorders>
              <w:top w:val="nil"/>
              <w:left w:val="nil"/>
              <w:bottom w:val="nil"/>
              <w:right w:val="nil"/>
            </w:tcBorders>
          </w:tcPr>
          <w:p>
            <w:pPr>
              <w:pStyle w:val="ListParagraph"/>
              <w:widowControl w:val="false"/>
              <w:numPr>
                <w:ilvl w:val="0"/>
                <w:numId w:val="8"/>
              </w:numPr>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Astean bi saio edo gehiagoko taldeak (asteburuko saioa kontuan hartu gabe) eta teknikari boluntarioak: 60 euro gehienez hilabeteko.</w:t>
            </w:r>
          </w:p>
          <w:p>
            <w:pPr>
              <w:pStyle w:val="ListParagraph"/>
              <w:widowControl w:val="false"/>
              <w:suppressAutoHyphens w:val="true"/>
              <w:spacing w:lineRule="auto" w:line="240" w:before="0" w:after="160"/>
              <w:contextualSpacing/>
              <w:jc w:val="both"/>
              <w:rPr>
                <w:rFonts w:ascii="Arial" w:hAnsi="Arial" w:cs="Arial"/>
                <w:b/>
                <w:b/>
                <w:color w:val="000000"/>
                <w:spacing w:val="-3"/>
                <w:shd w:fill="FFFFFF" w:val="clear"/>
              </w:rPr>
            </w:pPr>
            <w:r>
              <w:rPr>
                <w:rFonts w:cs="Arial" w:ascii="Arial" w:hAnsi="Arial"/>
                <w:b/>
                <w:color w:val="000000"/>
                <w:spacing w:val="-3"/>
                <w:shd w:fill="FFFFFF" w:val="clear"/>
              </w:rPr>
            </w:r>
          </w:p>
        </w:tc>
        <w:tc>
          <w:tcPr>
            <w:tcW w:w="4276" w:type="dxa"/>
            <w:tcBorders>
              <w:top w:val="nil"/>
              <w:left w:val="nil"/>
              <w:bottom w:val="nil"/>
              <w:right w:val="nil"/>
            </w:tcBorders>
          </w:tcPr>
          <w:p>
            <w:pPr>
              <w:pStyle w:val="ListParagraph"/>
              <w:widowControl w:val="false"/>
              <w:numPr>
                <w:ilvl w:val="0"/>
                <w:numId w:val="1"/>
              </w:numPr>
              <w:suppressAutoHyphens w:val="true"/>
              <w:spacing w:lineRule="auto" w:line="276" w:before="0" w:after="160"/>
              <w:ind w:left="405" w:hanging="284"/>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Grupos de dos o más sesiones semanales (sin incluir la del fin de semana) y personal técnico voluntario: 60 euros por mes máximo.</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b) Ikastetxeetako koordinazio-lanei buruzko irizpideak.</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b)</w:t>
            </w:r>
            <w:r>
              <w:rPr>
                <w:rFonts w:eastAsia="Calibri" w:cs="Arial" w:ascii="Arial" w:hAnsi="Arial"/>
                <w:color w:val="000000"/>
                <w:spacing w:val="-3"/>
                <w:kern w:val="2"/>
                <w:sz w:val="22"/>
                <w:szCs w:val="22"/>
                <w:shd w:fill="FFFFFF" w:val="clear"/>
                <w:lang w:val="es-ES" w:eastAsia="en-US" w:bidi="ar-SA"/>
              </w:rPr>
              <w:t xml:space="preserve"> </w:t>
            </w:r>
            <w:r>
              <w:rPr>
                <w:rFonts w:eastAsia="Calibri" w:cs="Arial" w:ascii="Arial" w:hAnsi="Arial"/>
                <w:b/>
                <w:bCs/>
                <w:color w:val="000000"/>
                <w:spacing w:val="-3"/>
                <w:kern w:val="2"/>
                <w:sz w:val="22"/>
                <w:szCs w:val="22"/>
                <w:shd w:fill="FFFFFF" w:val="clear"/>
                <w:lang w:val="es-ES" w:eastAsia="en-US" w:bidi="ar-SA"/>
              </w:rPr>
              <w:t>Criterios relativos a tareas de coordinación en los centros escolares.</w:t>
            </w:r>
          </w:p>
        </w:tc>
      </w:tr>
      <w:tr>
        <w:trPr/>
        <w:tc>
          <w:tcPr>
            <w:tcW w:w="4108" w:type="dxa"/>
            <w:tcBorders>
              <w:top w:val="nil"/>
              <w:left w:val="nil"/>
              <w:bottom w:val="nil"/>
              <w:right w:val="nil"/>
            </w:tcBorders>
          </w:tcPr>
          <w:p>
            <w:pPr>
              <w:pStyle w:val="ListParagraph"/>
              <w:widowControl w:val="false"/>
              <w:numPr>
                <w:ilvl w:val="0"/>
                <w:numId w:val="17"/>
              </w:numPr>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Moduluen zenbatekoen baturatik ateratzen den zenbatekoari honako zenbateko hauek gehituko zaizkio, hain zuzen, ikastetxeetan jardueren koordinazioa sustatzera bideratuta:</w:t>
            </w:r>
          </w:p>
        </w:tc>
        <w:tc>
          <w:tcPr>
            <w:tcW w:w="4276" w:type="dxa"/>
            <w:tcBorders>
              <w:top w:val="nil"/>
              <w:left w:val="nil"/>
              <w:bottom w:val="nil"/>
              <w:right w:val="nil"/>
            </w:tcBorders>
          </w:tcPr>
          <w:p>
            <w:pPr>
              <w:pStyle w:val="ListParagraph"/>
              <w:widowControl w:val="false"/>
              <w:numPr>
                <w:ilvl w:val="0"/>
                <w:numId w:val="2"/>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A la cuantía resultante de la suma de los importes de los módulos se le añadirán los siguientes importes, destinados a promover en los centros escolares la coordinación de las actividades:</w:t>
            </w:r>
          </w:p>
        </w:tc>
      </w:tr>
      <w:tr>
        <w:trPr/>
        <w:tc>
          <w:tcPr>
            <w:tcW w:w="4108" w:type="dxa"/>
            <w:tcBorders>
              <w:top w:val="nil"/>
              <w:left w:val="nil"/>
              <w:bottom w:val="nil"/>
              <w:right w:val="nil"/>
            </w:tcBorders>
          </w:tcPr>
          <w:p>
            <w:pPr>
              <w:pStyle w:val="ListParagraph"/>
              <w:widowControl w:val="false"/>
              <w:numPr>
                <w:ilvl w:val="0"/>
                <w:numId w:val="17"/>
              </w:numPr>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 xml:space="preserve">500 euroko </w:t>
            </w:r>
            <w:r>
              <w:rPr>
                <w:rFonts w:eastAsia="Calibri" w:cs="Arial" w:ascii="Arial" w:hAnsi="Arial"/>
                <w:b/>
                <w:color w:val="000000"/>
                <w:spacing w:val="-3"/>
                <w:kern w:val="2"/>
                <w:sz w:val="22"/>
                <w:szCs w:val="22"/>
                <w:shd w:fill="FFFFFF" w:val="clear"/>
                <w:lang w:val="eu-ES" w:eastAsia="en-US" w:bidi="ar-SA"/>
              </w:rPr>
              <w:t>zenbateko finkoa</w:t>
            </w:r>
            <w:r>
              <w:rPr>
                <w:rFonts w:eastAsia="Calibri" w:cs="Arial" w:ascii="Arial" w:hAnsi="Arial"/>
                <w:bCs/>
                <w:color w:val="000000"/>
                <w:spacing w:val="-3"/>
                <w:kern w:val="2"/>
                <w:sz w:val="22"/>
                <w:szCs w:val="22"/>
                <w:shd w:fill="FFFFFF" w:val="clear"/>
                <w:lang w:val="eu-ES" w:eastAsia="en-US" w:bidi="ar-SA"/>
              </w:rPr>
              <w:t xml:space="preserve"> ezarriko da eskola-kirolaren koordinatzaile </w:t>
            </w:r>
            <w:r>
              <w:rPr>
                <w:rFonts w:eastAsia="Calibri" w:cs="Arial" w:ascii="Arial" w:hAnsi="Arial"/>
                <w:bCs/>
                <w:color w:val="000000"/>
                <w:spacing w:val="-3"/>
                <w:kern w:val="2"/>
                <w:sz w:val="22"/>
                <w:szCs w:val="22"/>
                <w:lang w:val="eu-ES" w:eastAsia="en-US" w:bidi="ar-SA"/>
              </w:rPr>
              <w:t>pedagogiko gi</w:t>
            </w:r>
            <w:r>
              <w:rPr>
                <w:rFonts w:eastAsia="Calibri" w:cs="Arial" w:ascii="Arial" w:hAnsi="Arial"/>
                <w:bCs/>
                <w:color w:val="000000"/>
                <w:spacing w:val="-3"/>
                <w:kern w:val="2"/>
                <w:sz w:val="22"/>
                <w:szCs w:val="22"/>
                <w:shd w:fill="FFFFFF" w:val="clear"/>
                <w:lang w:val="eu-ES" w:eastAsia="en-US" w:bidi="ar-SA"/>
              </w:rPr>
              <w:t>sa pertsona bat izendatuta duen eta eskola-kirolaren aplikazioan hala jasota dagoen erakunde eskatzaile bakoitzeko</w:t>
            </w:r>
            <w:r>
              <w:rPr>
                <w:rFonts w:eastAsia="Calibri" w:cs="Arial" w:ascii="Arial" w:hAnsi="Arial"/>
                <w:b/>
                <w:color w:val="000000"/>
                <w:spacing w:val="-3"/>
                <w:kern w:val="2"/>
                <w:sz w:val="22"/>
                <w:szCs w:val="22"/>
                <w:shd w:fill="FFFFFF" w:val="clear"/>
                <w:lang w:val="eu-ES" w:eastAsia="en-US" w:bidi="ar-SA"/>
              </w:rPr>
              <w:t>.</w:t>
            </w:r>
          </w:p>
          <w:p>
            <w:pPr>
              <w:pStyle w:val="ListParagraph"/>
              <w:widowControl w:val="false"/>
              <w:suppressAutoHyphens w:val="true"/>
              <w:spacing w:lineRule="auto" w:line="276" w:before="0" w:after="160"/>
              <w:contextualSpacing/>
              <w:jc w:val="both"/>
              <w:rPr>
                <w:rFonts w:ascii="Arial" w:hAnsi="Arial" w:eastAsia="Calibri" w:cs="Arial"/>
              </w:rPr>
            </w:pPr>
            <w:r>
              <w:rPr>
                <w:rFonts w:eastAsia="Calibri" w:cs="Arial" w:ascii="Arial" w:hAnsi="Arial"/>
              </w:rPr>
            </w:r>
          </w:p>
        </w:tc>
        <w:tc>
          <w:tcPr>
            <w:tcW w:w="4276" w:type="dxa"/>
            <w:tcBorders>
              <w:top w:val="nil"/>
              <w:left w:val="nil"/>
              <w:bottom w:val="nil"/>
              <w:right w:val="nil"/>
            </w:tcBorders>
          </w:tcPr>
          <w:p>
            <w:pPr>
              <w:pStyle w:val="ListParagraph"/>
              <w:widowControl w:val="false"/>
              <w:numPr>
                <w:ilvl w:val="0"/>
                <w:numId w:val="2"/>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 xml:space="preserve">Se establecerá un </w:t>
            </w:r>
            <w:r>
              <w:rPr>
                <w:rFonts w:eastAsia="Calibri" w:cs="Arial" w:ascii="Arial" w:hAnsi="Arial"/>
                <w:b/>
                <w:bCs/>
                <w:color w:val="000000"/>
                <w:spacing w:val="-3"/>
                <w:kern w:val="2"/>
                <w:sz w:val="22"/>
                <w:szCs w:val="22"/>
                <w:shd w:fill="FFFFFF" w:val="clear"/>
                <w:lang w:val="es-ES" w:eastAsia="en-US" w:bidi="ar-SA"/>
              </w:rPr>
              <w:t>importe fijo</w:t>
            </w:r>
            <w:r>
              <w:rPr>
                <w:rFonts w:eastAsia="Calibri" w:cs="Arial" w:ascii="Arial" w:hAnsi="Arial"/>
                <w:color w:val="000000"/>
                <w:spacing w:val="-3"/>
                <w:kern w:val="2"/>
                <w:sz w:val="22"/>
                <w:szCs w:val="22"/>
                <w:shd w:fill="FFFFFF" w:val="clear"/>
                <w:lang w:val="es-ES" w:eastAsia="en-US" w:bidi="ar-SA"/>
              </w:rPr>
              <w:t xml:space="preserve"> de 500 € a la entidad solicitante que tenga designada una persona como coordinador/a </w:t>
            </w:r>
            <w:r>
              <w:rPr>
                <w:rFonts w:eastAsia="Calibri" w:cs="Arial" w:ascii="Arial" w:hAnsi="Arial"/>
                <w:color w:val="000000"/>
                <w:spacing w:val="-3"/>
                <w:kern w:val="2"/>
                <w:sz w:val="22"/>
                <w:szCs w:val="22"/>
                <w:lang w:val="es-ES" w:eastAsia="en-US" w:bidi="ar-SA"/>
              </w:rPr>
              <w:t>pedagógica</w:t>
            </w:r>
            <w:r>
              <w:rPr>
                <w:rFonts w:eastAsia="Calibri" w:cs="Arial" w:ascii="Arial" w:hAnsi="Arial"/>
                <w:color w:val="000000"/>
                <w:spacing w:val="-3"/>
                <w:kern w:val="2"/>
                <w:sz w:val="22"/>
                <w:szCs w:val="22"/>
                <w:shd w:fill="FFFFFF" w:val="clear"/>
                <w:lang w:val="es-ES" w:eastAsia="en-US" w:bidi="ar-SA"/>
              </w:rPr>
              <w:t xml:space="preserve"> de deporte escolar,  y como tal conste en la aplicación de deporte escolar.</w:t>
            </w:r>
          </w:p>
        </w:tc>
      </w:tr>
      <w:tr>
        <w:trPr/>
        <w:tc>
          <w:tcPr>
            <w:tcW w:w="4108" w:type="dxa"/>
            <w:tcBorders>
              <w:top w:val="nil"/>
              <w:left w:val="nil"/>
              <w:bottom w:val="nil"/>
              <w:right w:val="nil"/>
            </w:tcBorders>
          </w:tcPr>
          <w:p>
            <w:pPr>
              <w:pStyle w:val="ListParagraph"/>
              <w:widowControl w:val="false"/>
              <w:numPr>
                <w:ilvl w:val="0"/>
                <w:numId w:val="17"/>
              </w:numPr>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Zenbateko finko horri 1.000 euro  gehituko zaizkio, baldin eta entitate eskatzaileak eskola-kirolaren koordinatzaile pedagogiko bat berariaz kontratatua eta izendatua badu, lanaldi oso baten % 60ko edo lanaldiarekin edo handiagoarekin, eta eskola-kirolaren aplikazioan hala jasota badago.</w:t>
            </w:r>
          </w:p>
        </w:tc>
        <w:tc>
          <w:tcPr>
            <w:tcW w:w="4276" w:type="dxa"/>
            <w:tcBorders>
              <w:top w:val="nil"/>
              <w:left w:val="nil"/>
              <w:bottom w:val="nil"/>
              <w:right w:val="nil"/>
            </w:tcBorders>
          </w:tcPr>
          <w:p>
            <w:pPr>
              <w:pStyle w:val="ListParagraph"/>
              <w:widowControl w:val="false"/>
              <w:numPr>
                <w:ilvl w:val="0"/>
                <w:numId w:val="2"/>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A este importe fijo se le añadirán 1000 € más, si la entidad solicitante tiene contratada específicamente y designada una persona coordinadora pedagógica de deporte escolar, con una jornada igual o superior al 60% de una jornada completa,  y que como tal conste en la aplicación de deporte escolar.</w:t>
            </w:r>
          </w:p>
        </w:tc>
      </w:tr>
      <w:tr>
        <w:trPr/>
        <w:tc>
          <w:tcPr>
            <w:tcW w:w="4108" w:type="dxa"/>
            <w:tcBorders>
              <w:top w:val="nil"/>
              <w:left w:val="nil"/>
              <w:bottom w:val="nil"/>
              <w:right w:val="nil"/>
            </w:tcBorders>
          </w:tcPr>
          <w:p>
            <w:pPr>
              <w:pStyle w:val="ListParagraph"/>
              <w:widowControl w:val="false"/>
              <w:numPr>
                <w:ilvl w:val="0"/>
                <w:numId w:val="17"/>
              </w:numPr>
              <w:suppressAutoHyphens w:val="true"/>
              <w:spacing w:lineRule="auto" w:line="276" w:before="0" w:after="160"/>
              <w:contextualSpacing/>
              <w:jc w:val="both"/>
              <w:rPr>
                <w:rFonts w:ascii="Arial" w:hAnsi="Arial" w:cs="Arial"/>
                <w:b/>
                <w:b/>
                <w:color w:val="000000"/>
                <w:spacing w:val="-3"/>
                <w:shd w:fill="FFFFFF" w:val="clear"/>
                <w:lang w:val="es-ES"/>
              </w:rPr>
            </w:pPr>
            <w:r>
              <w:rPr>
                <w:rFonts w:eastAsia="Calibri" w:cs="Arial" w:ascii="Arial" w:hAnsi="Arial"/>
                <w:bCs/>
                <w:color w:val="000000"/>
                <w:spacing w:val="-3"/>
                <w:kern w:val="2"/>
                <w:sz w:val="22"/>
                <w:szCs w:val="22"/>
                <w:shd w:fill="FFFFFF" w:val="clear"/>
                <w:lang w:val="eu-ES" w:eastAsia="en-US" w:bidi="ar-SA"/>
              </w:rPr>
              <w:t xml:space="preserve">Koordinatzaile pedagogikoak lanaldi osoaren % 50eko gutxieneko dedikazioa badu koordinazio-eginkizunetarako, kasu horretan bakarrik gehituko da beste </w:t>
            </w:r>
            <w:r>
              <w:rPr>
                <w:rFonts w:eastAsia="Calibri" w:cs="Arial" w:ascii="Arial" w:hAnsi="Arial"/>
                <w:b/>
                <w:color w:val="000000"/>
                <w:spacing w:val="-3"/>
                <w:kern w:val="2"/>
                <w:sz w:val="22"/>
                <w:szCs w:val="22"/>
                <w:shd w:fill="FFFFFF" w:val="clear"/>
                <w:lang w:val="eu-ES" w:eastAsia="en-US" w:bidi="ar-SA"/>
              </w:rPr>
              <w:t>kopuru bat, aldakorra</w:t>
            </w:r>
            <w:r>
              <w:rPr>
                <w:rFonts w:eastAsia="Calibri" w:cs="Arial" w:ascii="Arial" w:hAnsi="Arial"/>
                <w:bCs/>
                <w:color w:val="000000"/>
                <w:spacing w:val="-3"/>
                <w:kern w:val="2"/>
                <w:sz w:val="22"/>
                <w:szCs w:val="22"/>
                <w:shd w:fill="FFFFFF" w:val="clear"/>
                <w:lang w:val="eu-ES" w:eastAsia="en-US" w:bidi="ar-SA"/>
              </w:rPr>
              <w:t>,</w:t>
            </w:r>
            <w:r>
              <w:rPr>
                <w:rFonts w:eastAsia="Calibri" w:cs="Arial" w:ascii="Arial" w:hAnsi="Arial"/>
                <w:b/>
                <w:color w:val="000000"/>
                <w:spacing w:val="-3"/>
                <w:kern w:val="2"/>
                <w:sz w:val="22"/>
                <w:szCs w:val="22"/>
                <w:shd w:fill="FFFFFF" w:val="clear"/>
                <w:lang w:val="eu-ES" w:eastAsia="en-US" w:bidi="ar-SA"/>
              </w:rPr>
              <w:t xml:space="preserve"> </w:t>
            </w:r>
            <w:r>
              <w:rPr>
                <w:rFonts w:eastAsia="Calibri" w:cs="Arial" w:ascii="Arial" w:hAnsi="Arial"/>
                <w:kern w:val="2"/>
                <w:sz w:val="22"/>
                <w:szCs w:val="22"/>
                <w:lang w:val="eu-ES" w:eastAsia="en-US" w:bidi="ar-SA"/>
              </w:rPr>
              <w:t xml:space="preserve">jardueren koordinazio-kostu gisa, eta udalerriko Jolashezi eta Multikirola programetako taldeek astean zehar egindako saio-kopuruaren arabera baloratuko da. </w:t>
            </w:r>
            <w:r>
              <w:rPr>
                <w:rFonts w:eastAsia="Calibri" w:cs="Arial" w:ascii="Arial" w:hAnsi="Arial"/>
                <w:kern w:val="2"/>
                <w:sz w:val="22"/>
                <w:szCs w:val="22"/>
                <w:lang w:val="es-ES" w:eastAsia="en-US" w:bidi="ar-SA"/>
              </w:rPr>
              <w:t>Zehazki, 10 saioko multzo bakoitzeko, ordu bat hartuko da koordinazio gisa, eta 8,9 euroan baloratuko da.</w:t>
            </w:r>
          </w:p>
        </w:tc>
        <w:tc>
          <w:tcPr>
            <w:tcW w:w="4276" w:type="dxa"/>
            <w:tcBorders>
              <w:top w:val="nil"/>
              <w:left w:val="nil"/>
              <w:bottom w:val="nil"/>
              <w:right w:val="nil"/>
            </w:tcBorders>
          </w:tcPr>
          <w:p>
            <w:pPr>
              <w:pStyle w:val="ListParagraph"/>
              <w:widowControl w:val="false"/>
              <w:numPr>
                <w:ilvl w:val="0"/>
                <w:numId w:val="2"/>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 xml:space="preserve">Si el/la coordinadora pedagógica  tiene una dedicación mínima de 50% de una jornada laboral completa  a funciones  de coordinación, sólo en este supuesto se añadirá además una </w:t>
            </w:r>
            <w:r>
              <w:rPr>
                <w:rFonts w:eastAsia="Calibri" w:cs="Arial" w:ascii="Arial" w:hAnsi="Arial"/>
                <w:b/>
                <w:bCs/>
                <w:color w:val="000000"/>
                <w:spacing w:val="-3"/>
                <w:kern w:val="2"/>
                <w:sz w:val="22"/>
                <w:szCs w:val="22"/>
                <w:shd w:fill="FFFFFF" w:val="clear"/>
                <w:lang w:val="es-ES" w:eastAsia="en-US" w:bidi="ar-SA"/>
              </w:rPr>
              <w:t>cantidad variable</w:t>
            </w:r>
            <w:r>
              <w:rPr>
                <w:rFonts w:eastAsia="Calibri" w:cs="Arial" w:ascii="Arial" w:hAnsi="Arial"/>
                <w:color w:val="000000"/>
                <w:spacing w:val="-3"/>
                <w:kern w:val="2"/>
                <w:sz w:val="22"/>
                <w:szCs w:val="22"/>
                <w:shd w:fill="FFFFFF" w:val="clear"/>
                <w:lang w:val="es-ES" w:eastAsia="en-US" w:bidi="ar-SA"/>
              </w:rPr>
              <w:t xml:space="preserve"> como coste de coordinación de las actividades, que será valorada en función al número de sesiones desarrolladas entre semana por los grupos de Jolashezi y Multikirola del municipio. En concreto, por cada 10 sesiones se considerará una hora de coordinación, que se valorarán en 8,9 euros.</w:t>
            </w:r>
          </w:p>
        </w:tc>
      </w:tr>
      <w:tr>
        <w:trPr/>
        <w:tc>
          <w:tcPr>
            <w:tcW w:w="4108" w:type="dxa"/>
            <w:tcBorders>
              <w:top w:val="nil"/>
              <w:left w:val="nil"/>
              <w:bottom w:val="nil"/>
              <w:right w:val="nil"/>
            </w:tcBorders>
          </w:tcPr>
          <w:p>
            <w:pPr>
              <w:pStyle w:val="ListParagraph"/>
              <w:widowControl w:val="false"/>
              <w:numPr>
                <w:ilvl w:val="0"/>
                <w:numId w:val="17"/>
              </w:numPr>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Zenbateko hori ez zaie esleituko ikasturtean Jolasheziko edo Multikiroleko jarduerarik egin ez duten ikastetxeei.</w:t>
            </w:r>
          </w:p>
        </w:tc>
        <w:tc>
          <w:tcPr>
            <w:tcW w:w="4276" w:type="dxa"/>
            <w:tcBorders>
              <w:top w:val="nil"/>
              <w:left w:val="nil"/>
              <w:bottom w:val="nil"/>
              <w:right w:val="nil"/>
            </w:tcBorders>
          </w:tcPr>
          <w:p>
            <w:pPr>
              <w:pStyle w:val="ListParagraph"/>
              <w:widowControl w:val="false"/>
              <w:numPr>
                <w:ilvl w:val="0"/>
                <w:numId w:val="2"/>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No se asignará esta cantidad a los centros que no hayan desarrollado durante el curso ninguna actividad de Jolashezi o Multikirola.</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s-ES"/>
              </w:rPr>
            </w:pPr>
            <w:r>
              <w:rPr>
                <w:rFonts w:eastAsia="Calibri" w:cs="Arial" w:ascii="Arial" w:hAnsi="Arial"/>
                <w:kern w:val="2"/>
                <w:sz w:val="22"/>
                <w:szCs w:val="22"/>
                <w:lang w:val="es-ES" w:eastAsia="en-US" w:bidi="ar-SA"/>
              </w:rPr>
              <w:t>Lortutako batura ikastetxeari dagokion dirulaguntzaren emaitza izango da.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La suma obtenida será el resultado de la subvención que corresponda al centro escolar.</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s-ES"/>
              </w:rPr>
            </w:pPr>
            <w:r>
              <w:rPr>
                <w:rFonts w:eastAsia="Calibri" w:cs="Arial" w:ascii="Arial" w:hAnsi="Arial"/>
                <w:kern w:val="2"/>
                <w:sz w:val="22"/>
                <w:szCs w:val="22"/>
                <w:lang w:val="eu-ES" w:eastAsia="en-US" w:bidi="ar-SA"/>
              </w:rPr>
              <w:t xml:space="preserve">Dirulaguntzaren ondorioetarako, begiraleen eta koordinatzaileen ordainsariek eragindako gastuak bakarrik hartuko dira kontuan. </w:t>
            </w:r>
            <w:r>
              <w:rPr>
                <w:rFonts w:eastAsia="Calibri" w:cs="Arial" w:ascii="Arial" w:hAnsi="Arial"/>
                <w:kern w:val="2"/>
                <w:sz w:val="22"/>
                <w:szCs w:val="22"/>
                <w:lang w:val="es-ES" w:eastAsia="en-US" w:bidi="ar-SA"/>
              </w:rPr>
              <w:t>Langile-gastuak agiri bidez egiazta daitezke: nominak,</w:t>
            </w:r>
            <w:r>
              <w:rPr>
                <w:rFonts w:eastAsia="Calibri"/>
                <w:kern w:val="2"/>
                <w:sz w:val="22"/>
                <w:szCs w:val="22"/>
                <w:lang w:val="es-ES" w:eastAsia="en-US" w:bidi="ar-SA"/>
              </w:rPr>
              <w:t xml:space="preserve"> </w:t>
            </w:r>
            <w:r>
              <w:rPr>
                <w:rFonts w:eastAsia="Calibri" w:cs="Arial" w:ascii="Arial" w:hAnsi="Arial"/>
                <w:kern w:val="2"/>
                <w:sz w:val="22"/>
                <w:szCs w:val="22"/>
                <w:lang w:val="es-ES" w:eastAsia="en-US" w:bidi="ar-SA"/>
              </w:rPr>
              <w:t>edo nomina-programatik lortzen den langileko urte osoko laburpena, biak sinatuta. TC1 eta TC2, edo 190 eredua. 190 ereduaren bidez justifikatzen bada, zehaztu egin beharko da zer zenbateko dagokion 2024. urteari eta zer 2025. urteari.</w:t>
            </w:r>
          </w:p>
        </w:tc>
        <w:tc>
          <w:tcPr>
            <w:tcW w:w="4276" w:type="dxa"/>
            <w:tcBorders>
              <w:top w:val="nil"/>
              <w:left w:val="nil"/>
              <w:bottom w:val="nil"/>
              <w:right w:val="nil"/>
            </w:tcBorders>
          </w:tcPr>
          <w:p>
            <w:pPr>
              <w:pStyle w:val="Normal"/>
              <w:widowControl w:val="false"/>
              <w:suppressAutoHyphens w:val="true"/>
              <w:spacing w:lineRule="auto" w:line="276" w:before="0" w:after="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Sólo se tendrán en cuenta a efectos de la subvención los gastos ocasionados por la remuneración del monitorado y de los/las   coordinadores/as. Estos gastos de personal podrán justificarse mediante nóminas o resumen anual por trabajador/a que se obtenga del programa de nómina, firmadas ambas. TC1 y TC2, o el modelo 190. Si se justifica mediante el modelo 190 deberá indicarse qué cantidad corresponde al año 2024 y cual al 2025.</w:t>
            </w:r>
          </w:p>
          <w:p>
            <w:pPr>
              <w:pStyle w:val="Normal"/>
              <w:widowControl w:val="false"/>
              <w:suppressAutoHyphens w:val="true"/>
              <w:spacing w:lineRule="auto" w:line="276" w:before="0" w:after="0"/>
              <w:jc w:val="both"/>
              <w:rPr>
                <w:rFonts w:ascii="Arial" w:hAnsi="Arial" w:cs="Arial"/>
                <w:color w:val="000000"/>
                <w:spacing w:val="-3"/>
                <w:shd w:fill="FFFFFF" w:val="clear"/>
                <w:lang w:val="es-ES"/>
              </w:rPr>
            </w:pPr>
            <w:r>
              <w:rPr>
                <w:rFonts w:cs="Arial" w:ascii="Arial" w:hAnsi="Arial"/>
                <w:color w:val="000000"/>
                <w:spacing w:val="-3"/>
                <w:shd w:fill="FFFFFF" w:val="clear"/>
                <w:lang w:val="es-ES"/>
              </w:rPr>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Gipuzkoako Foru Aldundiak abian den ikasturterako onartutako eskola-kirolaren programako jardueretan kontratatutako teknikaritzat (begiraleak) hartuko dira baldintza hauek betetzen dituztenak:</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Se valorará como personal técnico contratado (monitores-as) en las actividades del programa de deporte escolar aprobado por la Diputación Foral de Gipuzkoa para el curso escolar vigente el que reúna las siguientes condiciones:</w:t>
            </w:r>
          </w:p>
        </w:tc>
      </w:tr>
      <w:tr>
        <w:trPr/>
        <w:tc>
          <w:tcPr>
            <w:tcW w:w="4108" w:type="dxa"/>
            <w:tcBorders>
              <w:top w:val="nil"/>
              <w:left w:val="nil"/>
              <w:bottom w:val="nil"/>
              <w:right w:val="nil"/>
            </w:tcBorders>
          </w:tcPr>
          <w:p>
            <w:pPr>
              <w:pStyle w:val="ListParagraph"/>
              <w:widowControl w:val="false"/>
              <w:numPr>
                <w:ilvl w:val="0"/>
                <w:numId w:val="2"/>
              </w:numPr>
              <w:suppressAutoHyphens w:val="true"/>
              <w:spacing w:lineRule="auto" w:line="276" w:before="0" w:after="160"/>
              <w:contextualSpacing/>
              <w:jc w:val="both"/>
              <w:rPr>
                <w:rFonts w:ascii="Arial" w:hAnsi="Arial" w:cs="Arial"/>
                <w:b/>
                <w:b/>
                <w:color w:val="000000"/>
                <w:spacing w:val="-3"/>
                <w:shd w:fill="FFFFFF" w:val="clear"/>
                <w:lang w:val="es-ES"/>
              </w:rPr>
            </w:pPr>
            <w:r>
              <w:rPr>
                <w:rFonts w:eastAsia="Calibri" w:cs="Arial" w:ascii="Arial" w:hAnsi="Arial"/>
                <w:kern w:val="2"/>
                <w:sz w:val="22"/>
                <w:szCs w:val="22"/>
                <w:lang w:val="es-ES" w:eastAsia="en-US" w:bidi="ar-SA"/>
              </w:rPr>
              <w:t>Lan-egoera erregularizatuta izatea lan-kontratu bidez, zerbitzuak emanez (fakturazioa) edo indarrean dagoen lan-legeriarekin bat datorren beste moduren batean.</w:t>
            </w:r>
          </w:p>
          <w:p>
            <w:pPr>
              <w:pStyle w:val="ListParagraph"/>
              <w:widowControl w:val="false"/>
              <w:suppressAutoHyphens w:val="true"/>
              <w:spacing w:lineRule="auto" w:line="276" w:before="0" w:after="160"/>
              <w:contextualSpacing/>
              <w:jc w:val="both"/>
              <w:rPr>
                <w:rFonts w:ascii="Arial" w:hAnsi="Arial" w:cs="Arial"/>
                <w:b/>
                <w:b/>
                <w:color w:val="000000"/>
                <w:spacing w:val="-3"/>
                <w:shd w:fill="FFFFFF" w:val="clear"/>
                <w:lang w:val="es-ES"/>
              </w:rPr>
            </w:pPr>
            <w:r>
              <w:rPr>
                <w:rFonts w:cs="Arial" w:ascii="Arial" w:hAnsi="Arial"/>
                <w:b/>
                <w:color w:val="000000"/>
                <w:spacing w:val="-3"/>
                <w:shd w:fill="FFFFFF" w:val="clear"/>
                <w:lang w:val="es-ES"/>
              </w:rPr>
            </w:r>
          </w:p>
        </w:tc>
        <w:tc>
          <w:tcPr>
            <w:tcW w:w="4276" w:type="dxa"/>
            <w:tcBorders>
              <w:top w:val="nil"/>
              <w:left w:val="nil"/>
              <w:bottom w:val="nil"/>
              <w:right w:val="nil"/>
            </w:tcBorders>
          </w:tcPr>
          <w:p>
            <w:pPr>
              <w:pStyle w:val="ListParagraph"/>
              <w:widowControl w:val="false"/>
              <w:numPr>
                <w:ilvl w:val="0"/>
                <w:numId w:val="3"/>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Que tenga su situación laboral regularizada mediante contrato laboral, prestación de servicios (facturación) u otra acorde a la legislación laboral vigente.</w:t>
            </w:r>
          </w:p>
        </w:tc>
      </w:tr>
      <w:tr>
        <w:trPr/>
        <w:tc>
          <w:tcPr>
            <w:tcW w:w="4108" w:type="dxa"/>
            <w:tcBorders>
              <w:top w:val="nil"/>
              <w:left w:val="nil"/>
              <w:bottom w:val="nil"/>
              <w:right w:val="nil"/>
            </w:tcBorders>
          </w:tcPr>
          <w:p>
            <w:pPr>
              <w:pStyle w:val="ListParagraph"/>
              <w:widowControl w:val="false"/>
              <w:numPr>
                <w:ilvl w:val="0"/>
                <w:numId w:val="2"/>
              </w:numPr>
              <w:suppressAutoHyphens w:val="true"/>
              <w:spacing w:lineRule="auto" w:line="276" w:before="0" w:after="160"/>
              <w:contextualSpacing/>
              <w:jc w:val="both"/>
              <w:rPr>
                <w:rFonts w:ascii="Arial" w:hAnsi="Arial" w:cs="Arial"/>
                <w:b/>
                <w:b/>
                <w:color w:val="000000"/>
                <w:spacing w:val="-3"/>
                <w:shd w:fill="FFFFFF" w:val="clear"/>
                <w:lang w:val="es-ES"/>
              </w:rPr>
            </w:pPr>
            <w:r>
              <w:rPr>
                <w:rFonts w:eastAsia="Calibri" w:cs="Arial" w:ascii="Arial" w:hAnsi="Arial"/>
                <w:kern w:val="2"/>
                <w:sz w:val="22"/>
                <w:szCs w:val="22"/>
                <w:lang w:val="es-ES" w:eastAsia="en-US" w:bidi="ar-SA"/>
              </w:rPr>
              <w:t>Lan-egoera erregularizatua egiaztatzen duen dokumentazioa hartuko da kontuan (nominak, 10 T eredua, etab.).</w:t>
            </w:r>
          </w:p>
        </w:tc>
        <w:tc>
          <w:tcPr>
            <w:tcW w:w="4276" w:type="dxa"/>
            <w:tcBorders>
              <w:top w:val="nil"/>
              <w:left w:val="nil"/>
              <w:bottom w:val="nil"/>
              <w:right w:val="nil"/>
            </w:tcBorders>
          </w:tcPr>
          <w:p>
            <w:pPr>
              <w:pStyle w:val="ListParagraph"/>
              <w:widowControl w:val="false"/>
              <w:numPr>
                <w:ilvl w:val="0"/>
                <w:numId w:val="3"/>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Se considerará la documentación que acredite una situación laboral regularizada (nóminas, modelo 10T…).</w:t>
            </w:r>
          </w:p>
        </w:tc>
      </w:tr>
      <w:tr>
        <w:trPr/>
        <w:tc>
          <w:tcPr>
            <w:tcW w:w="4108" w:type="dxa"/>
            <w:tcBorders>
              <w:top w:val="nil"/>
              <w:left w:val="nil"/>
              <w:bottom w:val="nil"/>
              <w:right w:val="nil"/>
            </w:tcBorders>
          </w:tcPr>
          <w:p>
            <w:pPr>
              <w:pStyle w:val="ListParagraph"/>
              <w:widowControl w:val="false"/>
              <w:numPr>
                <w:ilvl w:val="0"/>
                <w:numId w:val="2"/>
              </w:numPr>
              <w:suppressAutoHyphens w:val="true"/>
              <w:spacing w:lineRule="auto" w:line="276" w:before="0" w:after="160"/>
              <w:contextualSpacing/>
              <w:jc w:val="both"/>
              <w:rPr>
                <w:rFonts w:ascii="Arial" w:hAnsi="Arial" w:cs="Arial"/>
                <w:b/>
                <w:b/>
                <w:color w:val="000000"/>
                <w:spacing w:val="-3"/>
                <w:shd w:fill="FFFFFF" w:val="clear"/>
                <w:lang w:val="es-ES"/>
              </w:rPr>
            </w:pPr>
            <w:r>
              <w:rPr>
                <w:rFonts w:eastAsia="Calibri" w:cs="Arial" w:ascii="Arial" w:hAnsi="Arial"/>
                <w:kern w:val="2"/>
                <w:sz w:val="22"/>
                <w:szCs w:val="22"/>
                <w:lang w:val="es-ES" w:eastAsia="en-US" w:bidi="ar-SA"/>
              </w:rPr>
              <w:t>Monitore bakoitzeko 5 talde baino gehiago ez kontabilizatzea.</w:t>
            </w:r>
          </w:p>
        </w:tc>
        <w:tc>
          <w:tcPr>
            <w:tcW w:w="4276" w:type="dxa"/>
            <w:tcBorders>
              <w:top w:val="nil"/>
              <w:left w:val="nil"/>
              <w:bottom w:val="nil"/>
              <w:right w:val="nil"/>
            </w:tcBorders>
          </w:tcPr>
          <w:p>
            <w:pPr>
              <w:pStyle w:val="ListParagraph"/>
              <w:widowControl w:val="false"/>
              <w:numPr>
                <w:ilvl w:val="0"/>
                <w:numId w:val="3"/>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Que no contabilice más de 5 grupos por monitor/a.</w:t>
            </w:r>
          </w:p>
        </w:tc>
      </w:tr>
      <w:tr>
        <w:trPr/>
        <w:tc>
          <w:tcPr>
            <w:tcW w:w="4108" w:type="dxa"/>
            <w:tcBorders>
              <w:top w:val="nil"/>
              <w:left w:val="nil"/>
              <w:bottom w:val="nil"/>
              <w:right w:val="nil"/>
            </w:tcBorders>
          </w:tcPr>
          <w:p>
            <w:pPr>
              <w:pStyle w:val="Western"/>
              <w:widowControl w:val="false"/>
              <w:numPr>
                <w:ilvl w:val="0"/>
                <w:numId w:val="2"/>
              </w:numPr>
              <w:suppressAutoHyphens w:val="true"/>
              <w:spacing w:before="0" w:after="142"/>
              <w:ind w:left="720" w:right="113" w:hanging="360"/>
              <w:jc w:val="left"/>
              <w:rPr>
                <w:lang w:val="es-ES"/>
              </w:rPr>
            </w:pPr>
            <w:r>
              <w:rPr>
                <w:rFonts w:cs="Arial" w:ascii="Arial" w:hAnsi="Arial"/>
                <w:sz w:val="22"/>
                <w:szCs w:val="22"/>
                <w:lang w:val="es-ES" w:bidi="ar-SA"/>
              </w:rPr>
              <w:t>Taldeek  23-24 ikasturtean egitea jarduera hori.</w:t>
            </w:r>
          </w:p>
        </w:tc>
        <w:tc>
          <w:tcPr>
            <w:tcW w:w="4276" w:type="dxa"/>
            <w:tcBorders>
              <w:top w:val="nil"/>
              <w:left w:val="nil"/>
              <w:bottom w:val="nil"/>
              <w:right w:val="nil"/>
            </w:tcBorders>
          </w:tcPr>
          <w:p>
            <w:pPr>
              <w:pStyle w:val="ListParagraph"/>
              <w:widowControl w:val="false"/>
              <w:numPr>
                <w:ilvl w:val="0"/>
                <w:numId w:val="3"/>
              </w:numPr>
              <w:suppressAutoHyphens w:val="true"/>
              <w:spacing w:lineRule="auto" w:line="276" w:before="0" w:after="142"/>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Que los grupos realicen la actividad en el curso escolar 23-24.</w:t>
            </w:r>
          </w:p>
        </w:tc>
      </w:tr>
      <w:tr>
        <w:trPr/>
        <w:tc>
          <w:tcPr>
            <w:tcW w:w="4108" w:type="dxa"/>
            <w:tcBorders>
              <w:top w:val="nil"/>
              <w:left w:val="nil"/>
              <w:bottom w:val="nil"/>
              <w:right w:val="nil"/>
            </w:tcBorders>
          </w:tcPr>
          <w:p>
            <w:pPr>
              <w:pStyle w:val="Western"/>
              <w:widowControl w:val="false"/>
              <w:suppressAutoHyphens w:val="true"/>
              <w:spacing w:before="0" w:after="142"/>
              <w:ind w:right="113" w:hanging="0"/>
              <w:jc w:val="both"/>
              <w:rPr>
                <w:rFonts w:ascii="Arial" w:hAnsi="Arial" w:eastAsia="Arial" w:cs="Arial"/>
                <w:color w:val="auto"/>
                <w:sz w:val="22"/>
                <w:szCs w:val="22"/>
              </w:rPr>
            </w:pPr>
            <w:r>
              <w:rPr>
                <w:rFonts w:eastAsia="Arial" w:cs="Arial" w:ascii="Arial" w:hAnsi="Arial"/>
                <w:color w:val="auto"/>
                <w:sz w:val="22"/>
                <w:szCs w:val="22"/>
                <w:lang w:val="eu-ES" w:bidi="ar-SA"/>
              </w:rPr>
              <w:t>Aurkeztutako proiektuei dagokien zenbatekoa deialdirako erabilgarri dagoen kreditua baino handiagoa bada, onartutako eskaera guztien artean hainbanatuko da.</w:t>
            </w:r>
          </w:p>
          <w:p>
            <w:pPr>
              <w:pStyle w:val="Western"/>
              <w:widowControl w:val="false"/>
              <w:suppressAutoHyphens w:val="true"/>
              <w:spacing w:before="280" w:after="142"/>
              <w:ind w:right="113" w:hanging="0"/>
              <w:jc w:val="both"/>
              <w:rPr>
                <w:rFonts w:ascii="Arial" w:hAnsi="Arial" w:eastAsia="Arial" w:cs="Arial"/>
                <w:color w:val="auto"/>
                <w:sz w:val="22"/>
                <w:szCs w:val="22"/>
              </w:rPr>
            </w:pPr>
            <w:r>
              <w:rPr>
                <w:rFonts w:eastAsia="Arial" w:cs="Arial" w:ascii="Arial" w:hAnsi="Arial"/>
                <w:color w:val="auto"/>
                <w:sz w:val="22"/>
                <w:szCs w:val="22"/>
              </w:rPr>
            </w:r>
          </w:p>
        </w:tc>
        <w:tc>
          <w:tcPr>
            <w:tcW w:w="4276" w:type="dxa"/>
            <w:tcBorders>
              <w:top w:val="nil"/>
              <w:left w:val="nil"/>
              <w:bottom w:val="nil"/>
              <w:right w:val="nil"/>
            </w:tcBorders>
          </w:tcPr>
          <w:p>
            <w:pPr>
              <w:pStyle w:val="Western"/>
              <w:widowControl w:val="false"/>
              <w:suppressAutoHyphens w:val="true"/>
              <w:spacing w:before="0" w:after="142"/>
              <w:ind w:right="113" w:hanging="0"/>
              <w:jc w:val="both"/>
              <w:rPr>
                <w:rFonts w:ascii="Arial" w:hAnsi="Arial" w:eastAsia="Arial" w:cs="Arial"/>
                <w:color w:val="auto"/>
                <w:sz w:val="22"/>
                <w:szCs w:val="22"/>
                <w:lang w:val="es-ES"/>
              </w:rPr>
            </w:pPr>
            <w:r>
              <w:rPr>
                <w:rFonts w:eastAsia="Arial" w:cs="Arial" w:ascii="Arial" w:hAnsi="Arial"/>
                <w:color w:val="auto"/>
                <w:sz w:val="22"/>
                <w:szCs w:val="22"/>
                <w:lang w:val="es-ES" w:bidi="ar-SA"/>
              </w:rPr>
              <w:t>En el supuesto de que el importe correspondiente a los proyectos presentados exceda del crédito disponible para la convocatoria, se procederá al prorrateo entre todas las solicitudes admitidas.</w:t>
            </w:r>
          </w:p>
        </w:tc>
      </w:tr>
      <w:tr>
        <w:trPr/>
        <w:tc>
          <w:tcPr>
            <w:tcW w:w="4108" w:type="dxa"/>
            <w:tcBorders>
              <w:top w:val="nil"/>
              <w:left w:val="nil"/>
              <w:bottom w:val="nil"/>
              <w:right w:val="nil"/>
            </w:tcBorders>
          </w:tcPr>
          <w:p>
            <w:pPr>
              <w:pStyle w:val="Western"/>
              <w:widowControl w:val="false"/>
              <w:suppressAutoHyphens w:val="true"/>
              <w:spacing w:lineRule="auto" w:line="276" w:before="0" w:after="142"/>
              <w:ind w:right="113" w:hanging="0"/>
              <w:jc w:val="both"/>
              <w:rPr>
                <w:rFonts w:ascii="Arial" w:hAnsi="Arial" w:eastAsia="Arial" w:cs="Arial"/>
                <w:color w:val="auto"/>
                <w:sz w:val="22"/>
                <w:szCs w:val="22"/>
              </w:rPr>
            </w:pPr>
            <w:r>
              <w:rPr>
                <w:rFonts w:eastAsia="Arial" w:cs="Arial" w:ascii="Arial" w:hAnsi="Arial"/>
                <w:color w:val="auto"/>
                <w:sz w:val="22"/>
                <w:szCs w:val="22"/>
                <w:lang w:val="eu-ES" w:bidi="ar-SA"/>
              </w:rPr>
              <w:t>Dirulaguntzaren zenbatekoa ezartzeko, kontuan hartuko da eskatzaile bakoitzak zer zenbateko lortu duen ezarritako moduluen arabera, bai begiraleentzat, bai koordinatzaile pedagogikoarentzat.</w:t>
            </w:r>
            <w:r>
              <w:rPr>
                <w:lang w:val="eu-ES" w:bidi="ar-SA"/>
              </w:rPr>
              <w:t xml:space="preserve"> </w:t>
            </w:r>
            <w:r>
              <w:rPr>
                <w:rFonts w:eastAsia="Arial" w:cs="Arial" w:ascii="Arial" w:hAnsi="Arial"/>
                <w:color w:val="auto"/>
                <w:sz w:val="22"/>
                <w:szCs w:val="22"/>
                <w:lang w:val="eu-ES" w:bidi="ar-SA"/>
              </w:rPr>
              <w:t>Atal honetako dirulaguntzen guztizko zenbatekoa onartutako eskaera guztietatik lortutako zenbatekoen baturarekin zatituko da.</w:t>
            </w:r>
            <w:r>
              <w:rPr>
                <w:lang w:val="eu-ES" w:bidi="ar-SA"/>
              </w:rPr>
              <w:t xml:space="preserve"> </w:t>
            </w:r>
            <w:r>
              <w:rPr>
                <w:rFonts w:eastAsia="Arial" w:cs="Arial" w:ascii="Arial" w:hAnsi="Arial"/>
                <w:color w:val="auto"/>
                <w:sz w:val="22"/>
                <w:szCs w:val="22"/>
                <w:lang w:val="eu-ES" w:bidi="ar-SA"/>
              </w:rPr>
              <w:t>Ateratako emaitzak  deialdi honetarako xedatutako dirulaguntza  (50.000 €)  gaindituko balu, kopuru hori hainbanatu egingo da onartutako eskatzaile guztien artean.</w:t>
            </w:r>
          </w:p>
        </w:tc>
        <w:tc>
          <w:tcPr>
            <w:tcW w:w="4276" w:type="dxa"/>
            <w:tcBorders>
              <w:top w:val="nil"/>
              <w:left w:val="nil"/>
              <w:bottom w:val="nil"/>
              <w:right w:val="nil"/>
            </w:tcBorders>
          </w:tcPr>
          <w:p>
            <w:pPr>
              <w:pStyle w:val="Testugorputza"/>
              <w:widowControl w:val="false"/>
              <w:suppressAutoHyphens w:val="true"/>
              <w:spacing w:lineRule="auto" w:line="276" w:before="0" w:after="140"/>
              <w:jc w:val="both"/>
              <w:rPr>
                <w:rFonts w:ascii="Arial" w:hAnsi="Arial" w:cs="Arial"/>
                <w:color w:val="000000"/>
                <w:sz w:val="22"/>
                <w:szCs w:val="22"/>
                <w:lang w:val="es-ES"/>
              </w:rPr>
            </w:pPr>
            <w:r>
              <w:rPr>
                <w:rFonts w:cs="Arial" w:ascii="Arial" w:hAnsi="Arial"/>
                <w:color w:val="000000"/>
                <w:sz w:val="22"/>
                <w:szCs w:val="22"/>
                <w:lang w:val="es-ES" w:bidi="ar-SA"/>
              </w:rPr>
              <w:t>Para establecer la cuantía de la subvención, se tendrá en cuenta la cuantía obtenida por cada solicitante de acuerdo a los diferentes módulos establecidos, tanto para el monitorado, como para la persona coordinadora pedagógica. El importe total de las subvenciones de este apartado se dividirá con la suma de las cuantías obtenidas de todas las solicitudes aceptadas. En el caso de que el resultado obtenido supere la subvención establecida para esta convocatoria (50.000 €), dicha cantidad se prorrateará entre todas las solicitudes  admitidas.</w:t>
            </w:r>
          </w:p>
          <w:p>
            <w:pPr>
              <w:pStyle w:val="Testugorputza"/>
              <w:widowControl w:val="false"/>
              <w:suppressAutoHyphens w:val="true"/>
              <w:spacing w:lineRule="auto" w:line="276" w:before="0" w:after="140"/>
              <w:jc w:val="both"/>
              <w:rPr>
                <w:color w:val="000000"/>
                <w:highlight w:val="magenta"/>
                <w:lang w:val="es-ES"/>
              </w:rPr>
            </w:pPr>
            <w:r>
              <w:rPr>
                <w:color w:val="000000"/>
                <w:highlight w:val="magenta"/>
                <w:lang w:val="es-ES"/>
              </w:rPr>
            </w:r>
          </w:p>
        </w:tc>
      </w:tr>
      <w:tr>
        <w:trPr/>
        <w:tc>
          <w:tcPr>
            <w:tcW w:w="4108" w:type="dxa"/>
            <w:tcBorders>
              <w:top w:val="nil"/>
              <w:left w:val="nil"/>
              <w:bottom w:val="nil"/>
              <w:right w:val="nil"/>
            </w:tcBorders>
          </w:tcPr>
          <w:p>
            <w:pPr>
              <w:pStyle w:val="Western"/>
              <w:widowControl w:val="false"/>
              <w:suppressAutoHyphens w:val="true"/>
              <w:spacing w:before="0" w:after="142"/>
              <w:ind w:right="113" w:hanging="0"/>
              <w:jc w:val="both"/>
              <w:rPr>
                <w:color w:val="auto"/>
              </w:rPr>
            </w:pPr>
            <w:r>
              <w:rPr>
                <w:rFonts w:eastAsia="Arial" w:cs="Arial" w:ascii="Arial" w:hAnsi="Arial"/>
                <w:color w:val="auto"/>
                <w:sz w:val="22"/>
                <w:szCs w:val="22"/>
                <w:lang w:val="eu-ES" w:bidi="ar-SA"/>
              </w:rPr>
              <w:t>Era berean, dirulaguntzaren zenbatekoa finkatzeko, aurkeztutako aurrekontuaren defizita hartuko da aintzat.</w:t>
            </w:r>
          </w:p>
        </w:tc>
        <w:tc>
          <w:tcPr>
            <w:tcW w:w="4276" w:type="dxa"/>
            <w:tcBorders>
              <w:top w:val="nil"/>
              <w:left w:val="nil"/>
              <w:bottom w:val="nil"/>
              <w:right w:val="nil"/>
            </w:tcBorders>
          </w:tcPr>
          <w:p>
            <w:pPr>
              <w:pStyle w:val="Western"/>
              <w:widowControl w:val="false"/>
              <w:suppressAutoHyphens w:val="true"/>
              <w:spacing w:before="0" w:after="142"/>
              <w:ind w:right="113" w:hanging="0"/>
              <w:jc w:val="both"/>
              <w:rPr>
                <w:highlight w:val="magenta"/>
                <w:lang w:val="es-ES"/>
              </w:rPr>
            </w:pPr>
            <w:r>
              <w:rPr>
                <w:rFonts w:eastAsia="Arial" w:cs="Arial" w:ascii="Arial" w:hAnsi="Arial"/>
                <w:color w:val="auto"/>
                <w:sz w:val="22"/>
                <w:szCs w:val="22"/>
                <w:lang w:val="es-ES" w:bidi="ar-SA"/>
              </w:rPr>
              <w:t>A su vez, para establecer la cuantía de la subvención se tendrá en cuenta el déficit del presupuesto presentado.</w:t>
            </w:r>
          </w:p>
        </w:tc>
      </w:tr>
      <w:tr>
        <w:trPr/>
        <w:tc>
          <w:tcPr>
            <w:tcW w:w="4108" w:type="dxa"/>
            <w:tcBorders>
              <w:top w:val="nil"/>
              <w:left w:val="nil"/>
              <w:bottom w:val="nil"/>
              <w:right w:val="nil"/>
            </w:tcBorders>
          </w:tcPr>
          <w:p>
            <w:pPr>
              <w:pStyle w:val="Western"/>
              <w:widowControl w:val="false"/>
              <w:suppressAutoHyphens w:val="true"/>
              <w:spacing w:before="0" w:after="142"/>
              <w:ind w:right="113" w:hanging="0"/>
              <w:jc w:val="both"/>
              <w:rPr>
                <w:rFonts w:ascii="Arial" w:hAnsi="Arial" w:eastAsia="Arial" w:cs="Arial"/>
              </w:rPr>
            </w:pPr>
            <w:r>
              <w:rPr>
                <w:rFonts w:eastAsia="Arial" w:cs="Arial" w:ascii="Arial" w:hAnsi="Arial"/>
                <w:color w:val="auto"/>
                <w:sz w:val="22"/>
                <w:szCs w:val="22"/>
                <w:lang w:val="eu-ES" w:bidi="ar-SA"/>
              </w:rPr>
              <w:t xml:space="preserve">II. atalerako, helburua izanik eskola-kirolaren esparruan, eskola-orduetan egiten diren eta onura dakarten jardueretarako garraio-gastuei aurre egiteko laguntzak ematea, </w:t>
            </w:r>
            <w:bookmarkStart w:id="10" w:name="translation_box6"/>
            <w:bookmarkEnd w:id="10"/>
            <w:r>
              <w:rPr>
                <w:rFonts w:eastAsia="Arial" w:cs="Arial" w:ascii="Arial" w:hAnsi="Arial"/>
                <w:color w:val="auto"/>
                <w:sz w:val="22"/>
                <w:szCs w:val="22"/>
                <w:lang w:val="eu-ES" w:bidi="ar-SA"/>
              </w:rPr>
              <w:t>h</w:t>
            </w:r>
            <w:r>
              <w:rPr>
                <w:rFonts w:eastAsia="Arial" w:cs="Arial" w:ascii="Arial" w:hAnsi="Arial"/>
                <w:sz w:val="22"/>
                <w:szCs w:val="22"/>
                <w:lang w:val="eu-ES" w:bidi="ar-SA"/>
              </w:rPr>
              <w:t xml:space="preserve">ala eskatzen duten erakundeen kasuan, ikasleak kirol-instalaziora joateko gastuaren % 100 lagunduko da diruz, betiere behar bezala justifikatuta badago (jardueraren memoria eta joan-etorrien faktura). </w:t>
            </w:r>
          </w:p>
          <w:p>
            <w:pPr>
              <w:pStyle w:val="Normal"/>
              <w:widowControl w:val="false"/>
              <w:suppressAutoHyphens w:val="true"/>
              <w:spacing w:before="0" w:after="142"/>
              <w:ind w:right="113" w:hanging="0"/>
              <w:jc w:val="both"/>
              <w:rPr>
                <w:rFonts w:ascii="Arial" w:hAnsi="Arial" w:eastAsia="Arial" w:cs="Arial"/>
              </w:rPr>
            </w:pPr>
            <w:r>
              <w:rPr>
                <w:rFonts w:eastAsia="Arial" w:cs="Arial" w:ascii="Arial" w:hAnsi="Arial"/>
                <w:kern w:val="2"/>
                <w:sz w:val="22"/>
                <w:szCs w:val="22"/>
                <w:lang w:val="eu-ES" w:eastAsia="en-US" w:bidi="ar-SA"/>
              </w:rPr>
              <w:t>Laguntza hau Tolosako ikastetxeek bakarrik jaso ahal izango dute, baldin eta Usabal kiroldegitik bi kilometrora edo urrunago badaude.</w:t>
            </w:r>
          </w:p>
          <w:p>
            <w:pPr>
              <w:pStyle w:val="Western"/>
              <w:widowControl w:val="false"/>
              <w:suppressAutoHyphens w:val="true"/>
              <w:spacing w:before="280" w:after="142"/>
              <w:ind w:right="113" w:hanging="0"/>
              <w:jc w:val="both"/>
              <w:rPr>
                <w:rFonts w:ascii="Arial" w:hAnsi="Arial" w:eastAsia="Arial" w:cs="Arial"/>
                <w:color w:val="auto"/>
                <w:sz w:val="22"/>
                <w:szCs w:val="22"/>
              </w:rPr>
            </w:pPr>
            <w:r>
              <w:rPr>
                <w:rFonts w:eastAsia="Arial" w:cs="Arial" w:ascii="Arial" w:hAnsi="Arial"/>
                <w:color w:val="auto"/>
                <w:sz w:val="22"/>
                <w:szCs w:val="22"/>
                <w:lang w:val="eu-ES" w:bidi="ar-SA"/>
              </w:rPr>
              <w:t xml:space="preserve"> </w:t>
            </w:r>
            <w:r>
              <w:rPr>
                <w:rFonts w:eastAsia="Arial" w:cs="Arial" w:ascii="Arial" w:hAnsi="Arial"/>
                <w:color w:val="auto"/>
                <w:sz w:val="22"/>
                <w:szCs w:val="22"/>
                <w:lang w:val="eu-ES" w:bidi="ar-SA"/>
              </w:rPr>
              <w:t>H</w:t>
            </w:r>
            <w:r>
              <w:rPr>
                <w:rFonts w:ascii="Arial" w:hAnsi="Arial"/>
                <w:sz w:val="22"/>
                <w:szCs w:val="22"/>
                <w:lang w:val="eu-ES" w:bidi="ar-SA"/>
              </w:rPr>
              <w:t xml:space="preserve">asieran, banatu beharreko guztizko zenbatekotik 6.000 € gordeko  dira, igeriketa-kanpainaren garraio-gastuak ordaintzeko. </w:t>
            </w:r>
            <w:r>
              <w:rPr>
                <w:rFonts w:eastAsia="Arial" w:cs="Arial" w:ascii="Arial" w:hAnsi="Arial"/>
                <w:color w:val="auto"/>
                <w:sz w:val="22"/>
                <w:szCs w:val="22"/>
                <w:lang w:val="eu-ES" w:bidi="ar-SA"/>
              </w:rPr>
              <w:t xml:space="preserve">    </w:t>
            </w:r>
          </w:p>
          <w:p>
            <w:pPr>
              <w:pStyle w:val="Normal"/>
              <w:widowControl w:val="false"/>
              <w:suppressAutoHyphens w:val="true"/>
              <w:spacing w:before="0" w:after="142"/>
              <w:ind w:right="113" w:hanging="0"/>
              <w:jc w:val="both"/>
              <w:rPr>
                <w:rFonts w:ascii="Arial" w:hAnsi="Arial" w:eastAsia="Arial" w:cs="Arial"/>
                <w:lang w:val="es-ES"/>
              </w:rPr>
            </w:pPr>
            <w:bookmarkStart w:id="11" w:name="translation_box9"/>
            <w:bookmarkEnd w:id="11"/>
            <w:r>
              <w:rPr>
                <w:rFonts w:eastAsia="Arial" w:cs="Arial" w:ascii="Arial" w:hAnsi="Arial"/>
                <w:kern w:val="2"/>
                <w:sz w:val="22"/>
                <w:szCs w:val="22"/>
                <w:lang w:val="es-ES" w:eastAsia="en-US" w:bidi="ar-SA"/>
              </w:rPr>
              <w:t>Soberakina geratzen bada, banatu beharreko zenbateko osora itzuliko da.</w:t>
            </w:r>
          </w:p>
        </w:tc>
        <w:tc>
          <w:tcPr>
            <w:tcW w:w="4276" w:type="dxa"/>
            <w:tcBorders>
              <w:top w:val="nil"/>
              <w:left w:val="nil"/>
              <w:bottom w:val="nil"/>
              <w:right w:val="nil"/>
            </w:tcBorders>
          </w:tcPr>
          <w:p>
            <w:pPr>
              <w:pStyle w:val="Western"/>
              <w:widowControl w:val="false"/>
              <w:suppressAutoHyphens w:val="true"/>
              <w:spacing w:before="0" w:after="142"/>
              <w:ind w:right="113" w:hanging="0"/>
              <w:jc w:val="both"/>
              <w:rPr>
                <w:rFonts w:ascii="Arial" w:hAnsi="Arial" w:eastAsia="Arial" w:cs="Arial"/>
                <w:sz w:val="22"/>
                <w:szCs w:val="22"/>
                <w:lang w:val="es-ES"/>
              </w:rPr>
            </w:pPr>
            <w:r>
              <w:rPr>
                <w:rFonts w:eastAsia="Arial" w:cs="Arial" w:ascii="Arial" w:hAnsi="Arial"/>
                <w:sz w:val="22"/>
                <w:szCs w:val="22"/>
                <w:lang w:val="es-ES" w:bidi="ar-SA"/>
              </w:rPr>
              <w:t xml:space="preserve">Para el apartado II, siendo el objetivo ayudar a cubrir los gastos de transporte de actividades de carácter utilitario en el marco del deporte escolar en horario lectivo, para las entidades que así lo soliciten, se subvencionará el 100 % del gasto de desplazamiento del alumnado a la instalación deportiva, siempre que esté debidamente justificada (memoria de la actividad y factura de desplazamiento. </w:t>
            </w:r>
          </w:p>
          <w:p>
            <w:pPr>
              <w:pStyle w:val="Western"/>
              <w:widowControl w:val="false"/>
              <w:suppressAutoHyphens w:val="true"/>
              <w:spacing w:before="280" w:after="142"/>
              <w:ind w:right="113" w:hanging="0"/>
              <w:jc w:val="both"/>
              <w:rPr>
                <w:lang w:val="es-ES"/>
              </w:rPr>
            </w:pPr>
            <w:r>
              <w:rPr>
                <w:rFonts w:eastAsia="Arial" w:cs="Arial" w:ascii="Arial" w:hAnsi="Arial"/>
                <w:sz w:val="22"/>
                <w:szCs w:val="22"/>
                <w:lang w:val="es-ES" w:bidi="ar-SA"/>
              </w:rPr>
              <w:t>Podrán optar a esta ayuda únicamente aquellos centros educativos de Tolosa  cuya distancia del polideportivo Usabal sea igual o mayor a dos kilómetros.</w:t>
            </w:r>
          </w:p>
          <w:p>
            <w:pPr>
              <w:pStyle w:val="Western"/>
              <w:widowControl w:val="false"/>
              <w:suppressAutoHyphens w:val="true"/>
              <w:spacing w:before="280" w:after="142"/>
              <w:ind w:right="113" w:hanging="0"/>
              <w:jc w:val="both"/>
              <w:rPr>
                <w:rFonts w:ascii="Arial" w:hAnsi="Arial"/>
                <w:sz w:val="22"/>
                <w:szCs w:val="22"/>
                <w:lang w:val="es-ES"/>
              </w:rPr>
            </w:pPr>
            <w:r>
              <w:rPr>
                <w:rFonts w:ascii="Arial" w:hAnsi="Arial"/>
                <w:sz w:val="22"/>
                <w:szCs w:val="22"/>
                <w:lang w:val="es-ES" w:bidi="ar-SA"/>
              </w:rPr>
              <w:t>Inicialmente del importe total a repartir se detraerán 6.000 € destinados a subvencionar los gastos de transporte de la campaña de natación.</w:t>
            </w:r>
          </w:p>
          <w:p>
            <w:pPr>
              <w:pStyle w:val="Western"/>
              <w:widowControl w:val="false"/>
              <w:suppressAutoHyphens w:val="true"/>
              <w:spacing w:before="280" w:after="142"/>
              <w:ind w:right="113" w:hanging="0"/>
              <w:jc w:val="both"/>
              <w:rPr>
                <w:rFonts w:ascii="Arial" w:hAnsi="Arial"/>
                <w:sz w:val="22"/>
                <w:szCs w:val="22"/>
                <w:lang w:val="es-ES"/>
              </w:rPr>
            </w:pPr>
            <w:r>
              <w:rPr>
                <w:rFonts w:ascii="Arial" w:hAnsi="Arial"/>
                <w:sz w:val="22"/>
                <w:szCs w:val="22"/>
                <w:lang w:val="es-ES" w:bidi="ar-SA"/>
              </w:rPr>
              <w:t>Si quedara remanente esa cantidad volverá al importe total a repartir.</w:t>
            </w:r>
            <w:r>
              <w:rPr>
                <w:lang w:val="es-ES" w:bidi="ar-SA"/>
              </w:rPr>
              <w:t xml:space="preserve">                                                    </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n-GB"/>
              </w:rPr>
            </w:pPr>
            <w:r>
              <w:rPr>
                <w:rFonts w:eastAsia="Calibri" w:cs="Arial" w:ascii="Arial" w:hAnsi="Arial"/>
                <w:b/>
                <w:color w:val="000000"/>
                <w:spacing w:val="-3"/>
                <w:kern w:val="2"/>
                <w:sz w:val="22"/>
                <w:szCs w:val="22"/>
                <w:shd w:fill="FFFFFF" w:val="clear"/>
                <w:lang w:val="en-GB" w:eastAsia="en-US" w:bidi="ar-SA"/>
              </w:rPr>
              <w:t xml:space="preserve">12. </w:t>
            </w:r>
            <w:r>
              <w:rPr>
                <w:rFonts w:eastAsia="Calibri" w:cs="Arial" w:ascii="Arial" w:hAnsi="Arial"/>
                <w:b/>
                <w:bCs/>
                <w:kern w:val="2"/>
                <w:sz w:val="22"/>
                <w:szCs w:val="22"/>
                <w:lang w:val="en-GB" w:eastAsia="en-US" w:bidi="ar-SA"/>
              </w:rPr>
              <w:t>Entitate onuradunen betebeharrak eta konpromisoak</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12. Obligaciones y compromisos de las entidades beneficiarias.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Euskaraz edo bi hizkuntza ofizialetan idatzi eta ezagutarazi beharko ditu –euskarari lehentasuna emanda– diruz lagundutako jardueran argitaratzen dituen idatzi, iragarki, ohar eta gainerako komunikazioak, eta publizitatearekin ere, ahozkoa zein idatzia izan, berdin jokatu beharko du. Halaber, ekitaldi jakinetan megafoniaz igorritako mezuak euskaraz edo bi hizkuntza ofizialetan eman beharko dira. Betebehar hori bete izana diruz lagundutako jarduera egin dela justifikatzerakoan egiaztatu beharko da.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Redactar y dar a conocer en euskera o en las dos lenguas oficiales, con preferencia al euskera, los escritos, anuncios, notas y demás comunicaciones que publique en la actividad subvencionada, así como la publicidad, tanto oral como escrita. Asimismo, los mensajes emitidos por megafonía en actos concretos deberán transmitirse en euskera o en las dos lenguas oficiales. El cumplimiento de esta obligación deberá acreditarse en el momento de la justificación de la realización de la actividad subvencionada.</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Ezinbesteko baldintza izango da agiri, irudi edo material guztiek hizkuntzaren erabilera ez-sexista  egitea, estereotipo sexistak edo emakumeen bereizkeria eragin ditzaketen irudi oro saihestea, eta honako balio hauek sustatzea: berdintasuna, presentzia orekatua, aniztasuna, erantzukidetasuna, eta genero-eginkizunen eta identitateen aniztasuna.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kern w:val="2"/>
                <w:sz w:val="22"/>
                <w:szCs w:val="22"/>
                <w:lang w:val="es-ES" w:eastAsia="en-US" w:bidi="ar-SA"/>
              </w:rPr>
              <w:t>Será requisito indispensable que toda la documentación, publicidad, imagen o materiales generados deberán emplear un uso no sexista del lenguaje, evitar cualquier imagen discriminatoria o estereotipos sexistas, y fomentar una imagen con valores de igualdad, presencia equilibrada, diversidad, corresponsabilidad y pluralidad de roles e identidades de género.</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Diruz lagundutako jarduera finantzatzen duten beste dirulaguntza, laguntza, diru-sarrera edo baliabide batzuk lortuz gero, horren berri eman beharko zaio dirulaguntza ematen duen organoari edo entitate laguntzaileari.</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Comunicar al órgano concedente o la entidad colaboradora la obtención de otras subvenciones, ayudas, ingresos o recursos que financien la actividad subvencionada.</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u w:val="single"/>
                <w:shd w:fill="FFFFFF" w:val="clear"/>
                <w:lang w:val="es-ES"/>
              </w:rPr>
            </w:pPr>
            <w:r>
              <w:rPr>
                <w:rFonts w:eastAsia="Calibri" w:cs="Arial" w:ascii="Arial" w:hAnsi="Arial"/>
                <w:b/>
                <w:color w:val="000000"/>
                <w:spacing w:val="-3"/>
                <w:kern w:val="2"/>
                <w:sz w:val="22"/>
                <w:szCs w:val="22"/>
                <w:u w:val="single"/>
                <w:shd w:fill="FFFFFF" w:val="clear"/>
                <w:lang w:val="es-ES" w:eastAsia="en-US" w:bidi="ar-SA"/>
              </w:rPr>
              <w:t>Betebehar espezifikoak:</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u w:val="single"/>
                <w:shd w:fill="FFFFFF" w:val="clear"/>
                <w:lang w:val="es-ES"/>
              </w:rPr>
            </w:pPr>
            <w:r>
              <w:rPr>
                <w:rFonts w:eastAsia="Calibri" w:cs="Arial" w:ascii="Arial" w:hAnsi="Arial"/>
                <w:b/>
                <w:bCs/>
                <w:color w:val="000000"/>
                <w:spacing w:val="-3"/>
                <w:kern w:val="2"/>
                <w:sz w:val="22"/>
                <w:szCs w:val="22"/>
                <w:u w:val="single"/>
                <w:shd w:fill="FFFFFF" w:val="clear"/>
                <w:lang w:val="es-ES" w:eastAsia="en-US" w:bidi="ar-SA"/>
              </w:rPr>
              <w:t>Obligaciones específicas:</w:t>
            </w:r>
          </w:p>
        </w:tc>
      </w:tr>
      <w:tr>
        <w:trPr/>
        <w:tc>
          <w:tcPr>
            <w:tcW w:w="4108" w:type="dxa"/>
            <w:tcBorders>
              <w:top w:val="nil"/>
              <w:left w:val="nil"/>
              <w:bottom w:val="nil"/>
              <w:right w:val="nil"/>
            </w:tcBorders>
          </w:tcPr>
          <w:p>
            <w:pPr>
              <w:pStyle w:val="Western"/>
              <w:widowControl w:val="false"/>
              <w:suppressAutoHyphens w:val="true"/>
              <w:spacing w:lineRule="auto" w:line="276" w:before="0" w:after="142"/>
              <w:ind w:right="113" w:hanging="0"/>
              <w:jc w:val="left"/>
              <w:rPr>
                <w:lang w:val="eu-ES" w:bidi="ar-SA"/>
              </w:rPr>
            </w:pPr>
            <w:r>
              <w:rPr>
                <w:rFonts w:cs="Arial" w:ascii="Arial" w:hAnsi="Arial"/>
                <w:sz w:val="22"/>
                <w:szCs w:val="22"/>
                <w:lang w:val="eu-ES" w:bidi="ar-SA"/>
              </w:rPr>
              <w:t>Ikastetxe edo elkarte onuradunak honako betebehar hauek izango ditu:</w:t>
            </w:r>
          </w:p>
        </w:tc>
        <w:tc>
          <w:tcPr>
            <w:tcW w:w="4276" w:type="dxa"/>
            <w:tcBorders>
              <w:top w:val="nil"/>
              <w:left w:val="nil"/>
              <w:bottom w:val="nil"/>
              <w:right w:val="nil"/>
            </w:tcBorders>
          </w:tcPr>
          <w:p>
            <w:pPr>
              <w:pStyle w:val="Normal"/>
              <w:widowControl w:val="false"/>
              <w:suppressAutoHyphens w:val="true"/>
              <w:spacing w:lineRule="auto" w:line="276" w:before="0" w:after="142"/>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El centro escolar o asociación beneficiaria tendrá las siguientes obligaciones:</w:t>
            </w:r>
          </w:p>
        </w:tc>
      </w:tr>
      <w:tr>
        <w:trPr/>
        <w:tc>
          <w:tcPr>
            <w:tcW w:w="4108" w:type="dxa"/>
            <w:tcBorders>
              <w:top w:val="nil"/>
              <w:left w:val="nil"/>
              <w:bottom w:val="nil"/>
              <w:right w:val="nil"/>
            </w:tcBorders>
          </w:tcPr>
          <w:p>
            <w:pPr>
              <w:pStyle w:val="ListParagraph"/>
              <w:widowControl w:val="false"/>
              <w:numPr>
                <w:ilvl w:val="0"/>
                <w:numId w:val="19"/>
              </w:numPr>
              <w:suppressAutoHyphens w:val="true"/>
              <w:spacing w:lineRule="auto" w:line="276" w:before="0" w:after="160"/>
              <w:ind w:left="777" w:hanging="426"/>
              <w:contextualSpacing/>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Eskola-kirolaren arretarako egitura espezifiko bat sortzeko konpromisoa hartuko du, eta egitura horrek ase egin beharko ditu diseinatutako kirol-programa gauzatzeko sortzen diren koordinazio-beharrak eta irakasleen/teknikarien beharrak.</w:t>
            </w:r>
          </w:p>
        </w:tc>
        <w:tc>
          <w:tcPr>
            <w:tcW w:w="4276" w:type="dxa"/>
            <w:tcBorders>
              <w:top w:val="nil"/>
              <w:left w:val="nil"/>
              <w:bottom w:val="nil"/>
              <w:right w:val="nil"/>
            </w:tcBorders>
          </w:tcPr>
          <w:p>
            <w:pPr>
              <w:pStyle w:val="ListParagraph"/>
              <w:widowControl w:val="false"/>
              <w:numPr>
                <w:ilvl w:val="0"/>
                <w:numId w:val="18"/>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Asume el compromiso de crear una estructura específica para la atención del deporte escolar, que satisfaga las necesidades de coordinación y técnico-docentes derivadas de la realización del programa deportivo diseñado.</w:t>
            </w:r>
          </w:p>
        </w:tc>
      </w:tr>
      <w:tr>
        <w:trPr/>
        <w:tc>
          <w:tcPr>
            <w:tcW w:w="4108" w:type="dxa"/>
            <w:tcBorders>
              <w:top w:val="nil"/>
              <w:left w:val="nil"/>
              <w:bottom w:val="nil"/>
              <w:right w:val="nil"/>
            </w:tcBorders>
          </w:tcPr>
          <w:p>
            <w:pPr>
              <w:pStyle w:val="ListParagraph"/>
              <w:widowControl w:val="false"/>
              <w:numPr>
                <w:ilvl w:val="0"/>
                <w:numId w:val="19"/>
              </w:numPr>
              <w:suppressAutoHyphens w:val="true"/>
              <w:spacing w:lineRule="auto" w:line="276" w:before="0" w:after="160"/>
              <w:ind w:left="777" w:hanging="426"/>
              <w:contextualSpacing/>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Koordinatzaile bat izendatuko du, eta ikastetxeak antolatutako eskola-kiroleko jardueren koordinazio-funtzioak beteko ditu.</w:t>
            </w:r>
          </w:p>
        </w:tc>
        <w:tc>
          <w:tcPr>
            <w:tcW w:w="4276" w:type="dxa"/>
            <w:tcBorders>
              <w:top w:val="nil"/>
              <w:left w:val="nil"/>
              <w:bottom w:val="nil"/>
              <w:right w:val="nil"/>
            </w:tcBorders>
          </w:tcPr>
          <w:p>
            <w:pPr>
              <w:pStyle w:val="ListParagraph"/>
              <w:widowControl w:val="false"/>
              <w:numPr>
                <w:ilvl w:val="0"/>
                <w:numId w:val="18"/>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Designará una persona   coordinadora de las actividades de deporte escolar programadas por el centro.</w:t>
            </w:r>
          </w:p>
        </w:tc>
      </w:tr>
      <w:tr>
        <w:trPr/>
        <w:tc>
          <w:tcPr>
            <w:tcW w:w="4108" w:type="dxa"/>
            <w:tcBorders>
              <w:top w:val="nil"/>
              <w:left w:val="nil"/>
              <w:bottom w:val="nil"/>
              <w:right w:val="nil"/>
            </w:tcBorders>
          </w:tcPr>
          <w:p>
            <w:pPr>
              <w:pStyle w:val="ListParagraph"/>
              <w:widowControl w:val="false"/>
              <w:numPr>
                <w:ilvl w:val="0"/>
                <w:numId w:val="19"/>
              </w:numPr>
              <w:suppressAutoHyphens w:val="true"/>
              <w:spacing w:lineRule="auto" w:line="276" w:before="0" w:after="160"/>
              <w:ind w:left="777" w:hanging="426"/>
              <w:contextualSpacing/>
              <w:jc w:val="both"/>
              <w:rPr>
                <w:rFonts w:ascii="Arial" w:hAnsi="Arial" w:cs="Arial"/>
                <w:b/>
                <w:b/>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 xml:space="preserve">Koordinatzaile hori izango da Udaleko Kirolak Sailarekin eskola-kirolari lotutako gaiez aritzeko solaskide bakarra. </w:t>
            </w:r>
          </w:p>
        </w:tc>
        <w:tc>
          <w:tcPr>
            <w:tcW w:w="4276" w:type="dxa"/>
            <w:tcBorders>
              <w:top w:val="nil"/>
              <w:left w:val="nil"/>
              <w:bottom w:val="nil"/>
              <w:right w:val="nil"/>
            </w:tcBorders>
          </w:tcPr>
          <w:p>
            <w:pPr>
              <w:pStyle w:val="ListParagraph"/>
              <w:widowControl w:val="false"/>
              <w:numPr>
                <w:ilvl w:val="0"/>
                <w:numId w:val="18"/>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La persona coordinadora será la interlocutora única con el Área de Deportes municipal para todas las cuestiones que afecten al deporte escolar.</w:t>
            </w:r>
          </w:p>
        </w:tc>
      </w:tr>
      <w:tr>
        <w:trPr/>
        <w:tc>
          <w:tcPr>
            <w:tcW w:w="4108" w:type="dxa"/>
            <w:tcBorders>
              <w:top w:val="nil"/>
              <w:left w:val="nil"/>
              <w:bottom w:val="nil"/>
              <w:right w:val="nil"/>
            </w:tcBorders>
          </w:tcPr>
          <w:p>
            <w:pPr>
              <w:pStyle w:val="ListParagraph"/>
              <w:widowControl w:val="false"/>
              <w:numPr>
                <w:ilvl w:val="0"/>
                <w:numId w:val="19"/>
              </w:numPr>
              <w:suppressAutoHyphens w:val="true"/>
              <w:spacing w:lineRule="auto" w:line="276" w:before="0" w:after="160"/>
              <w:ind w:left="777" w:hanging="426"/>
              <w:contextualSpacing/>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Ikastetxeak zehaztu beharko du zein diren modu egokienak ikastetxeko eskola-kiroleko egituraren eta kirol-elkarteen edo beste entitateen arteko harremanak bideratzeko, eskola-kiroleko jarduera horiek ikastetxeko hezkuntza-proiektu orokorrarekin behar bezala txertatzen direla bermatzeko.</w:t>
            </w:r>
          </w:p>
        </w:tc>
        <w:tc>
          <w:tcPr>
            <w:tcW w:w="4276" w:type="dxa"/>
            <w:tcBorders>
              <w:top w:val="nil"/>
              <w:left w:val="nil"/>
              <w:bottom w:val="nil"/>
              <w:right w:val="nil"/>
            </w:tcBorders>
          </w:tcPr>
          <w:p>
            <w:pPr>
              <w:pStyle w:val="ListParagraph"/>
              <w:widowControl w:val="false"/>
              <w:numPr>
                <w:ilvl w:val="0"/>
                <w:numId w:val="18"/>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El centro escolar determinará las formas más adecuadas de articular relaciones entre la estructura de deporte escolar del centro, los clubs deportivos y otras entidades, de forma que se garantice la correcta inserción de estas actividades de deporte escolar en el proyecto educativo global del centro.</w:t>
            </w:r>
          </w:p>
        </w:tc>
      </w:tr>
      <w:tr>
        <w:trPr/>
        <w:tc>
          <w:tcPr>
            <w:tcW w:w="4108" w:type="dxa"/>
            <w:tcBorders>
              <w:top w:val="nil"/>
              <w:left w:val="nil"/>
              <w:bottom w:val="nil"/>
              <w:right w:val="nil"/>
            </w:tcBorders>
          </w:tcPr>
          <w:p>
            <w:pPr>
              <w:pStyle w:val="ListParagraph"/>
              <w:widowControl w:val="false"/>
              <w:numPr>
                <w:ilvl w:val="0"/>
                <w:numId w:val="19"/>
              </w:numPr>
              <w:suppressAutoHyphens w:val="true"/>
              <w:spacing w:lineRule="auto" w:line="276" w:before="0" w:after="160"/>
              <w:ind w:left="777" w:hanging="426"/>
              <w:contextualSpacing/>
              <w:jc w:val="both"/>
              <w:rPr>
                <w:rFonts w:ascii="Arial" w:hAnsi="Arial" w:cs="Arial"/>
                <w:b/>
                <w:b/>
                <w:color w:val="000000"/>
                <w:spacing w:val="-3"/>
                <w:shd w:fill="FFFFFF" w:val="clear"/>
                <w:lang w:val="es-ES"/>
              </w:rPr>
            </w:pPr>
            <w:r>
              <w:rPr>
                <w:rFonts w:eastAsia="Calibri" w:cs="Arial" w:ascii="Arial" w:hAnsi="Arial"/>
                <w:kern w:val="2"/>
                <w:sz w:val="22"/>
                <w:szCs w:val="22"/>
                <w:lang w:val="es-ES" w:eastAsia="en-US" w:bidi="ar-SA"/>
              </w:rPr>
              <w:t>Egitura horretako eskola-kiroleko koordinatzailea ikastetxearen mende edo, hala badagokio, erabakitzen den entitatearen mende egongo da. Ikastetxeari edo entitateari  bidezkoen iruditzen zaien modu eta baldintzetan kontratatuko dute, gaikuntza egokia duela bermatzeko moduan; ez soilik alderdi tekniko edo kirol alderdietan, baizik baita eskola-kirolaren beste heziketa-planteamenduetan ere.</w:t>
            </w:r>
          </w:p>
        </w:tc>
        <w:tc>
          <w:tcPr>
            <w:tcW w:w="4276" w:type="dxa"/>
            <w:tcBorders>
              <w:top w:val="nil"/>
              <w:left w:val="nil"/>
              <w:bottom w:val="nil"/>
              <w:right w:val="nil"/>
            </w:tcBorders>
          </w:tcPr>
          <w:p>
            <w:pPr>
              <w:pStyle w:val="ListParagraph"/>
              <w:widowControl w:val="false"/>
              <w:numPr>
                <w:ilvl w:val="0"/>
                <w:numId w:val="18"/>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El/la coordinadora de deporte escolar perteneciente a esta estructura dependerá del centro escolar o de la entidad que en su caso se determine. Será contratada/o en la forma y condiciones que el centro o entidad estime más procedente, de forma que se garantice la adecuada capacitación, no sólo en cuanto a los aspectos técnico-deportivos, sino también en otros aspectos relacionados con los planteamientos educativos del deporte escolar.</w:t>
            </w:r>
          </w:p>
        </w:tc>
      </w:tr>
      <w:tr>
        <w:trPr/>
        <w:tc>
          <w:tcPr>
            <w:tcW w:w="4108" w:type="dxa"/>
            <w:tcBorders>
              <w:top w:val="nil"/>
              <w:left w:val="nil"/>
              <w:bottom w:val="nil"/>
              <w:right w:val="nil"/>
            </w:tcBorders>
          </w:tcPr>
          <w:p>
            <w:pPr>
              <w:pStyle w:val="ListParagraph"/>
              <w:widowControl w:val="false"/>
              <w:numPr>
                <w:ilvl w:val="0"/>
                <w:numId w:val="20"/>
              </w:numPr>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Monitore edo begiraleen kasuan, ikastetxe bakoitzak erabakiko du, bere berezitasunak aintzat hartuta, zer formula aplikatu. Hala ere, egokiena da ―eta hala sustatuko da― tokiko kirol-klubek ikastetxeekin lankidetza-hitzarmenak sinatzea, kirol-klubetako zerbitzu teknikoek ikasleen kirol-hastapeneko prozesuetan parte har dezaten, ikastetxeak ezarritako hezkuntza-helburuekin bat etorriz.</w:t>
            </w:r>
          </w:p>
        </w:tc>
        <w:tc>
          <w:tcPr>
            <w:tcW w:w="4276" w:type="dxa"/>
            <w:tcBorders>
              <w:top w:val="nil"/>
              <w:left w:val="nil"/>
              <w:bottom w:val="nil"/>
              <w:right w:val="nil"/>
            </w:tcBorders>
          </w:tcPr>
          <w:p>
            <w:pPr>
              <w:pStyle w:val="ListParagraph"/>
              <w:widowControl w:val="false"/>
              <w:numPr>
                <w:ilvl w:val="0"/>
                <w:numId w:val="20"/>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En cuanto a las/os monitoras/es, cada centro optará por la fórmula más acorde a su particularidad, si bien será deseable, y así se propiciará, que los clubs deportivos locales formalicen convenios de colaboración con los centros escolares, de manera que se produzca una participación de los servicios técnicos de los clubes deportivos en los procesos de iniciación deportiva de los/las escolares, de acuerdo con los objetivos educativos fijados por el centro escolar.</w:t>
            </w:r>
          </w:p>
        </w:tc>
      </w:tr>
      <w:tr>
        <w:trPr/>
        <w:tc>
          <w:tcPr>
            <w:tcW w:w="4108" w:type="dxa"/>
            <w:tcBorders>
              <w:top w:val="nil"/>
              <w:left w:val="nil"/>
              <w:bottom w:val="nil"/>
              <w:right w:val="nil"/>
            </w:tcBorders>
          </w:tcPr>
          <w:p>
            <w:pPr>
              <w:pStyle w:val="ListParagraph"/>
              <w:widowControl w:val="false"/>
              <w:numPr>
                <w:ilvl w:val="0"/>
                <w:numId w:val="21"/>
              </w:numPr>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Ikastetxeak lagundu egingo du, adin jakin batzuetan eta kirol-modalitate bakoitzaren ezaugarriak aintzat hartuta, ikasleak kirol-klubetara joatea, kirola egiten jarrai dezaten bermatzeko eskolatze-garaia amaitzen denean, bai errendimendu-helburuei begira, bai aisialdiko helburuei begira.</w:t>
            </w:r>
          </w:p>
        </w:tc>
        <w:tc>
          <w:tcPr>
            <w:tcW w:w="4276" w:type="dxa"/>
            <w:tcBorders>
              <w:top w:val="nil"/>
              <w:left w:val="nil"/>
              <w:bottom w:val="nil"/>
              <w:right w:val="nil"/>
            </w:tcBorders>
          </w:tcPr>
          <w:p>
            <w:pPr>
              <w:pStyle w:val="ListParagraph"/>
              <w:widowControl w:val="false"/>
              <w:numPr>
                <w:ilvl w:val="0"/>
                <w:numId w:val="21"/>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El centro escolar propiciará llegado el caso, que, en determinadas edades y de acuerdo con las características de cada modalidad deportiva, los/as escolares puedan acceder a los clubes deportivos, como garantía de continuidad en la práctica deportiva, bien con objetivos de rendimiento, bien con objetivos recreativos, una vez finalizado el período de escolarización.</w:t>
            </w:r>
          </w:p>
        </w:tc>
      </w:tr>
      <w:tr>
        <w:trPr/>
        <w:tc>
          <w:tcPr>
            <w:tcW w:w="4108" w:type="dxa"/>
            <w:tcBorders>
              <w:top w:val="nil"/>
              <w:left w:val="nil"/>
              <w:bottom w:val="nil"/>
              <w:right w:val="nil"/>
            </w:tcBorders>
          </w:tcPr>
          <w:p>
            <w:pPr>
              <w:pStyle w:val="ListParagraph"/>
              <w:widowControl w:val="false"/>
              <w:numPr>
                <w:ilvl w:val="0"/>
                <w:numId w:val="22"/>
              </w:numPr>
              <w:suppressAutoHyphens w:val="true"/>
              <w:spacing w:lineRule="auto" w:line="276" w:before="0" w:after="160"/>
              <w:contextualSpacing/>
              <w:jc w:val="both"/>
              <w:rPr>
                <w:rFonts w:ascii="Arial" w:hAnsi="Arial" w:cs="Arial"/>
                <w:b/>
                <w:b/>
                <w:color w:val="000000"/>
                <w:spacing w:val="-3"/>
                <w:shd w:fill="FFFFFF" w:val="clear"/>
                <w:lang w:val="es-ES"/>
              </w:rPr>
            </w:pPr>
            <w:r>
              <w:rPr>
                <w:rFonts w:eastAsia="Calibri" w:cs="Arial" w:ascii="Arial" w:hAnsi="Arial"/>
                <w:kern w:val="2"/>
                <w:sz w:val="22"/>
                <w:szCs w:val="22"/>
                <w:lang w:val="eu-ES" w:eastAsia="en-US" w:bidi="ar-SA"/>
              </w:rPr>
              <w:t xml:space="preserve">Eskola-kiroleko egiturek,  Udalak eta kirol-elkarteek sustatuko dute eskola-kiroleko begirale horiek prestakuntza-jardueretan parte hartzea, haien kualifikazioa ahalik eta egokiena izan dadin. </w:t>
            </w:r>
            <w:r>
              <w:rPr>
                <w:rFonts w:eastAsia="Calibri" w:cs="Arial" w:ascii="Arial" w:hAnsi="Arial"/>
                <w:kern w:val="2"/>
                <w:sz w:val="22"/>
                <w:szCs w:val="22"/>
                <w:lang w:val="es-ES" w:eastAsia="en-US" w:bidi="ar-SA"/>
              </w:rPr>
              <w:t>Eskola-kiroleko egituren helburu izango da teknikarien profesionalizazioa eta lan-erregularizazioa ere.</w:t>
            </w:r>
          </w:p>
        </w:tc>
        <w:tc>
          <w:tcPr>
            <w:tcW w:w="4276" w:type="dxa"/>
            <w:tcBorders>
              <w:top w:val="nil"/>
              <w:left w:val="nil"/>
              <w:bottom w:val="nil"/>
              <w:right w:val="nil"/>
            </w:tcBorders>
          </w:tcPr>
          <w:p>
            <w:pPr>
              <w:pStyle w:val="ListParagraph"/>
              <w:widowControl w:val="false"/>
              <w:numPr>
                <w:ilvl w:val="0"/>
                <w:numId w:val="22"/>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Las estructuras de deporte escolar, junto con el Ayuntamiento y los clubs deportivos, incentivarán la participación de estos/as monitores/as de deporte escolar en actividades de formación, procurando   la cualificación óptima de éstos. La profesionalización y regularización laboral del personal técnico será un objetivo de las estructuras de deporte escolar.</w:t>
            </w:r>
          </w:p>
        </w:tc>
      </w:tr>
      <w:tr>
        <w:trPr/>
        <w:tc>
          <w:tcPr>
            <w:tcW w:w="4108" w:type="dxa"/>
            <w:tcBorders>
              <w:top w:val="nil"/>
              <w:left w:val="nil"/>
              <w:bottom w:val="nil"/>
              <w:right w:val="nil"/>
            </w:tcBorders>
          </w:tcPr>
          <w:p>
            <w:pPr>
              <w:pStyle w:val="ListParagraph"/>
              <w:widowControl w:val="false"/>
              <w:numPr>
                <w:ilvl w:val="0"/>
                <w:numId w:val="22"/>
              </w:numPr>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Begiraleek ere, 2026rako bete beharko dute titulazioari dagokionez lege honek eskatzen duena: Euskal Autonomia Erkidegoan jarduera fisikoaren eta kirolaren arloko lanbideetan sartzeari eta jarduteari buruzkoa.</w:t>
            </w:r>
          </w:p>
        </w:tc>
        <w:tc>
          <w:tcPr>
            <w:tcW w:w="4276" w:type="dxa"/>
            <w:tcBorders>
              <w:top w:val="nil"/>
              <w:left w:val="nil"/>
              <w:bottom w:val="nil"/>
              <w:right w:val="nil"/>
            </w:tcBorders>
          </w:tcPr>
          <w:p>
            <w:pPr>
              <w:pStyle w:val="ListParagraph"/>
              <w:widowControl w:val="false"/>
              <w:numPr>
                <w:ilvl w:val="0"/>
                <w:numId w:val="22"/>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También en el caso del monitorado habrán de cumplir para el año 2026, el requisito en cuanto a titulación exigido en Ley 8/2022 de 30 de junio, sobre acceso y ejercicio de profesiones de la actividad física y el deporte en el País Vasco.</w:t>
            </w:r>
          </w:p>
        </w:tc>
      </w:tr>
      <w:tr>
        <w:trPr/>
        <w:tc>
          <w:tcPr>
            <w:tcW w:w="4108" w:type="dxa"/>
            <w:tcBorders>
              <w:top w:val="nil"/>
              <w:left w:val="nil"/>
              <w:bottom w:val="nil"/>
              <w:right w:val="nil"/>
            </w:tcBorders>
          </w:tcPr>
          <w:p>
            <w:pPr>
              <w:pStyle w:val="ListParagraph"/>
              <w:widowControl w:val="false"/>
              <w:numPr>
                <w:ilvl w:val="0"/>
                <w:numId w:val="22"/>
              </w:numPr>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Eskola-kiroleko egiturek eskualdeko Eskola Kirolaren  Batzordean parte hartzeko konpromisoa hartuko dute. Parte-hartze hori, behar den unean, ikastetxeko eskola-kiroleko koordinatzaile pedagogikoaren bitartez gauzatuko da, Usabal kiroldegian  astero egiten diren bileretan parte hartuta.</w:t>
            </w:r>
          </w:p>
        </w:tc>
        <w:tc>
          <w:tcPr>
            <w:tcW w:w="4276" w:type="dxa"/>
            <w:tcBorders>
              <w:top w:val="nil"/>
              <w:left w:val="nil"/>
              <w:bottom w:val="nil"/>
              <w:right w:val="nil"/>
            </w:tcBorders>
          </w:tcPr>
          <w:p>
            <w:pPr>
              <w:pStyle w:val="ListParagraph"/>
              <w:widowControl w:val="false"/>
              <w:numPr>
                <w:ilvl w:val="0"/>
                <w:numId w:val="22"/>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Las estructuras de deporte escolar se comprometerán a participar en la Mesa comarcal   de Deporte Escolar. Esta participación se materializará, en su momento, por medio de la persona coordinadora pedagógica de deporte escolar del centro, en reuniones semanales en el polideportivo Usabal.</w:t>
            </w:r>
          </w:p>
        </w:tc>
      </w:tr>
      <w:tr>
        <w:trPr/>
        <w:tc>
          <w:tcPr>
            <w:tcW w:w="4108" w:type="dxa"/>
            <w:tcBorders>
              <w:top w:val="nil"/>
              <w:left w:val="nil"/>
              <w:bottom w:val="nil"/>
              <w:right w:val="nil"/>
            </w:tcBorders>
          </w:tcPr>
          <w:p>
            <w:pPr>
              <w:pStyle w:val="ListParagraph"/>
              <w:widowControl w:val="false"/>
              <w:numPr>
                <w:ilvl w:val="0"/>
                <w:numId w:val="23"/>
              </w:numPr>
              <w:suppressAutoHyphens w:val="true"/>
              <w:spacing w:lineRule="auto" w:line="276" w:before="0" w:after="160"/>
              <w:contextualSpacing/>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Egitura bakoitzak izango du kirol-egitaraua (Jolashezi, Multikirola), eta hor sartuko ditu hala ibilbideak, nola jarduerak, edozein dela ere haiek garatzeko eremu fisikoa (ikastetxea, kirol-kluba, udal-instalazioak) eta urte-sasoia (eskola-garaia edo opor-garaia).</w:t>
            </w:r>
          </w:p>
        </w:tc>
        <w:tc>
          <w:tcPr>
            <w:tcW w:w="4276" w:type="dxa"/>
            <w:tcBorders>
              <w:top w:val="nil"/>
              <w:left w:val="nil"/>
              <w:bottom w:val="nil"/>
              <w:right w:val="nil"/>
            </w:tcBorders>
          </w:tcPr>
          <w:p>
            <w:pPr>
              <w:pStyle w:val="ListParagraph"/>
              <w:widowControl w:val="false"/>
              <w:numPr>
                <w:ilvl w:val="0"/>
                <w:numId w:val="23"/>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Cada estructura dispondrá del programa deportivo (Jolashezi, Multikirola) que incluirá en el mismo tanto los itinerarios como las actividades, independientemente del marco físico en el que se desarrollen (centro escolar, club deportivo, instalaciones municipales) y época del año (períodos escolares o vacacionales).</w:t>
            </w:r>
          </w:p>
        </w:tc>
      </w:tr>
      <w:tr>
        <w:trPr/>
        <w:tc>
          <w:tcPr>
            <w:tcW w:w="4108" w:type="dxa"/>
            <w:tcBorders>
              <w:top w:val="nil"/>
              <w:left w:val="nil"/>
              <w:bottom w:val="nil"/>
              <w:right w:val="nil"/>
            </w:tcBorders>
          </w:tcPr>
          <w:p>
            <w:pPr>
              <w:pStyle w:val="ListParagraph"/>
              <w:widowControl w:val="false"/>
              <w:numPr>
                <w:ilvl w:val="0"/>
                <w:numId w:val="23"/>
              </w:numPr>
              <w:suppressAutoHyphens w:val="true"/>
              <w:spacing w:lineRule="auto" w:line="276" w:before="0" w:after="160"/>
              <w:contextualSpacing/>
              <w:jc w:val="both"/>
              <w:rPr>
                <w:rFonts w:ascii="Arial" w:hAnsi="Arial" w:cs="Arial"/>
                <w:b/>
                <w:b/>
                <w:color w:val="000000"/>
                <w:spacing w:val="-3"/>
                <w:shd w:fill="FFFFFF" w:val="clear"/>
                <w:lang w:val="es-ES"/>
              </w:rPr>
            </w:pPr>
            <w:r>
              <w:rPr>
                <w:rFonts w:eastAsia="Calibri" w:cs="Arial" w:ascii="Arial" w:hAnsi="Arial"/>
                <w:kern w:val="2"/>
                <w:sz w:val="22"/>
                <w:szCs w:val="22"/>
                <w:lang w:val="eu-ES" w:eastAsia="en-US" w:bidi="ar-SA"/>
              </w:rPr>
              <w:t xml:space="preserve">Eusko Jaurlaritzak eta Gipuzkoako Foru Aldundiak eskola-kirolaren arloan indarrean dituzten gidalerroetan eta legerian oinarritu beharko da kirol-programa. </w:t>
            </w:r>
            <w:r>
              <w:rPr>
                <w:rFonts w:eastAsia="Calibri" w:cs="Arial" w:ascii="Arial" w:hAnsi="Arial"/>
                <w:kern w:val="2"/>
                <w:sz w:val="22"/>
                <w:szCs w:val="22"/>
                <w:lang w:val="es-ES" w:eastAsia="en-US" w:bidi="ar-SA"/>
              </w:rPr>
              <w:t>Era berean, bat etorriko da udalaren kirol-politikaren interesekin eta ikastetxearen helburuekin, eta herriko gainerako ikastetxeekin koordinatuta egongo da.</w:t>
            </w:r>
          </w:p>
        </w:tc>
        <w:tc>
          <w:tcPr>
            <w:tcW w:w="4276" w:type="dxa"/>
            <w:tcBorders>
              <w:top w:val="nil"/>
              <w:left w:val="nil"/>
              <w:bottom w:val="nil"/>
              <w:right w:val="nil"/>
            </w:tcBorders>
          </w:tcPr>
          <w:p>
            <w:pPr>
              <w:pStyle w:val="ListParagraph"/>
              <w:widowControl w:val="false"/>
              <w:numPr>
                <w:ilvl w:val="0"/>
                <w:numId w:val="23"/>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El programa deportivo habrá de asentarse en las directrices y legislación que en materia de deporte escolar tenga vigentes el Gobierno Vasco y la Diputación Foral de Gipuzkoa. De igual manera, estará en consonancia con los intereses de la política deportiva municipal y los propios objetivos del centro escolar, y se coordinará con el resto de centros escolares de la localidad.</w:t>
            </w:r>
          </w:p>
        </w:tc>
      </w:tr>
      <w:tr>
        <w:trPr/>
        <w:tc>
          <w:tcPr>
            <w:tcW w:w="4108" w:type="dxa"/>
            <w:tcBorders>
              <w:top w:val="nil"/>
              <w:left w:val="nil"/>
              <w:bottom w:val="nil"/>
              <w:right w:val="nil"/>
            </w:tcBorders>
          </w:tcPr>
          <w:p>
            <w:pPr>
              <w:pStyle w:val="ListParagraph"/>
              <w:widowControl w:val="false"/>
              <w:numPr>
                <w:ilvl w:val="0"/>
                <w:numId w:val="24"/>
              </w:numPr>
              <w:suppressAutoHyphens w:val="true"/>
              <w:spacing w:lineRule="auto" w:line="276" w:before="0" w:after="160"/>
              <w:contextualSpacing/>
              <w:jc w:val="both"/>
              <w:rPr>
                <w:rFonts w:ascii="Arial" w:hAnsi="Arial" w:cs="Arial"/>
                <w:bCs/>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Jolashezi programak Gipuzkoako Foru Aldundiak emandako eduki didaktikoak bete beharko ditu: Jolashezi proiektua.</w:t>
            </w:r>
          </w:p>
        </w:tc>
        <w:tc>
          <w:tcPr>
            <w:tcW w:w="4276" w:type="dxa"/>
            <w:tcBorders>
              <w:top w:val="nil"/>
              <w:left w:val="nil"/>
              <w:bottom w:val="nil"/>
              <w:right w:val="nil"/>
            </w:tcBorders>
          </w:tcPr>
          <w:p>
            <w:pPr>
              <w:pStyle w:val="ListParagraph"/>
              <w:widowControl w:val="false"/>
              <w:numPr>
                <w:ilvl w:val="0"/>
                <w:numId w:val="24"/>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El programa de Jolashezi deberá seguir los contenidos didácticos facilitados por la Diputación Foral de Gipuzkoa: Proyecto Jolashezi.</w:t>
            </w:r>
          </w:p>
        </w:tc>
      </w:tr>
      <w:tr>
        <w:trPr/>
        <w:tc>
          <w:tcPr>
            <w:tcW w:w="4108" w:type="dxa"/>
            <w:tcBorders>
              <w:top w:val="nil"/>
              <w:left w:val="nil"/>
              <w:bottom w:val="nil"/>
              <w:right w:val="nil"/>
            </w:tcBorders>
          </w:tcPr>
          <w:p>
            <w:pPr>
              <w:pStyle w:val="ListParagraph"/>
              <w:widowControl w:val="false"/>
              <w:numPr>
                <w:ilvl w:val="0"/>
                <w:numId w:val="24"/>
              </w:numPr>
              <w:suppressAutoHyphens w:val="true"/>
              <w:spacing w:lineRule="auto" w:line="276" w:before="0" w:after="160"/>
              <w:contextualSpacing/>
              <w:jc w:val="both"/>
              <w:rPr>
                <w:rFonts w:ascii="Arial" w:hAnsi="Arial" w:cs="Arial"/>
                <w:bCs/>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Egitura bakoitzaren eskumena izango da eskola-kirolaren hezkidetza-helburuak betetzen direla zaintzea, eta, horretarako, neska-mutilen tratu- eta aukera-berdintasuna ahalbidetzea jarduera guztietan, helburu horiek lortzea bermatzen duten baldintzetan.</w:t>
            </w:r>
          </w:p>
        </w:tc>
        <w:tc>
          <w:tcPr>
            <w:tcW w:w="4276" w:type="dxa"/>
            <w:tcBorders>
              <w:top w:val="nil"/>
              <w:left w:val="nil"/>
              <w:bottom w:val="nil"/>
              <w:right w:val="nil"/>
            </w:tcBorders>
          </w:tcPr>
          <w:p>
            <w:pPr>
              <w:pStyle w:val="ListParagraph"/>
              <w:widowControl w:val="false"/>
              <w:numPr>
                <w:ilvl w:val="0"/>
                <w:numId w:val="24"/>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Será competencia de cada estructura velar por el cumplimiento de los objetivos coeducativos del deporte escolar, posibilitando la igualdad de trato y oportunidades de niñas y niños en las diferentes actividades en condiciones que garanticen la consecución de dichos objetivos.</w:t>
            </w:r>
          </w:p>
        </w:tc>
      </w:tr>
      <w:tr>
        <w:trPr/>
        <w:tc>
          <w:tcPr>
            <w:tcW w:w="4108" w:type="dxa"/>
            <w:tcBorders>
              <w:top w:val="nil"/>
              <w:left w:val="nil"/>
              <w:bottom w:val="nil"/>
              <w:right w:val="nil"/>
            </w:tcBorders>
          </w:tcPr>
          <w:p>
            <w:pPr>
              <w:pStyle w:val="ListParagraph"/>
              <w:widowControl w:val="false"/>
              <w:numPr>
                <w:ilvl w:val="0"/>
                <w:numId w:val="24"/>
              </w:numPr>
              <w:suppressAutoHyphens w:val="true"/>
              <w:spacing w:lineRule="auto" w:line="276" w:before="0" w:after="160"/>
              <w:contextualSpacing/>
              <w:jc w:val="both"/>
              <w:rPr>
                <w:rFonts w:ascii="Arial" w:hAnsi="Arial" w:cs="Arial"/>
                <w:bCs/>
                <w:color w:val="000000"/>
                <w:spacing w:val="-3"/>
                <w:shd w:fill="FFFFFF" w:val="clear"/>
              </w:rPr>
            </w:pPr>
            <w:r>
              <w:rPr>
                <w:rFonts w:eastAsia="Calibri" w:cs="Arial" w:ascii="Arial" w:hAnsi="Arial"/>
                <w:bCs/>
                <w:color w:val="000000"/>
                <w:spacing w:val="-3"/>
                <w:kern w:val="2"/>
                <w:sz w:val="22"/>
                <w:szCs w:val="22"/>
                <w:shd w:fill="FFFFFF" w:val="clear"/>
                <w:lang w:val="eu-ES" w:eastAsia="en-US" w:bidi="ar-SA"/>
              </w:rPr>
              <w:t>Ikastetxeek haien kirol-instalazioak eskainiko dituzte udalerrian eskola-kiroleko jarduerak garatzean sortzen diren beharretarako.</w:t>
            </w:r>
          </w:p>
        </w:tc>
        <w:tc>
          <w:tcPr>
            <w:tcW w:w="4276" w:type="dxa"/>
            <w:tcBorders>
              <w:top w:val="nil"/>
              <w:left w:val="nil"/>
              <w:bottom w:val="nil"/>
              <w:right w:val="nil"/>
            </w:tcBorders>
          </w:tcPr>
          <w:p>
            <w:pPr>
              <w:pStyle w:val="ListParagraph"/>
              <w:widowControl w:val="false"/>
              <w:numPr>
                <w:ilvl w:val="0"/>
                <w:numId w:val="24"/>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Los centros escolares pondrán a disposición de las necesidades surgidas del desarrollo de las actividades de deporte escolar en el ámbito local, la utilización de sus instalaciones deportivas.</w:t>
            </w:r>
          </w:p>
        </w:tc>
      </w:tr>
      <w:tr>
        <w:trPr/>
        <w:tc>
          <w:tcPr>
            <w:tcW w:w="4108" w:type="dxa"/>
            <w:tcBorders>
              <w:top w:val="nil"/>
              <w:left w:val="nil"/>
              <w:bottom w:val="nil"/>
              <w:right w:val="nil"/>
            </w:tcBorders>
          </w:tcPr>
          <w:p>
            <w:pPr>
              <w:pStyle w:val="ListParagraph"/>
              <w:widowControl w:val="false"/>
              <w:numPr>
                <w:ilvl w:val="0"/>
                <w:numId w:val="24"/>
              </w:numPr>
              <w:suppressAutoHyphens w:val="true"/>
              <w:spacing w:lineRule="auto" w:line="276" w:before="0" w:after="160"/>
              <w:contextualSpacing/>
              <w:jc w:val="both"/>
              <w:rPr>
                <w:rFonts w:ascii="Arial" w:hAnsi="Arial" w:cs="Arial"/>
                <w:bCs/>
                <w:color w:val="000000"/>
                <w:spacing w:val="-3"/>
                <w:shd w:fill="FFFFFF" w:val="clear"/>
                <w:lang w:val="es-ES"/>
              </w:rPr>
            </w:pPr>
            <w:r>
              <w:rPr>
                <w:rFonts w:eastAsia="Calibri" w:cs="Arial" w:ascii="Arial" w:hAnsi="Arial"/>
                <w:bCs/>
                <w:color w:val="000000"/>
                <w:spacing w:val="-3"/>
                <w:kern w:val="2"/>
                <w:sz w:val="22"/>
                <w:szCs w:val="22"/>
                <w:shd w:fill="FFFFFF" w:val="clear"/>
                <w:lang w:val="eu-ES" w:eastAsia="en-US" w:bidi="ar-SA"/>
              </w:rPr>
              <w:t xml:space="preserve">Klubek edo elkarteek bultzatzen dituzten kirol-modalitate eta jardueretan euskararen erabilerak lehentasuna izatea bermatuko da dirulaguntzaren xede den ekintzan, bai eta horren publizitatean eta hortik etor litezkeen hitzaldi eta antzekoetan ere. </w:t>
            </w:r>
            <w:r>
              <w:rPr>
                <w:rFonts w:eastAsia="Calibri" w:cs="Arial" w:ascii="Arial" w:hAnsi="Arial"/>
                <w:bCs/>
                <w:color w:val="000000"/>
                <w:spacing w:val="-3"/>
                <w:kern w:val="2"/>
                <w:sz w:val="22"/>
                <w:szCs w:val="22"/>
                <w:shd w:fill="FFFFFF" w:val="clear"/>
                <w:lang w:val="es-ES" w:eastAsia="en-US" w:bidi="ar-SA"/>
              </w:rPr>
              <w:t>Era berean, partehartzaileekin erabiliko den hizkuntza euskara izango da.</w:t>
            </w:r>
          </w:p>
        </w:tc>
        <w:tc>
          <w:tcPr>
            <w:tcW w:w="4276" w:type="dxa"/>
            <w:tcBorders>
              <w:top w:val="nil"/>
              <w:left w:val="nil"/>
              <w:bottom w:val="nil"/>
              <w:right w:val="nil"/>
            </w:tcBorders>
          </w:tcPr>
          <w:p>
            <w:pPr>
              <w:pStyle w:val="ListParagraph"/>
              <w:widowControl w:val="false"/>
              <w:numPr>
                <w:ilvl w:val="0"/>
                <w:numId w:val="24"/>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El uso del euskera en las modalidades y actividades deportivas que se promuevan por los clubes o asociaciones se garantizará preferentemente en la acción objeto de subvención y en la publicidad de la misma, así como en las conferencias y similares que se puedan derivar. Asimismo, la lengua que se utilizará con las personas participantes será el euskera.</w:t>
            </w:r>
          </w:p>
        </w:tc>
      </w:tr>
      <w:tr>
        <w:trPr/>
        <w:tc>
          <w:tcPr>
            <w:tcW w:w="4108" w:type="dxa"/>
            <w:tcBorders>
              <w:top w:val="nil"/>
              <w:left w:val="nil"/>
              <w:bottom w:val="nil"/>
              <w:right w:val="nil"/>
            </w:tcBorders>
          </w:tcPr>
          <w:p>
            <w:pPr>
              <w:pStyle w:val="ListParagraph"/>
              <w:widowControl w:val="false"/>
              <w:numPr>
                <w:ilvl w:val="0"/>
                <w:numId w:val="25"/>
              </w:numPr>
              <w:suppressAutoHyphens w:val="true"/>
              <w:spacing w:lineRule="auto" w:line="276" w:before="0" w:after="160"/>
              <w:contextualSpacing/>
              <w:jc w:val="both"/>
              <w:rPr>
                <w:rFonts w:ascii="Arial" w:hAnsi="Arial" w:cs="Arial"/>
                <w:b/>
                <w:b/>
                <w:color w:val="000000"/>
                <w:spacing w:val="-3"/>
                <w:shd w:fill="FFFFFF" w:val="clear"/>
              </w:rPr>
            </w:pPr>
            <w:r>
              <w:rPr>
                <w:rFonts w:eastAsia="Times New Roman" w:cs="Arial" w:ascii="Arial" w:hAnsi="Arial"/>
                <w:kern w:val="0"/>
                <w:sz w:val="22"/>
                <w:szCs w:val="22"/>
                <w:lang w:val="eu-ES" w:eastAsia="eu-ES" w:bidi="ar-SA"/>
                <w14:ligatures w14:val="none"/>
              </w:rPr>
              <w:t>Emakumeen eta gizonen tratu- eta aukera-berdintasuna sustatzea, ikastetxeak sustatzen duen kirolari eta jarduerari lotuta (emakumeen ordezkaritza bai kirol-arloan, bai kudeaketa-organoetan).</w:t>
            </w:r>
          </w:p>
        </w:tc>
        <w:tc>
          <w:tcPr>
            <w:tcW w:w="4276" w:type="dxa"/>
            <w:tcBorders>
              <w:top w:val="nil"/>
              <w:left w:val="nil"/>
              <w:bottom w:val="nil"/>
              <w:right w:val="nil"/>
            </w:tcBorders>
          </w:tcPr>
          <w:p>
            <w:pPr>
              <w:pStyle w:val="ListParagraph"/>
              <w:widowControl w:val="false"/>
              <w:numPr>
                <w:ilvl w:val="0"/>
                <w:numId w:val="25"/>
              </w:numPr>
              <w:suppressAutoHyphens w:val="true"/>
              <w:spacing w:lineRule="auto" w:line="276" w:before="0" w:after="160"/>
              <w:contextualSpacing/>
              <w:jc w:val="both"/>
              <w:rPr>
                <w:rFonts w:ascii="Arial" w:hAnsi="Arial" w:cs="Arial"/>
                <w:b/>
                <w:b/>
                <w:bCs/>
                <w:color w:val="000000"/>
                <w:spacing w:val="-3"/>
                <w:u w:val="single"/>
                <w:shd w:fill="FFFFFF" w:val="clear"/>
                <w:lang w:val="es-ES"/>
              </w:rPr>
            </w:pPr>
            <w:r>
              <w:rPr>
                <w:rFonts w:eastAsia="Times New Roman" w:cs="Arial" w:ascii="Arial" w:hAnsi="Arial"/>
                <w:kern w:val="0"/>
                <w:sz w:val="22"/>
                <w:szCs w:val="22"/>
                <w:lang w:val="es-ES" w:eastAsia="eu-ES" w:bidi="ar-SA"/>
                <w14:ligatures w14:val="none"/>
              </w:rPr>
              <w:t>Promover la igualdad de trato y oportunidades de mujeres y hombres con relación al deporte y actividad que fomente el centro escolar (representación femenina tanto deportiva como en órganos de gestión).</w:t>
            </w:r>
          </w:p>
        </w:tc>
      </w:tr>
      <w:tr>
        <w:trPr/>
        <w:tc>
          <w:tcPr>
            <w:tcW w:w="4108" w:type="dxa"/>
            <w:tcBorders>
              <w:top w:val="nil"/>
              <w:left w:val="nil"/>
              <w:bottom w:val="nil"/>
              <w:right w:val="nil"/>
            </w:tcBorders>
          </w:tcPr>
          <w:p>
            <w:pPr>
              <w:pStyle w:val="ListParagraph"/>
              <w:widowControl w:val="false"/>
              <w:numPr>
                <w:ilvl w:val="0"/>
                <w:numId w:val="25"/>
              </w:numPr>
              <w:suppressAutoHyphens w:val="true"/>
              <w:spacing w:lineRule="auto" w:line="276" w:before="0" w:after="160"/>
              <w:contextualSpacing/>
              <w:jc w:val="both"/>
              <w:rPr>
                <w:rFonts w:ascii="Arial" w:hAnsi="Arial" w:cs="Arial"/>
                <w:b/>
                <w:b/>
                <w:color w:val="000000"/>
                <w:spacing w:val="-3"/>
                <w:shd w:fill="FFFFFF" w:val="clear"/>
                <w:lang w:val="es-ES"/>
              </w:rPr>
            </w:pPr>
            <w:r>
              <w:rPr>
                <w:rFonts w:eastAsia="Arial" w:cs="Arial" w:ascii="Arial" w:hAnsi="Arial"/>
                <w:color w:val="000000"/>
                <w:spacing w:val="-3"/>
                <w:kern w:val="2"/>
                <w:sz w:val="22"/>
                <w:szCs w:val="22"/>
                <w:shd w:fill="FFFFFF" w:val="clear"/>
                <w:lang w:val="es-ES" w:eastAsia="en-US" w:bidi="ar-SA"/>
              </w:rPr>
              <w:t>Oro har, dirulaguntzak arautzen dituen araudian jasotako beste edozein</w:t>
            </w:r>
            <w:r>
              <w:rPr>
                <w:rFonts w:eastAsia="Arial" w:cs="Arial" w:ascii="Arial" w:hAnsi="Arial"/>
                <w:b/>
                <w:color w:val="000000"/>
                <w:spacing w:val="-3"/>
                <w:kern w:val="2"/>
                <w:sz w:val="22"/>
                <w:szCs w:val="22"/>
                <w:shd w:fill="FFFFFF" w:val="clear"/>
                <w:lang w:val="es-ES" w:eastAsia="en-US" w:bidi="ar-SA"/>
              </w:rPr>
              <w:t>.</w:t>
            </w:r>
          </w:p>
        </w:tc>
        <w:tc>
          <w:tcPr>
            <w:tcW w:w="4276" w:type="dxa"/>
            <w:tcBorders>
              <w:top w:val="nil"/>
              <w:left w:val="nil"/>
              <w:bottom w:val="nil"/>
              <w:right w:val="nil"/>
            </w:tcBorders>
          </w:tcPr>
          <w:p>
            <w:pPr>
              <w:pStyle w:val="ListParagraph"/>
              <w:widowControl w:val="false"/>
              <w:numPr>
                <w:ilvl w:val="0"/>
                <w:numId w:val="25"/>
              </w:numPr>
              <w:suppressAutoHyphens w:val="true"/>
              <w:spacing w:lineRule="auto" w:line="276" w:before="0" w:after="160"/>
              <w:contextualSpacing/>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En general, cualquiera otra recogida por la normativa reguladora de subvenciones.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b/>
                <w:color w:val="000000"/>
                <w:spacing w:val="-3"/>
                <w:kern w:val="2"/>
                <w:sz w:val="22"/>
                <w:szCs w:val="22"/>
                <w:shd w:fill="FFFFFF" w:val="clear"/>
                <w:lang w:val="eu-ES" w:eastAsia="en-US" w:bidi="ar-SA"/>
              </w:rPr>
              <w:t xml:space="preserve">13. </w:t>
            </w:r>
            <w:r>
              <w:rPr>
                <w:rFonts w:eastAsia="Calibri" w:cs="Arial" w:ascii="Arial" w:hAnsi="Arial"/>
                <w:b/>
                <w:bCs/>
                <w:kern w:val="2"/>
                <w:sz w:val="22"/>
                <w:szCs w:val="22"/>
                <w:lang w:val="eu-ES" w:eastAsia="en-US" w:bidi="ar-SA"/>
              </w:rPr>
              <w:t>Bateragarritasuna edo bateraezintasuna helburu bererako beste dirulaguntza, laguntza, diru-sarrera edo baliabideekin, edozein dela ere haiek ematen dituen administrazioa, erakunde publiko nahiz pribatua, izan Estatukoa, Europar Batasunekoa edo nazioartekoa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13. Compatibilidad o incompatibilidad con otras subvenciones, ayudas, ingresos o recursos para la misma finalidad, procedentes de cualesquiera administraciones o entes públicos o privados nacionales, de la unión europea o de organismos internacionales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rPr>
            </w:pPr>
            <w:r>
              <w:rPr>
                <w:rFonts w:eastAsia="Calibri" w:cs="Arial" w:ascii="Arial" w:hAnsi="Arial"/>
                <w:kern w:val="2"/>
                <w:sz w:val="22"/>
                <w:szCs w:val="22"/>
                <w:lang w:val="eu-ES" w:eastAsia="en-US" w:bidi="ar-SA"/>
              </w:rPr>
              <w:t>Dirulaguntza hauek bateragarriak izango dira helburu bererako beste dirulaguntza, laguntza, diru-sarrera edo baliabide batzuekin, edozein dela ere haiek ematen dituen estatuko, Europar Batasuneko edo nazioarteko administrazioa edo erakunde publiko nahiz pribatua, eta hargatik eragotzi gabe horren inguruan beste dirulaguntzak arautzen dituzten araudiek ezar dezaketena</w:t>
            </w:r>
            <w:r>
              <w:rPr>
                <w:rFonts w:eastAsia="Arial" w:cs="Arial" w:ascii="Arial" w:hAnsi="Arial"/>
                <w:kern w:val="2"/>
                <w:sz w:val="22"/>
                <w:szCs w:val="22"/>
                <w:lang w:val="eu-ES" w:eastAsia="en-US" w:bidi="ar-SA"/>
              </w:rPr>
              <w:t>.</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Estas subvenciones serán compatibles con otras subvenciones, ayudas, ingresos o recursos para la misma finalidad, procedentes de cualesquiera administraciones o entes públicos o privados nacionales, de la Unión Europea o de organismos internacionales, sin perjuicio de lo que al respecto pudiera establecer la normativa reguladora de las otras subvenciones concurrentes.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rPr>
            </w:pPr>
            <w:r>
              <w:rPr>
                <w:rFonts w:eastAsia="Arial" w:cs="Arial" w:ascii="Arial" w:hAnsi="Arial"/>
                <w:kern w:val="2"/>
                <w:sz w:val="22"/>
                <w:szCs w:val="22"/>
                <w:lang w:val="eu-ES" w:eastAsia="en-US" w:bidi="ar-SA"/>
              </w:rPr>
              <w:t>Dirulaguntzaren zenbatekoak ezin izango du, inolaz ere, gainditu diruz lagundutako jardueraren kostua, ez bakarrik, ez eta beste dirulaguntza, laguntza, diru-sarrera edo baliabideekin batera ere.</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El importe de la subvención en ningún caso podrá ser de tal cuantía que, aisladamente o en concurrencia con otras subvenciones, ayudas, ingresos o recursos supere el coste de la actividad subvencionada.</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lang w:val="es-ES"/>
              </w:rPr>
            </w:pPr>
            <w:r>
              <w:rPr>
                <w:rFonts w:eastAsia="Arial" w:cs="Arial" w:ascii="Arial" w:hAnsi="Arial"/>
                <w:kern w:val="2"/>
                <w:sz w:val="22"/>
                <w:szCs w:val="22"/>
                <w:lang w:val="es-ES" w:eastAsia="en-US" w:bidi="ar-SA"/>
              </w:rPr>
              <w:t>Muga hori ez dela gainditu egiaztatzeko, diruz lagundutako gastu osoa justifikatu beharko da.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92D050"/>
                <w:spacing w:val="-3"/>
                <w:shd w:fill="FFFFFF" w:val="clear"/>
                <w:lang w:val="es-ES"/>
              </w:rPr>
            </w:pPr>
            <w:r>
              <w:rPr>
                <w:rFonts w:eastAsia="Calibri" w:cs="Arial" w:ascii="Arial" w:hAnsi="Arial"/>
                <w:color w:val="000000"/>
                <w:spacing w:val="-3"/>
                <w:kern w:val="2"/>
                <w:sz w:val="22"/>
                <w:szCs w:val="22"/>
                <w:shd w:fill="FFFFFF" w:val="clear"/>
                <w:lang w:val="es-ES" w:eastAsia="en-US" w:bidi="ar-SA"/>
              </w:rPr>
              <w:t>Para la comprobación de esta limitación, se habrá de justificar la totalidad del gasto subvencionado.</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shd w:fill="FFFFFF" w:val="clear"/>
              </w:rPr>
            </w:pPr>
            <w:r>
              <w:rPr>
                <w:rFonts w:eastAsia="Arial" w:cs="Arial" w:ascii="Arial" w:hAnsi="Arial"/>
                <w:kern w:val="2"/>
                <w:sz w:val="22"/>
                <w:szCs w:val="22"/>
                <w:lang w:val="eu-ES" w:eastAsia="en-US" w:bidi="ar-SA"/>
              </w:rPr>
              <w:t xml:space="preserve">Proiektuaren edo jardueraren kostua baino gehiago finantzatzen bada, onuradunak itzuli egin beharko du, berandutze-interesekin batera, eta ordainketa-gutunak dagokion justifikazioari erantsi beharko dizkio.  </w:t>
            </w:r>
          </w:p>
        </w:tc>
        <w:tc>
          <w:tcPr>
            <w:tcW w:w="4276" w:type="dxa"/>
            <w:tcBorders>
              <w:top w:val="nil"/>
              <w:left w:val="nil"/>
              <w:bottom w:val="nil"/>
              <w:right w:val="nil"/>
            </w:tcBorders>
          </w:tcPr>
          <w:p>
            <w:pPr>
              <w:pStyle w:val="Normal"/>
              <w:widowControl w:val="false"/>
              <w:suppressAutoHyphens w:val="true"/>
              <w:spacing w:lineRule="auto" w:line="276" w:before="0" w:after="0"/>
              <w:jc w:val="both"/>
              <w:rPr>
                <w:rFonts w:ascii="Arial" w:hAnsi="Arial" w:cs="Arial"/>
                <w:color w:val="000000"/>
                <w:spacing w:val="-3"/>
                <w:shd w:fill="FFFFFF" w:val="clear"/>
                <w:lang w:val="es-ES"/>
              </w:rPr>
            </w:pPr>
            <w:r>
              <w:rPr>
                <w:rFonts w:eastAsia="Calibri" w:cs="Arial" w:ascii="Arial" w:hAnsi="Arial"/>
                <w:color w:val="000000"/>
                <w:spacing w:val="-3"/>
                <w:kern w:val="2"/>
                <w:sz w:val="22"/>
                <w:szCs w:val="22"/>
                <w:shd w:fill="FFFFFF" w:val="clear"/>
                <w:lang w:val="es-ES" w:eastAsia="en-US" w:bidi="ar-SA"/>
              </w:rPr>
              <w:t>Si se produjera un exceso de financiación respecto del coste del proyecto o actividad, la beneficiaria deberá reintegrarlo, junto con los intereses de demora, uniendo las cartas de pago a la correspondiente justificación.</w:t>
            </w:r>
          </w:p>
          <w:p>
            <w:pPr>
              <w:pStyle w:val="Normal"/>
              <w:widowControl w:val="false"/>
              <w:suppressAutoHyphens w:val="true"/>
              <w:spacing w:lineRule="auto" w:line="276" w:before="0" w:after="0"/>
              <w:jc w:val="both"/>
              <w:rPr>
                <w:rFonts w:ascii="Arial" w:hAnsi="Arial" w:cs="Arial"/>
                <w:color w:val="000000"/>
                <w:spacing w:val="-3"/>
                <w:shd w:fill="FFFFFF" w:val="clear"/>
                <w:lang w:val="es-ES"/>
              </w:rPr>
            </w:pPr>
            <w:r>
              <w:rPr>
                <w:rFonts w:cs="Arial" w:ascii="Arial" w:hAnsi="Arial"/>
                <w:color w:val="000000"/>
                <w:spacing w:val="-3"/>
                <w:shd w:fill="FFFFFF" w:val="clear"/>
                <w:lang w:val="es-ES"/>
              </w:rPr>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Calibri" w:cs="Arial" w:ascii="Arial" w:hAnsi="Arial"/>
                <w:kern w:val="2"/>
                <w:sz w:val="22"/>
                <w:szCs w:val="22"/>
                <w:lang w:val="eu-ES" w:eastAsia="en-US" w:bidi="ar-SA"/>
              </w:rPr>
              <w:t>Hala ere, Tolosako Udalak gehiegizko finantzaketa ikusten duenean, gehiegizko zati horren zenbateko osoa itzultzeko eskatuko du, Udalak emandako dirulaguntzaren mugaraino.</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olor w:val="000000"/>
                <w:lang w:val="es-ES"/>
              </w:rPr>
            </w:pPr>
            <w:r>
              <w:rPr>
                <w:rFonts w:eastAsia="Calibri" w:cs="" w:ascii="Arial" w:hAnsi="Arial"/>
                <w:color w:val="000000"/>
                <w:kern w:val="2"/>
                <w:sz w:val="22"/>
                <w:szCs w:val="22"/>
                <w:lang w:val="es-ES" w:eastAsia="en-US" w:bidi="ar-SA"/>
              </w:rPr>
              <w:t>No obstante, cuando sea el Ayuntamiento de Tolosa el que advierta el exceso de financiación, exigirá el reintegro por el importe total del exceso, hasta el límite de la subvención otorgada por el mismo.</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14. Dirulaguntza ordaintzea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shd w:fill="FFFFFF" w:val="clear"/>
                <w:lang w:val="es-ES"/>
              </w:rPr>
            </w:pPr>
            <w:r>
              <w:rPr>
                <w:rFonts w:eastAsia="Calibri" w:cs="Arial" w:ascii="Arial" w:hAnsi="Arial"/>
                <w:b/>
                <w:bCs/>
                <w:color w:val="000000"/>
                <w:spacing w:val="-3"/>
                <w:kern w:val="2"/>
                <w:sz w:val="22"/>
                <w:szCs w:val="22"/>
                <w:shd w:fill="FFFFFF" w:val="clear"/>
                <w:lang w:val="es-ES" w:eastAsia="en-US" w:bidi="ar-SA"/>
              </w:rPr>
              <w:t>14. Abono de la subvención</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lang w:val="es-ES"/>
              </w:rPr>
            </w:pPr>
            <w:r>
              <w:rPr>
                <w:rFonts w:eastAsia="Calibri" w:cs="Arial" w:ascii="Arial" w:hAnsi="Arial"/>
                <w:bCs/>
                <w:color w:val="000000"/>
                <w:spacing w:val="-3"/>
                <w:kern w:val="2"/>
                <w:sz w:val="22"/>
                <w:szCs w:val="22"/>
                <w:lang w:val="es-ES" w:eastAsia="en-US" w:bidi="ar-SA"/>
              </w:rPr>
              <w:t>Dirulaguntza ordaintzeko bi aukera egongo dira, eta onuradunak eskaeran aukeratutakoaren arabera egingo da:</w:t>
            </w:r>
          </w:p>
          <w:p>
            <w:pPr>
              <w:pStyle w:val="Normal"/>
              <w:widowControl w:val="false"/>
              <w:suppressAutoHyphens w:val="true"/>
              <w:spacing w:lineRule="auto" w:line="276" w:before="0" w:after="160"/>
              <w:jc w:val="both"/>
              <w:rPr>
                <w:rFonts w:ascii="Arial" w:hAnsi="Arial" w:eastAsia="Calibri" w:cs="Arial"/>
                <w:bCs/>
                <w:color w:val="000000"/>
                <w:spacing w:val="-3"/>
                <w:lang w:val="es-ES"/>
              </w:rPr>
            </w:pPr>
            <w:r>
              <w:rPr>
                <w:rFonts w:eastAsia="Calibri" w:cs="Arial" w:ascii="Arial" w:hAnsi="Arial"/>
                <w:bCs/>
                <w:color w:val="000000"/>
                <w:spacing w:val="-3"/>
                <w:lang w:val="es-ES"/>
              </w:rPr>
            </w:r>
          </w:p>
          <w:p>
            <w:pPr>
              <w:pStyle w:val="Normal"/>
              <w:widowControl w:val="false"/>
              <w:suppressAutoHyphens w:val="true"/>
              <w:spacing w:lineRule="auto" w:line="276" w:before="0" w:after="160"/>
              <w:jc w:val="both"/>
              <w:rPr>
                <w:lang w:val="es-ES"/>
              </w:rPr>
            </w:pPr>
            <w:r>
              <w:rPr>
                <w:rFonts w:eastAsia="Calibri" w:cs="Arial" w:ascii="Arial" w:hAnsi="Arial"/>
                <w:bCs/>
                <w:color w:val="000000"/>
                <w:spacing w:val="-3"/>
                <w:kern w:val="2"/>
                <w:sz w:val="22"/>
                <w:szCs w:val="22"/>
                <w:lang w:val="es-ES" w:eastAsia="en-US" w:bidi="ar-SA"/>
              </w:rPr>
              <w:t>1.</w:t>
              <w:tab/>
              <w:t>Eskatzaileak baliabide aski izan ez, eta aurrerakina jasotzeko aukera markatu badu, dirulaguntzaren % 75 hura ematea onartzen den unean ordainduko da. Gainerako % 25a ordainduko da justifikazioa aurkeztu, eta organo eskudunak onartzen duenean.</w:t>
            </w:r>
          </w:p>
          <w:p>
            <w:pPr>
              <w:pStyle w:val="Normal"/>
              <w:widowControl w:val="false"/>
              <w:suppressAutoHyphens w:val="true"/>
              <w:spacing w:lineRule="auto" w:line="276" w:before="0" w:after="160"/>
              <w:jc w:val="both"/>
              <w:rPr>
                <w:lang w:val="es-ES"/>
              </w:rPr>
            </w:pPr>
            <w:r>
              <w:rPr>
                <w:rFonts w:eastAsia="Calibri" w:cs="Arial" w:ascii="Arial" w:hAnsi="Arial"/>
                <w:bCs/>
                <w:color w:val="000000"/>
                <w:spacing w:val="-3"/>
                <w:kern w:val="2"/>
                <w:sz w:val="22"/>
                <w:szCs w:val="22"/>
                <w:lang w:val="es-ES" w:eastAsia="en-US" w:bidi="ar-SA"/>
              </w:rPr>
              <w:t>2.</w:t>
              <w:tab/>
              <w:t>Baliabide aski izan eta aurrerakinik jasotzeko beharrik ez dagoela markatu bada, dirulaguntzaren % 100 ordainduko da organo eskudunak justifikazioa ontzat ematean.</w:t>
            </w:r>
          </w:p>
          <w:p>
            <w:pPr>
              <w:pStyle w:val="Normal"/>
              <w:widowControl w:val="false"/>
              <w:suppressAutoHyphens w:val="true"/>
              <w:spacing w:lineRule="auto" w:line="276" w:before="0" w:after="160"/>
              <w:jc w:val="both"/>
              <w:rPr>
                <w:rFonts w:ascii="Calibri" w:hAnsi="Calibri" w:eastAsia="Calibri"/>
                <w:lang w:val="es-ES"/>
              </w:rPr>
            </w:pPr>
            <w:r>
              <w:rPr>
                <w:rFonts w:eastAsia="Calibri"/>
                <w:lang w:val="es-ES"/>
              </w:rPr>
            </w:r>
          </w:p>
        </w:tc>
        <w:tc>
          <w:tcPr>
            <w:tcW w:w="4276" w:type="dxa"/>
            <w:tcBorders>
              <w:top w:val="nil"/>
              <w:left w:val="nil"/>
              <w:bottom w:val="nil"/>
              <w:right w:val="nil"/>
            </w:tcBorders>
          </w:tcPr>
          <w:p>
            <w:pPr>
              <w:pStyle w:val="Normal"/>
              <w:widowControl w:val="false"/>
              <w:suppressAutoHyphens w:val="true"/>
              <w:spacing w:lineRule="auto" w:line="276" w:before="0" w:after="160"/>
              <w:jc w:val="both"/>
              <w:rPr>
                <w:lang w:val="es-ES"/>
              </w:rPr>
            </w:pPr>
            <w:r>
              <w:rPr>
                <w:rFonts w:eastAsia="Calibri" w:cs="Arial" w:ascii="Arial" w:hAnsi="Arial"/>
                <w:color w:val="000000"/>
                <w:spacing w:val="-3"/>
                <w:kern w:val="2"/>
                <w:sz w:val="22"/>
                <w:szCs w:val="22"/>
                <w:lang w:val="es-ES" w:eastAsia="en-US" w:bidi="ar-SA"/>
              </w:rPr>
              <w:t>El abono de la subvención se realizará en función de la opción elegida por el/la beneficiario/a en la solicitud. Habrá dos opciones:</w:t>
            </w:r>
          </w:p>
          <w:p>
            <w:pPr>
              <w:pStyle w:val="Normal"/>
              <w:widowControl w:val="false"/>
              <w:suppressAutoHyphens w:val="true"/>
              <w:spacing w:lineRule="auto" w:line="276" w:before="0" w:after="160"/>
              <w:jc w:val="both"/>
              <w:rPr>
                <w:rFonts w:ascii="Arial" w:hAnsi="Arial" w:eastAsia="Calibri" w:cs="Arial"/>
                <w:color w:val="000000"/>
                <w:spacing w:val="-3"/>
                <w:lang w:val="es-ES"/>
              </w:rPr>
            </w:pPr>
            <w:r>
              <w:rPr>
                <w:rFonts w:eastAsia="Calibri" w:cs="Arial" w:ascii="Arial" w:hAnsi="Arial"/>
                <w:color w:val="000000"/>
                <w:spacing w:val="-3"/>
                <w:lang w:val="es-ES"/>
              </w:rPr>
            </w:r>
          </w:p>
          <w:p>
            <w:pPr>
              <w:pStyle w:val="Normal"/>
              <w:widowControl w:val="false"/>
              <w:suppressAutoHyphens w:val="true"/>
              <w:spacing w:lineRule="auto" w:line="276" w:before="0" w:after="160"/>
              <w:jc w:val="both"/>
              <w:rPr>
                <w:lang w:val="es-ES"/>
              </w:rPr>
            </w:pPr>
            <w:r>
              <w:rPr>
                <w:rFonts w:eastAsia="Calibri" w:cs="Arial" w:ascii="Arial" w:hAnsi="Arial"/>
                <w:color w:val="000000"/>
                <w:spacing w:val="-3"/>
                <w:kern w:val="2"/>
                <w:sz w:val="22"/>
                <w:szCs w:val="22"/>
                <w:lang w:val="es-ES" w:eastAsia="en-US" w:bidi="ar-SA"/>
              </w:rPr>
              <w:t>1.</w:t>
              <w:tab/>
              <w:t>Cuando no se disponga de recursos suficientes y se haya marcado la posibilidad de recibir anticipo, se abonará el 75% de la subvención en el momento de la concesión. El 25% restante se abonará una vez presentada la justificación y aceptada la misma por el órgano competente.</w:t>
            </w:r>
          </w:p>
          <w:p>
            <w:pPr>
              <w:pStyle w:val="Normal"/>
              <w:widowControl w:val="false"/>
              <w:suppressAutoHyphens w:val="true"/>
              <w:spacing w:lineRule="auto" w:line="276" w:before="0" w:after="160"/>
              <w:jc w:val="both"/>
              <w:rPr>
                <w:lang w:val="es-ES"/>
              </w:rPr>
            </w:pPr>
            <w:r>
              <w:rPr>
                <w:rFonts w:eastAsia="Calibri" w:cs="Arial" w:ascii="Arial" w:hAnsi="Arial"/>
                <w:color w:val="000000"/>
                <w:spacing w:val="-3"/>
                <w:kern w:val="2"/>
                <w:sz w:val="22"/>
                <w:szCs w:val="22"/>
                <w:lang w:val="es-ES" w:eastAsia="en-US" w:bidi="ar-SA"/>
              </w:rPr>
              <w:t>2.</w:t>
              <w:tab/>
              <w:t>En el supuesto de que, al disponer de recursos suficientes, se haya determinado la no necesidad de recibir anticipos, el 100% de la subvención concedida se abonará tras la aprobación por el órgano competente de la justificación</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s-ES"/>
              </w:rPr>
            </w:pPr>
            <w:r>
              <w:rPr>
                <w:rFonts w:eastAsia="Calibri" w:cs="Arial" w:ascii="Arial" w:hAnsi="Arial"/>
                <w:b/>
                <w:bCs/>
                <w:color w:val="000000"/>
                <w:spacing w:val="-3"/>
                <w:kern w:val="2"/>
                <w:sz w:val="22"/>
                <w:szCs w:val="22"/>
                <w:lang w:val="es-ES" w:eastAsia="en-US" w:bidi="ar-SA"/>
              </w:rPr>
              <w:t>15. Dirulaguntzaren justifikazioa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lang w:val="es-ES"/>
              </w:rPr>
            </w:pPr>
            <w:r>
              <w:rPr>
                <w:rFonts w:eastAsia="Calibri" w:cs="Arial" w:ascii="Arial" w:hAnsi="Arial"/>
                <w:b/>
                <w:bCs/>
                <w:color w:val="000000"/>
                <w:spacing w:val="-3"/>
                <w:kern w:val="2"/>
                <w:sz w:val="22"/>
                <w:szCs w:val="22"/>
                <w:lang w:val="es-ES" w:eastAsia="en-US" w:bidi="ar-SA"/>
              </w:rPr>
              <w:t>15. Justificación de la subvención</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s-ES"/>
              </w:rPr>
            </w:pPr>
            <w:r>
              <w:rPr>
                <w:rFonts w:eastAsia="Arial" w:cs="Arial" w:ascii="Arial" w:hAnsi="Arial"/>
                <w:kern w:val="2"/>
                <w:sz w:val="22"/>
                <w:szCs w:val="22"/>
                <w:lang w:val="es-ES" w:eastAsia="en-US" w:bidi="ar-SA"/>
              </w:rPr>
              <w:t>1. Onuradunak justifikatu beharko du egin duela dirulaguntza jaso duen jarduera; baita jarduera horrek sortutako gastuak ere.</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lang w:val="es-ES"/>
              </w:rPr>
            </w:pPr>
            <w:r>
              <w:rPr>
                <w:rFonts w:eastAsia="Calibri" w:cs="Arial" w:ascii="Arial" w:hAnsi="Arial"/>
                <w:kern w:val="2"/>
                <w:sz w:val="22"/>
                <w:szCs w:val="22"/>
                <w:lang w:val="es-ES" w:eastAsia="en-US" w:bidi="ar-SA"/>
              </w:rPr>
              <w:t>1. La beneficiaria deberá justificar la realización de la actividad subvencionada, así como los gastos generados por dicha actividad.</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Arial" w:cs="Arial"/>
              </w:rPr>
            </w:pPr>
            <w:r>
              <w:rPr>
                <w:rFonts w:cs="Arial" w:ascii="Arial" w:hAnsi="Arial"/>
                <w:kern w:val="2"/>
                <w:sz w:val="22"/>
                <w:szCs w:val="22"/>
                <w:lang w:val="eu-ES" w:eastAsia="en-US" w:bidi="ar-SA"/>
              </w:rPr>
              <w:t xml:space="preserve">2. Justifikaziorako baliagarriak diren agiriak Udalaren egoitza elektronikoan eskura daitezke,  dagokion dirulaguntza-lerroan sartuta: </w:t>
            </w:r>
            <w:hyperlink r:id="rId4">
              <w:r>
                <w:rPr>
                  <w:rStyle w:val="Internetesteka"/>
                  <w:rFonts w:cs="Arial" w:ascii="Arial" w:hAnsi="Arial"/>
                  <w:kern w:val="2"/>
                  <w:sz w:val="22"/>
                  <w:szCs w:val="22"/>
                  <w:lang w:val="eu-ES" w:eastAsia="en-US" w:bidi="ar-SA"/>
                </w:rPr>
                <w:t>https://uzt.gipuzkoa.eus/WAS/AYTO/USCServicioCiudadanoVer15WEB/home.do?De=EU07112885</w:t>
              </w:r>
            </w:hyperlink>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lang w:val="es-ES"/>
              </w:rPr>
            </w:pPr>
            <w:r>
              <w:rPr>
                <w:rFonts w:cs="Arial" w:ascii="Arial" w:hAnsi="Arial"/>
                <w:kern w:val="2"/>
                <w:sz w:val="22"/>
                <w:szCs w:val="22"/>
                <w:lang w:val="es-ES" w:eastAsia="en-US" w:bidi="ar-SA"/>
              </w:rPr>
              <w:t xml:space="preserve">2. Los documentos que sirvan para la justificación pueden obtenerse en la sede electrónica del Ayuntamiento, entrando en la línea subvencional correspondiente:  </w:t>
            </w:r>
            <w:hyperlink r:id="rId5">
              <w:r>
                <w:rPr>
                  <w:rStyle w:val="Internetesteka"/>
                  <w:rFonts w:cs="Arial" w:ascii="Arial" w:hAnsi="Arial"/>
                  <w:kern w:val="2"/>
                  <w:sz w:val="22"/>
                  <w:szCs w:val="22"/>
                  <w:lang w:val="eu-ES" w:eastAsia="en-US" w:bidi="ar-SA"/>
                </w:rPr>
                <w:t>https://uzt.gipuzkoa.eus/WAS/AYTO/USCServicioCiudadanoVer15WEB/home.do?De=CA07112885</w:t>
              </w:r>
            </w:hyperlink>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Cs/>
                <w:color w:val="000000"/>
                <w:spacing w:val="-3"/>
                <w:shd w:fill="FFFFFF" w:val="clear"/>
                <w:lang w:val="es-ES"/>
              </w:rPr>
            </w:pPr>
            <w:r>
              <w:rPr>
                <w:rFonts w:eastAsia="Calibri" w:cs="Arial" w:ascii="Arial" w:hAnsi="Arial"/>
                <w:bCs/>
                <w:color w:val="000000"/>
                <w:spacing w:val="-3"/>
                <w:kern w:val="2"/>
                <w:sz w:val="22"/>
                <w:szCs w:val="22"/>
                <w:shd w:fill="FFFFFF" w:val="clear"/>
                <w:lang w:val="es-ES" w:eastAsia="en-US" w:bidi="ar-SA"/>
              </w:rPr>
              <w:t>3. Dokumentu hauek aurkeztu behar dira 2025eko  irailaren 15a baino lehen:</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lang w:val="es-ES"/>
              </w:rPr>
            </w:pPr>
            <w:r>
              <w:rPr>
                <w:rFonts w:eastAsia="Calibri" w:cs="Arial" w:ascii="Arial" w:hAnsi="Arial"/>
                <w:kern w:val="2"/>
                <w:sz w:val="22"/>
                <w:szCs w:val="22"/>
                <w:lang w:val="es-ES" w:eastAsia="en-US" w:bidi="ar-SA"/>
              </w:rPr>
              <w:t>3. La documentación a presentar antes del 15 de septiembre de 2025, será la siguiente:</w:t>
            </w:r>
          </w:p>
        </w:tc>
      </w:tr>
      <w:tr>
        <w:trPr/>
        <w:tc>
          <w:tcPr>
            <w:tcW w:w="4108" w:type="dxa"/>
            <w:tcBorders>
              <w:top w:val="nil"/>
              <w:left w:val="nil"/>
              <w:bottom w:val="nil"/>
              <w:right w:val="nil"/>
            </w:tcBorders>
          </w:tcPr>
          <w:p>
            <w:pPr>
              <w:pStyle w:val="Testugorputza"/>
              <w:widowControl w:val="false"/>
              <w:numPr>
                <w:ilvl w:val="0"/>
                <w:numId w:val="29"/>
              </w:numPr>
              <w:suppressAutoHyphens w:val="true"/>
              <w:spacing w:lineRule="auto" w:line="276" w:before="0" w:after="140"/>
              <w:jc w:val="both"/>
              <w:rPr>
                <w:rFonts w:ascii="Arial" w:hAnsi="Arial" w:cs="Arial"/>
                <w:b/>
                <w:b/>
                <w:shd w:fill="FFFFFF" w:val="clear"/>
              </w:rPr>
            </w:pPr>
            <w:bookmarkStart w:id="12" w:name="translation_box711"/>
            <w:bookmarkEnd w:id="12"/>
            <w:r>
              <w:rPr>
                <w:rFonts w:eastAsia="Arial" w:cs="Arial" w:ascii="Arial" w:hAnsi="Arial"/>
                <w:sz w:val="22"/>
                <w:szCs w:val="22"/>
                <w:lang w:val="eu-ES" w:bidi="ar-SA"/>
              </w:rPr>
              <w:t xml:space="preserve">Dirulaguntza emateko ezarritako baldintzak bete direla justifikatzen duen jarduera-memoria </w:t>
            </w:r>
            <w:r>
              <w:rPr>
                <w:rFonts w:eastAsia="Calibri" w:cs="Arial" w:ascii="Arial" w:hAnsi="Arial"/>
                <w:sz w:val="22"/>
                <w:szCs w:val="22"/>
                <w:lang w:val="eu-ES" w:bidi="ar-SA"/>
              </w:rPr>
              <w:t>(DKEK-MEM-00 inprimakia)</w:t>
            </w:r>
            <w:r>
              <w:rPr>
                <w:rFonts w:eastAsia="Arial" w:cs="Arial" w:ascii="Arial" w:hAnsi="Arial"/>
                <w:sz w:val="22"/>
                <w:szCs w:val="22"/>
                <w:lang w:val="eu-ES" w:bidi="ar-SA"/>
              </w:rPr>
              <w:t>, egindako jarduerak eta lortutako emaitzak adierazita.</w:t>
            </w:r>
          </w:p>
          <w:p>
            <w:pPr>
              <w:pStyle w:val="Testugorputza"/>
              <w:widowControl w:val="false"/>
              <w:suppressAutoHyphens w:val="true"/>
              <w:spacing w:lineRule="auto" w:line="276" w:before="0" w:after="140"/>
              <w:ind w:left="720" w:hanging="0"/>
              <w:jc w:val="both"/>
              <w:rPr>
                <w:rFonts w:ascii="Arial" w:hAnsi="Arial" w:cs="Arial"/>
                <w:b/>
                <w:b/>
                <w:shd w:fill="FFFFFF" w:val="clear"/>
              </w:rPr>
            </w:pPr>
            <w:r>
              <w:rPr>
                <w:rFonts w:eastAsia="Arial" w:cs="Arial" w:ascii="Arial" w:hAnsi="Arial"/>
                <w:sz w:val="22"/>
                <w:szCs w:val="22"/>
                <w:lang w:val="eu-ES" w:bidi="ar-SA"/>
              </w:rPr>
              <w:t xml:space="preserve">Emakumeen eta Gizonen Berdintasunerako eta Indarkeria Matxistarik gabeko Bizitzetarako Legearen testu bategina onartzen duen martxoaren 16ko 1/2023 Legegintzako Dekretuaren arabera, memorian sexuaren arabera bereizita adieraziko da honako hauei buruzko informazioa: emandako zerbitzuaren azken onuradunak edo erabiltzaileak, titularrak eta langileak, eta dirulaguntza-eskaeraren xedea den zerbitzua emateko erakundeak kontratatutako langileak. </w:t>
            </w:r>
          </w:p>
        </w:tc>
        <w:tc>
          <w:tcPr>
            <w:tcW w:w="4276" w:type="dxa"/>
            <w:tcBorders>
              <w:top w:val="nil"/>
              <w:left w:val="nil"/>
              <w:bottom w:val="nil"/>
              <w:right w:val="nil"/>
            </w:tcBorders>
          </w:tcPr>
          <w:p>
            <w:pPr>
              <w:pStyle w:val="ListParagraph"/>
              <w:widowControl w:val="false"/>
              <w:numPr>
                <w:ilvl w:val="0"/>
                <w:numId w:val="30"/>
              </w:numPr>
              <w:suppressAutoHyphens w:val="true"/>
              <w:spacing w:lineRule="auto" w:line="276" w:before="0" w:after="140"/>
              <w:contextualSpacing/>
              <w:jc w:val="both"/>
              <w:rPr>
                <w:rFonts w:ascii="Arial" w:hAnsi="Arial" w:cs="Arial"/>
                <w:lang w:val="es-ES"/>
              </w:rPr>
            </w:pPr>
            <w:r>
              <w:rPr>
                <w:rFonts w:eastAsia="Calibri" w:cs="Arial" w:ascii="Arial" w:hAnsi="Arial"/>
                <w:kern w:val="2"/>
                <w:sz w:val="22"/>
                <w:szCs w:val="22"/>
                <w:lang w:val="es-ES" w:eastAsia="en-US" w:bidi="ar-SA"/>
              </w:rPr>
              <w:t xml:space="preserve">La memoria de actuación justificativa del cumplimiento de las condiciones impuestas en la concesión de la subvención (impreso DKEK-MEM-00), con indicación de las actividades realizadas y de los resultados obtenidos.  </w:t>
            </w:r>
          </w:p>
          <w:p>
            <w:pPr>
              <w:pStyle w:val="ListParagraph"/>
              <w:widowControl w:val="false"/>
              <w:suppressAutoHyphens w:val="true"/>
              <w:spacing w:lineRule="auto" w:line="276" w:before="0" w:after="140"/>
              <w:contextualSpacing/>
              <w:jc w:val="both"/>
              <w:rPr>
                <w:rFonts w:ascii="Arial" w:hAnsi="Arial" w:cs="Arial"/>
                <w:lang w:val="es-ES"/>
              </w:rPr>
            </w:pPr>
            <w:r>
              <w:rPr>
                <w:rFonts w:eastAsia="Calibri" w:cs="Arial" w:ascii="Arial" w:hAnsi="Arial"/>
                <w:color w:val="000000"/>
                <w:kern w:val="2"/>
                <w:sz w:val="22"/>
                <w:szCs w:val="22"/>
                <w:lang w:val="es-ES" w:eastAsia="en-US" w:bidi="ar-SA"/>
              </w:rPr>
              <w:t xml:space="preserve">De acuerdo con el Decreto Legislativo 1/2023, de 16 de marzo, por el que se aprueba el texto refundido de la Ley para la Igualdad de Mujeres y Hombres y Vidas Libres de Violencia Machista contra las Mujeres, en la memoria </w:t>
            </w:r>
            <w:r>
              <w:rPr>
                <w:rFonts w:eastAsia="Calibri" w:cs="Arial" w:ascii="Arial" w:hAnsi="Arial"/>
                <w:kern w:val="2"/>
                <w:sz w:val="22"/>
                <w:szCs w:val="22"/>
                <w:lang w:val="es-ES" w:eastAsia="en-US" w:bidi="ar-SA"/>
              </w:rPr>
              <w:t>se presentará la información desagregada por sexo de las personas beneficiarias o usuarias finales del servicio prestado, de las personas titulares y trabajadoras, y del personal contratado por la entidad para la prestación del servicio para el que se solicita la subvención.</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Arial" w:cs="Arial" w:ascii="Arial" w:hAnsi="Arial"/>
                <w:kern w:val="2"/>
                <w:sz w:val="22"/>
                <w:szCs w:val="22"/>
                <w:lang w:val="eu-ES" w:eastAsia="en-US" w:bidi="ar-SA"/>
              </w:rPr>
              <w:t>Memorian berariaz jaso beharko da dirulaguntzaren helburua bete dela, eta, hala badagokio, lortutako emaitzen ebaluazioa egin beharko da, lortutakoa aurreikusitakoarekin alderatuta.</w:t>
            </w:r>
          </w:p>
        </w:tc>
        <w:tc>
          <w:tcPr>
            <w:tcW w:w="4276" w:type="dxa"/>
            <w:tcBorders>
              <w:top w:val="nil"/>
              <w:left w:val="nil"/>
              <w:bottom w:val="nil"/>
              <w:right w:val="nil"/>
            </w:tcBorders>
          </w:tcPr>
          <w:p>
            <w:pPr>
              <w:pStyle w:val="Normal"/>
              <w:widowControl w:val="false"/>
              <w:suppressAutoHyphens w:val="true"/>
              <w:spacing w:lineRule="auto" w:line="276" w:before="0" w:after="160"/>
              <w:ind w:right="113" w:hanging="0"/>
              <w:jc w:val="both"/>
              <w:rPr>
                <w:rFonts w:eastAsia="Calibri"/>
                <w:lang w:val="es-ES"/>
              </w:rPr>
            </w:pPr>
            <w:r>
              <w:rPr>
                <w:rFonts w:eastAsia="Calibri" w:cs="Arial" w:ascii="Arial" w:hAnsi="Arial"/>
                <w:kern w:val="2"/>
                <w:sz w:val="22"/>
                <w:szCs w:val="22"/>
                <w:lang w:val="es-ES" w:eastAsia="en-US" w:bidi="ar-SA"/>
              </w:rPr>
              <w:t>En la memoria deberá constar expresamente que ha sido cumplida la finalidad para la cual se otorgó la subvención y, en su caso, una evaluación de los resultados obtenidos respecto a los previstos.</w:t>
            </w:r>
          </w:p>
        </w:tc>
      </w:tr>
      <w:tr>
        <w:trPr/>
        <w:tc>
          <w:tcPr>
            <w:tcW w:w="4108" w:type="dxa"/>
            <w:tcBorders>
              <w:top w:val="nil"/>
              <w:left w:val="nil"/>
              <w:bottom w:val="nil"/>
              <w:right w:val="nil"/>
            </w:tcBorders>
          </w:tcPr>
          <w:p>
            <w:pPr>
              <w:pStyle w:val="ListParagraph"/>
              <w:widowControl w:val="false"/>
              <w:numPr>
                <w:ilvl w:val="0"/>
                <w:numId w:val="30"/>
              </w:numPr>
              <w:suppressAutoHyphens w:val="true"/>
              <w:spacing w:lineRule="auto" w:line="276" w:before="0" w:after="160"/>
              <w:contextualSpacing/>
              <w:jc w:val="both"/>
              <w:rPr>
                <w:rFonts w:ascii="Arial" w:hAnsi="Arial" w:cs="Arial"/>
                <w:b/>
                <w:b/>
                <w:spacing w:val="-3"/>
                <w:shd w:fill="FFFFFF" w:val="clear"/>
                <w:lang w:val="es-ES"/>
              </w:rPr>
            </w:pPr>
            <w:r>
              <w:rPr>
                <w:rFonts w:eastAsia="Arial" w:cs="Arial" w:ascii="Arial" w:hAnsi="Arial"/>
                <w:kern w:val="2"/>
                <w:sz w:val="22"/>
                <w:szCs w:val="22"/>
                <w:lang w:val="eu-ES" w:eastAsia="en-US" w:bidi="ar-SA"/>
              </w:rPr>
              <w:t xml:space="preserve">GAS-KI dokumentua: gastuen eta inbertsioen zerrenda sailkatua izango du, eta bertan identifikatuta jarri beharko dira hartzekoduna eta dokumentua, zenbatekoa eta jaulkipen- eta ordainketa-datak. </w:t>
            </w:r>
            <w:r>
              <w:rPr>
                <w:rFonts w:eastAsia="Arial" w:cs="Arial" w:ascii="Arial" w:hAnsi="Arial"/>
                <w:kern w:val="2"/>
                <w:sz w:val="22"/>
                <w:szCs w:val="22"/>
                <w:lang w:val="es-ES" w:eastAsia="en-US" w:bidi="ar-SA"/>
              </w:rPr>
              <w:t>Jatorrizko formatuan aurkeztu behar da dokumentua (.xls), sinadurarik gabe.</w:t>
            </w:r>
          </w:p>
        </w:tc>
        <w:tc>
          <w:tcPr>
            <w:tcW w:w="4276" w:type="dxa"/>
            <w:tcBorders>
              <w:top w:val="nil"/>
              <w:left w:val="nil"/>
              <w:bottom w:val="nil"/>
              <w:right w:val="nil"/>
            </w:tcBorders>
          </w:tcPr>
          <w:p>
            <w:pPr>
              <w:pStyle w:val="ListParagraph"/>
              <w:widowControl w:val="false"/>
              <w:numPr>
                <w:ilvl w:val="0"/>
                <w:numId w:val="29"/>
              </w:numPr>
              <w:suppressAutoHyphens w:val="true"/>
              <w:spacing w:lineRule="auto" w:line="276" w:before="0" w:after="160"/>
              <w:ind w:left="720" w:right="113" w:hanging="360"/>
              <w:contextualSpacing/>
              <w:jc w:val="both"/>
              <w:rPr>
                <w:rFonts w:ascii="Arial" w:hAnsi="Arial" w:cs="Arial"/>
                <w:lang w:val="es-ES"/>
              </w:rPr>
            </w:pPr>
            <w:r>
              <w:rPr>
                <w:rFonts w:eastAsia="Calibri" w:cs="Arial" w:ascii="Arial" w:hAnsi="Arial"/>
                <w:kern w:val="2"/>
                <w:sz w:val="22"/>
                <w:szCs w:val="22"/>
                <w:lang w:val="es-ES" w:eastAsia="en-US" w:bidi="ar-SA"/>
              </w:rPr>
              <w:t>El documento GAS-KI, que contendrá una relación clasificada de gastos e inversiones, con identificación del acreedor y del documento, su importe y las fechas de emisión y de pago. El documento deberá presentarse en el formato de origen (.xls) sin firma alguna.</w:t>
            </w:r>
          </w:p>
          <w:p>
            <w:pPr>
              <w:pStyle w:val="ListParagraph"/>
              <w:widowControl w:val="false"/>
              <w:suppressAutoHyphens w:val="true"/>
              <w:spacing w:lineRule="auto" w:line="276" w:before="0" w:after="160"/>
              <w:contextualSpacing/>
              <w:jc w:val="both"/>
              <w:rPr>
                <w:rFonts w:ascii="Arial" w:hAnsi="Arial" w:cs="Arial"/>
                <w:highlight w:val="green"/>
                <w:lang w:val="es-ES"/>
              </w:rPr>
            </w:pPr>
            <w:r>
              <w:rPr>
                <w:rFonts w:cs="Arial" w:ascii="Arial" w:hAnsi="Arial"/>
                <w:highlight w:val="green"/>
                <w:lang w:val="es-ES"/>
              </w:rPr>
            </w:r>
          </w:p>
        </w:tc>
      </w:tr>
      <w:tr>
        <w:trPr/>
        <w:tc>
          <w:tcPr>
            <w:tcW w:w="4108" w:type="dxa"/>
            <w:tcBorders>
              <w:top w:val="nil"/>
              <w:left w:val="nil"/>
              <w:bottom w:val="nil"/>
              <w:right w:val="nil"/>
            </w:tcBorders>
          </w:tcPr>
          <w:p>
            <w:pPr>
              <w:pStyle w:val="ListParagraph"/>
              <w:widowControl w:val="false"/>
              <w:suppressAutoHyphens w:val="true"/>
              <w:spacing w:lineRule="auto" w:line="276" w:before="0" w:after="160"/>
              <w:contextualSpacing/>
              <w:jc w:val="both"/>
              <w:rPr>
                <w:rFonts w:ascii="Arial" w:hAnsi="Arial" w:cs="Arial"/>
                <w:b/>
                <w:b/>
                <w:spacing w:val="-3"/>
                <w:shd w:fill="FFFFFF" w:val="clear"/>
              </w:rPr>
            </w:pPr>
            <w:r>
              <w:rPr>
                <w:rFonts w:eastAsia="Arial" w:cs="Arial" w:ascii="Arial" w:hAnsi="Arial"/>
                <w:kern w:val="2"/>
                <w:sz w:val="22"/>
                <w:szCs w:val="22"/>
                <w:lang w:val="eu-ES" w:eastAsia="en-US" w:bidi="ar-SA"/>
              </w:rPr>
              <w:t>Finantzaketa-iturri bat baino gehiago erabili bada, Tolosako Udalak, gastu horri dagokionez, zer ehuneko finantzatu duen adieraziko da.</w:t>
            </w:r>
          </w:p>
        </w:tc>
        <w:tc>
          <w:tcPr>
            <w:tcW w:w="4276" w:type="dxa"/>
            <w:tcBorders>
              <w:top w:val="nil"/>
              <w:left w:val="nil"/>
              <w:bottom w:val="nil"/>
              <w:right w:val="nil"/>
            </w:tcBorders>
          </w:tcPr>
          <w:p>
            <w:pPr>
              <w:pStyle w:val="ListParagraph"/>
              <w:widowControl w:val="false"/>
              <w:suppressAutoHyphens w:val="true"/>
              <w:spacing w:lineRule="auto" w:line="276" w:before="0" w:after="160"/>
              <w:ind w:left="720" w:right="113" w:hanging="0"/>
              <w:contextualSpacing/>
              <w:jc w:val="both"/>
              <w:rPr>
                <w:rFonts w:ascii="Arial" w:hAnsi="Arial" w:cs="Arial"/>
                <w:lang w:val="es-ES"/>
              </w:rPr>
            </w:pPr>
            <w:r>
              <w:rPr>
                <w:rFonts w:eastAsia="Calibri" w:cs="Arial" w:ascii="Arial" w:hAnsi="Arial"/>
                <w:kern w:val="2"/>
                <w:sz w:val="22"/>
                <w:szCs w:val="22"/>
                <w:lang w:val="es-ES" w:eastAsia="en-US" w:bidi="ar-SA"/>
              </w:rPr>
              <w:t>Cuando se hubieren utilizado más de una fuente de financiación, se indicará el porcentaje correspondiente financiado por el Ayuntamiento de Tolosa en relación a ese gasto.</w:t>
            </w:r>
          </w:p>
        </w:tc>
      </w:tr>
      <w:tr>
        <w:trPr/>
        <w:tc>
          <w:tcPr>
            <w:tcW w:w="4108" w:type="dxa"/>
            <w:tcBorders>
              <w:top w:val="nil"/>
              <w:left w:val="nil"/>
              <w:bottom w:val="nil"/>
              <w:right w:val="nil"/>
            </w:tcBorders>
          </w:tcPr>
          <w:p>
            <w:pPr>
              <w:pStyle w:val="ListParagraph"/>
              <w:widowControl w:val="false"/>
              <w:suppressAutoHyphens w:val="true"/>
              <w:spacing w:lineRule="auto" w:line="276" w:before="0" w:after="160"/>
              <w:contextualSpacing/>
              <w:jc w:val="both"/>
              <w:rPr>
                <w:rFonts w:ascii="Arial" w:hAnsi="Arial" w:cs="Arial"/>
                <w:b/>
                <w:b/>
                <w:spacing w:val="-3"/>
                <w:shd w:fill="FFFFFF" w:val="clear"/>
              </w:rPr>
            </w:pPr>
            <w:r>
              <w:rPr>
                <w:rFonts w:eastAsia="Arial" w:cs="Arial" w:ascii="Arial" w:hAnsi="Arial"/>
                <w:kern w:val="2"/>
                <w:sz w:val="22"/>
                <w:szCs w:val="22"/>
                <w:lang w:val="eu-ES" w:eastAsia="en-US" w:bidi="ar-SA"/>
              </w:rPr>
              <w:t>Dirulaguntza aurrekontu zenbatetsi baten arabera ematen denean, gastuen eta inbertsioen zerrenda diruz lagundutako proiektuaren edo jardueraren partiden arabera ere sailkatuko da, izandako desbideratzeak adierazita.</w:t>
            </w:r>
          </w:p>
        </w:tc>
        <w:tc>
          <w:tcPr>
            <w:tcW w:w="4276" w:type="dxa"/>
            <w:tcBorders>
              <w:top w:val="nil"/>
              <w:left w:val="nil"/>
              <w:bottom w:val="nil"/>
              <w:right w:val="nil"/>
            </w:tcBorders>
          </w:tcPr>
          <w:p>
            <w:pPr>
              <w:pStyle w:val="ListParagraph"/>
              <w:widowControl w:val="false"/>
              <w:suppressAutoHyphens w:val="true"/>
              <w:spacing w:lineRule="auto" w:line="276" w:before="0" w:after="160"/>
              <w:ind w:left="720" w:right="113" w:hanging="0"/>
              <w:contextualSpacing/>
              <w:jc w:val="both"/>
              <w:rPr>
                <w:rFonts w:ascii="Arial" w:hAnsi="Arial" w:cs="Arial"/>
                <w:color w:val="000000"/>
                <w:lang w:val="es-ES"/>
              </w:rPr>
            </w:pPr>
            <w:r>
              <w:rPr>
                <w:rFonts w:eastAsia="Calibri" w:cs="Arial" w:ascii="Arial" w:hAnsi="Arial"/>
                <w:color w:val="000000"/>
                <w:kern w:val="2"/>
                <w:sz w:val="22"/>
                <w:szCs w:val="22"/>
                <w:lang w:val="es-ES" w:eastAsia="en-US" w:bidi="ar-SA"/>
              </w:rPr>
              <w:t>Cuando la subvención se conceda con arreglo a un presupuesto estimado, la relación de gastos e inversiones se clasificará también en función de las partidas del proyecto o actividad subvencionada, con indicación de las desviaciones producidas.</w:t>
            </w:r>
          </w:p>
        </w:tc>
      </w:tr>
      <w:tr>
        <w:trPr>
          <w:trHeight w:val="650" w:hRule="atLeast"/>
        </w:trPr>
        <w:tc>
          <w:tcPr>
            <w:tcW w:w="4108" w:type="dxa"/>
            <w:tcBorders>
              <w:top w:val="nil"/>
              <w:left w:val="nil"/>
              <w:bottom w:val="nil"/>
              <w:right w:val="nil"/>
            </w:tcBorders>
          </w:tcPr>
          <w:p>
            <w:pPr>
              <w:pStyle w:val="ListParagraph"/>
              <w:widowControl w:val="false"/>
              <w:suppressAutoHyphens w:val="true"/>
              <w:spacing w:lineRule="auto" w:line="276" w:before="0" w:after="160"/>
              <w:contextualSpacing/>
              <w:jc w:val="both"/>
              <w:rPr>
                <w:rFonts w:ascii="Arial" w:hAnsi="Arial" w:eastAsia="Arial" w:cs="Arial"/>
              </w:rPr>
            </w:pPr>
            <w:r>
              <w:rPr>
                <w:rFonts w:eastAsia="Arial" w:cs="Arial" w:ascii="Arial" w:hAnsi="Arial"/>
                <w:kern w:val="2"/>
                <w:sz w:val="22"/>
                <w:szCs w:val="22"/>
                <w:lang w:val="eu-ES" w:eastAsia="en-US" w:bidi="ar-SA"/>
              </w:rPr>
              <w:t>Gastuaren zenbateko osoak diruz lagundutako proiektu edo jardueraren kostu osoa islatu beharko du.</w:t>
            </w:r>
          </w:p>
          <w:p>
            <w:pPr>
              <w:pStyle w:val="ListParagraph"/>
              <w:widowControl w:val="false"/>
              <w:suppressAutoHyphens w:val="true"/>
              <w:spacing w:lineRule="auto" w:line="240" w:before="0" w:after="160"/>
              <w:contextualSpacing/>
              <w:jc w:val="both"/>
              <w:rPr>
                <w:rFonts w:ascii="Arial" w:hAnsi="Arial" w:eastAsia="Arial" w:cs="Arial"/>
              </w:rPr>
            </w:pPr>
            <w:r>
              <w:rPr>
                <w:rFonts w:eastAsia="Arial" w:cs="Arial" w:ascii="Arial" w:hAnsi="Arial"/>
              </w:rPr>
            </w:r>
          </w:p>
        </w:tc>
        <w:tc>
          <w:tcPr>
            <w:tcW w:w="4276" w:type="dxa"/>
            <w:tcBorders>
              <w:top w:val="nil"/>
              <w:left w:val="nil"/>
              <w:bottom w:val="nil"/>
              <w:right w:val="nil"/>
            </w:tcBorders>
          </w:tcPr>
          <w:p>
            <w:pPr>
              <w:pStyle w:val="ListParagraph"/>
              <w:widowControl w:val="false"/>
              <w:suppressAutoHyphens w:val="true"/>
              <w:spacing w:lineRule="auto" w:line="276" w:before="0" w:after="160"/>
              <w:ind w:left="720" w:right="113" w:hanging="0"/>
              <w:contextualSpacing/>
              <w:jc w:val="both"/>
              <w:rPr>
                <w:rFonts w:ascii="Arial" w:hAnsi="Arial" w:cs="Arial"/>
                <w:lang w:val="es-ES"/>
              </w:rPr>
            </w:pPr>
            <w:r>
              <w:rPr>
                <w:rFonts w:eastAsia="Calibri" w:cs="Arial" w:ascii="Arial" w:hAnsi="Arial"/>
                <w:kern w:val="2"/>
                <w:sz w:val="22"/>
                <w:szCs w:val="22"/>
                <w:lang w:val="es-ES" w:eastAsia="en-US" w:bidi="ar-SA"/>
              </w:rPr>
              <w:t>El importe total de gasto deberá reflejar el coste total del proyecto o actuación subvencionada.</w:t>
            </w:r>
          </w:p>
        </w:tc>
      </w:tr>
      <w:tr>
        <w:trPr/>
        <w:tc>
          <w:tcPr>
            <w:tcW w:w="4108" w:type="dxa"/>
            <w:tcBorders>
              <w:top w:val="nil"/>
              <w:left w:val="nil"/>
              <w:bottom w:val="nil"/>
              <w:right w:val="nil"/>
            </w:tcBorders>
          </w:tcPr>
          <w:p>
            <w:pPr>
              <w:pStyle w:val="ListParagraph"/>
              <w:widowControl w:val="false"/>
              <w:numPr>
                <w:ilvl w:val="0"/>
                <w:numId w:val="29"/>
              </w:numPr>
              <w:suppressAutoHyphens w:val="true"/>
              <w:spacing w:lineRule="auto" w:line="276" w:before="0" w:after="160"/>
              <w:contextualSpacing/>
              <w:jc w:val="both"/>
              <w:rPr>
                <w:rFonts w:ascii="Arial" w:hAnsi="Arial" w:cs="Arial"/>
                <w:b/>
                <w:b/>
                <w:spacing w:val="-3"/>
                <w:shd w:fill="FFFFFF" w:val="clear"/>
              </w:rPr>
            </w:pPr>
            <w:r>
              <w:rPr>
                <w:rFonts w:eastAsia="Arial" w:cs="Arial" w:ascii="Arial" w:hAnsi="Arial"/>
                <w:kern w:val="2"/>
                <w:sz w:val="22"/>
                <w:szCs w:val="22"/>
                <w:lang w:val="eu-ES" w:eastAsia="en-US" w:bidi="ar-SA"/>
              </w:rPr>
              <w:t>BAL-KI dokumentua: diruz lagundutako jardueraren edo proiektuaren gastuen eta diru-sarreren zerrenda jasoko du, eta proposatutako ereduaren arabera jaso beharko da entitate onuraduneko presidenteak edo idazkariak sinatu beharko du.</w:t>
            </w:r>
          </w:p>
        </w:tc>
        <w:tc>
          <w:tcPr>
            <w:tcW w:w="4276" w:type="dxa"/>
            <w:tcBorders>
              <w:top w:val="nil"/>
              <w:left w:val="nil"/>
              <w:bottom w:val="nil"/>
              <w:right w:val="nil"/>
            </w:tcBorders>
          </w:tcPr>
          <w:p>
            <w:pPr>
              <w:pStyle w:val="ListParagraph"/>
              <w:widowControl w:val="false"/>
              <w:numPr>
                <w:ilvl w:val="0"/>
                <w:numId w:val="30"/>
              </w:numPr>
              <w:suppressAutoHyphens w:val="true"/>
              <w:spacing w:lineRule="auto" w:line="276" w:before="0" w:after="160"/>
              <w:ind w:left="720" w:right="113" w:hanging="360"/>
              <w:contextualSpacing/>
              <w:jc w:val="both"/>
              <w:rPr>
                <w:rFonts w:ascii="Arial" w:hAnsi="Arial" w:eastAsia="Calibri" w:cs="Arial"/>
                <w:lang w:val="es-ES"/>
              </w:rPr>
            </w:pPr>
            <w:r>
              <w:rPr>
                <w:rFonts w:eastAsia="Calibri" w:cs="Arial" w:ascii="Arial" w:hAnsi="Arial"/>
                <w:kern w:val="2"/>
                <w:sz w:val="22"/>
                <w:szCs w:val="22"/>
                <w:lang w:val="es-ES" w:eastAsia="en-US" w:bidi="ar-SA"/>
              </w:rPr>
              <w:t>El documento BAL-KI, que contendrá una relación de gastos e ingresos de la actividad o proyecto subvencionado, que deberá recogerse según el modelo propuesto. Deberá firmarlo el/la presidente/a o secretario/a de la entidad beneficiaria.</w:t>
            </w:r>
          </w:p>
        </w:tc>
      </w:tr>
      <w:tr>
        <w:trPr/>
        <w:tc>
          <w:tcPr>
            <w:tcW w:w="4108" w:type="dxa"/>
            <w:tcBorders>
              <w:top w:val="nil"/>
              <w:left w:val="nil"/>
              <w:bottom w:val="nil"/>
              <w:right w:val="nil"/>
            </w:tcBorders>
          </w:tcPr>
          <w:p>
            <w:pPr>
              <w:pStyle w:val="ListParagraph"/>
              <w:widowControl w:val="false"/>
              <w:suppressAutoHyphens w:val="true"/>
              <w:spacing w:lineRule="auto" w:line="276" w:before="0" w:after="160"/>
              <w:contextualSpacing/>
              <w:jc w:val="both"/>
              <w:rPr>
                <w:rFonts w:ascii="Arial" w:hAnsi="Arial" w:cs="Arial"/>
                <w:b/>
                <w:b/>
                <w:spacing w:val="-3"/>
                <w:shd w:fill="FFFFFF" w:val="clear"/>
              </w:rPr>
            </w:pPr>
            <w:r>
              <w:rPr>
                <w:rFonts w:eastAsia="Arial" w:cs="Arial" w:ascii="Arial" w:hAnsi="Arial"/>
                <w:kern w:val="2"/>
                <w:sz w:val="22"/>
                <w:szCs w:val="22"/>
                <w:lang w:val="eu-ES" w:eastAsia="en-US" w:bidi="ar-SA"/>
              </w:rPr>
              <w:t>GAS-KI dokumentuko gastuen zenbatekoek bat etorri beharko dute balantzeko gastuen zenbatekoekin.</w:t>
            </w:r>
          </w:p>
        </w:tc>
        <w:tc>
          <w:tcPr>
            <w:tcW w:w="4276" w:type="dxa"/>
            <w:tcBorders>
              <w:top w:val="nil"/>
              <w:left w:val="nil"/>
              <w:bottom w:val="nil"/>
              <w:right w:val="nil"/>
            </w:tcBorders>
          </w:tcPr>
          <w:p>
            <w:pPr>
              <w:pStyle w:val="ListParagraph"/>
              <w:widowControl w:val="false"/>
              <w:suppressAutoHyphens w:val="true"/>
              <w:spacing w:lineRule="auto" w:line="276" w:before="0" w:after="160"/>
              <w:ind w:left="709" w:right="113" w:hanging="0"/>
              <w:contextualSpacing/>
              <w:jc w:val="both"/>
              <w:rPr>
                <w:rFonts w:ascii="Arial" w:hAnsi="Arial" w:cs="Arial"/>
                <w:lang w:val="es-ES"/>
              </w:rPr>
            </w:pPr>
            <w:r>
              <w:rPr>
                <w:rFonts w:eastAsia="Calibri" w:cs="Arial" w:ascii="Arial" w:hAnsi="Arial"/>
                <w:kern w:val="2"/>
                <w:sz w:val="22"/>
                <w:szCs w:val="22"/>
                <w:lang w:val="es-ES" w:eastAsia="en-US" w:bidi="ar-SA"/>
              </w:rPr>
              <w:t>Los importes de gasto del documento GAS-KI deberá coincidir con los importes de gasto del balance.</w:t>
            </w:r>
          </w:p>
        </w:tc>
      </w:tr>
      <w:tr>
        <w:trPr/>
        <w:tc>
          <w:tcPr>
            <w:tcW w:w="4108" w:type="dxa"/>
            <w:tcBorders>
              <w:top w:val="nil"/>
              <w:left w:val="nil"/>
              <w:bottom w:val="nil"/>
              <w:right w:val="nil"/>
            </w:tcBorders>
          </w:tcPr>
          <w:p>
            <w:pPr>
              <w:pStyle w:val="ListParagraph"/>
              <w:widowControl w:val="false"/>
              <w:suppressAutoHyphens w:val="true"/>
              <w:spacing w:lineRule="auto" w:line="276" w:before="0" w:after="160"/>
              <w:contextualSpacing/>
              <w:jc w:val="both"/>
              <w:rPr>
                <w:rFonts w:ascii="Arial" w:hAnsi="Arial" w:cs="Arial"/>
                <w:b/>
                <w:b/>
                <w:spacing w:val="-3"/>
                <w:shd w:fill="FFFFFF" w:val="clear"/>
                <w:lang w:val="es-ES"/>
              </w:rPr>
            </w:pPr>
            <w:r>
              <w:rPr>
                <w:rFonts w:eastAsia="Arial" w:cs="Arial" w:ascii="Arial" w:hAnsi="Arial"/>
                <w:kern w:val="2"/>
                <w:sz w:val="22"/>
                <w:szCs w:val="22"/>
                <w:lang w:val="es-ES" w:eastAsia="en-US" w:bidi="ar-SA"/>
              </w:rPr>
              <w:t>d) Diruz lagundutako jarduera finantzatu duten beste diru-sarrera edo dirulaguntza batzuen zerrenda zehatza, zenbatekoa eta jatorria adierazita.</w:t>
            </w:r>
          </w:p>
        </w:tc>
        <w:tc>
          <w:tcPr>
            <w:tcW w:w="4276" w:type="dxa"/>
            <w:tcBorders>
              <w:top w:val="nil"/>
              <w:left w:val="nil"/>
              <w:bottom w:val="nil"/>
              <w:right w:val="nil"/>
            </w:tcBorders>
          </w:tcPr>
          <w:p>
            <w:pPr>
              <w:pStyle w:val="ListParagraph"/>
              <w:widowControl w:val="false"/>
              <w:suppressAutoHyphens w:val="true"/>
              <w:spacing w:lineRule="auto" w:line="276" w:before="0" w:after="160"/>
              <w:ind w:left="720" w:right="113" w:hanging="0"/>
              <w:contextualSpacing/>
              <w:jc w:val="both"/>
              <w:rPr>
                <w:rFonts w:ascii="Arial" w:hAnsi="Arial" w:cs="Arial"/>
                <w:lang w:val="es-ES"/>
              </w:rPr>
            </w:pPr>
            <w:r>
              <w:rPr>
                <w:rFonts w:eastAsia="Calibri" w:cs="Arial" w:ascii="Arial" w:hAnsi="Arial"/>
                <w:kern w:val="2"/>
                <w:sz w:val="22"/>
                <w:szCs w:val="22"/>
                <w:lang w:val="es-ES" w:eastAsia="en-US" w:bidi="ar-SA"/>
              </w:rPr>
              <w:t>d)Una relación detallada de otros ingresos o subvenciones que hayan financiado la actividad subvencionada con indicación del importe y su procedencia.</w:t>
            </w:r>
          </w:p>
        </w:tc>
      </w:tr>
      <w:tr>
        <w:trPr/>
        <w:tc>
          <w:tcPr>
            <w:tcW w:w="4108" w:type="dxa"/>
            <w:tcBorders>
              <w:top w:val="nil"/>
              <w:left w:val="nil"/>
              <w:bottom w:val="nil"/>
              <w:right w:val="nil"/>
            </w:tcBorders>
          </w:tcPr>
          <w:p>
            <w:pPr>
              <w:pStyle w:val="ListParagraph"/>
              <w:widowControl w:val="false"/>
              <w:suppressAutoHyphens w:val="true"/>
              <w:spacing w:lineRule="auto" w:line="276" w:before="0" w:after="160"/>
              <w:contextualSpacing/>
              <w:jc w:val="both"/>
              <w:rPr>
                <w:rFonts w:ascii="Arial" w:hAnsi="Arial" w:cs="Arial"/>
                <w:b/>
                <w:b/>
                <w:spacing w:val="-3"/>
                <w:shd w:fill="FFFFFF" w:val="clear"/>
                <w:lang w:val="es-ES"/>
              </w:rPr>
            </w:pPr>
            <w:r>
              <w:rPr>
                <w:rFonts w:eastAsia="Arial" w:cs="Arial" w:ascii="Arial" w:hAnsi="Arial"/>
                <w:kern w:val="2"/>
                <w:sz w:val="22"/>
                <w:szCs w:val="22"/>
                <w:lang w:val="eu-ES" w:eastAsia="en-US" w:bidi="ar-SA"/>
              </w:rPr>
              <w:t xml:space="preserve">e) Hiru hornitzaileri eskatutako hiru aurrekontuak, baldin eta diruz lagun daitekeen gastuaren zenbatekoak ezarritako zenbatekoak gainditzen baditu. Hau da salbuespena: ezaugarri bereziak izateagatik, merkatuan ez egotea horiek egin, eman edo hornitzen dituen nahikoa entitate, edo gastua dirulaguntza eman aurretik egitea. </w:t>
            </w:r>
            <w:r>
              <w:rPr>
                <w:rFonts w:eastAsia="Arial" w:cs="Arial" w:ascii="Arial" w:hAnsi="Arial"/>
                <w:kern w:val="2"/>
                <w:sz w:val="22"/>
                <w:szCs w:val="22"/>
                <w:lang w:val="es-ES" w:eastAsia="en-US" w:bidi="ar-SA"/>
              </w:rPr>
              <w:t>Inguruabar horiek behar bezala justifikatu beharko dira.</w:t>
            </w:r>
          </w:p>
        </w:tc>
        <w:tc>
          <w:tcPr>
            <w:tcW w:w="4276" w:type="dxa"/>
            <w:tcBorders>
              <w:top w:val="nil"/>
              <w:left w:val="nil"/>
              <w:bottom w:val="nil"/>
              <w:right w:val="nil"/>
            </w:tcBorders>
          </w:tcPr>
          <w:p>
            <w:pPr>
              <w:pStyle w:val="ListParagraph"/>
              <w:widowControl w:val="false"/>
              <w:suppressAutoHyphens w:val="true"/>
              <w:spacing w:lineRule="auto" w:line="276" w:before="0" w:after="160"/>
              <w:ind w:left="720" w:right="113" w:hanging="0"/>
              <w:contextualSpacing/>
              <w:jc w:val="both"/>
              <w:rPr>
                <w:rFonts w:ascii="Arial" w:hAnsi="Arial" w:cs="Arial"/>
                <w:color w:val="000000"/>
                <w:lang w:val="es-ES"/>
              </w:rPr>
            </w:pPr>
            <w:r>
              <w:rPr>
                <w:rFonts w:eastAsia="Calibri" w:cs="Arial" w:ascii="Arial" w:hAnsi="Arial"/>
                <w:color w:val="000000"/>
                <w:kern w:val="2"/>
                <w:sz w:val="22"/>
                <w:szCs w:val="22"/>
                <w:lang w:val="es-ES" w:eastAsia="en-US" w:bidi="ar-SA"/>
              </w:rPr>
              <w:t>e) Los tres presupuestos solicitados a diferentes proveedores, cuando el importe del gasto subvencionable supere las cuantías establecidas, salvo que por sus especiales características no exista en el mercado suficiente número de entidades que los realicen, presten o suministren, o salvo que el gasto se hubiere realizado con anterioridad a la subvención, extremos que deberán justificarse documentalmente.</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Arial" w:cs="Arial" w:ascii="Arial" w:hAnsi="Arial"/>
                <w:kern w:val="2"/>
                <w:sz w:val="22"/>
                <w:szCs w:val="22"/>
                <w:lang w:val="eu-ES" w:eastAsia="en-US" w:bidi="ar-SA"/>
              </w:rPr>
              <w:t>Dirulaguntzaren justifikazioa aurkezteko «kontu sinplifikatua» modalitatea erabiliko denez, dirulaguntza ematen duen organoak gastu-frogagirien lagin bat aztertuko du, dirulaguntzaren aplikazioa egokia dela egiaztatzeko.</w:t>
            </w:r>
          </w:p>
        </w:tc>
        <w:tc>
          <w:tcPr>
            <w:tcW w:w="4276" w:type="dxa"/>
            <w:tcBorders>
              <w:top w:val="nil"/>
              <w:left w:val="nil"/>
              <w:bottom w:val="nil"/>
              <w:right w:val="nil"/>
            </w:tcBorders>
          </w:tcPr>
          <w:p>
            <w:pPr>
              <w:pStyle w:val="Normal"/>
              <w:widowControl w:val="false"/>
              <w:suppressAutoHyphens w:val="true"/>
              <w:spacing w:lineRule="auto" w:line="276" w:before="0" w:after="160"/>
              <w:ind w:right="113" w:hanging="0"/>
              <w:contextualSpacing/>
              <w:jc w:val="both"/>
              <w:rPr>
                <w:rFonts w:ascii="Arial" w:hAnsi="Arial" w:cs="Arial"/>
                <w:lang w:val="es-ES"/>
              </w:rPr>
            </w:pPr>
            <w:r>
              <w:rPr>
                <w:rFonts w:eastAsia="Calibri" w:cs="Arial" w:ascii="Arial" w:hAnsi="Arial"/>
                <w:kern w:val="2"/>
                <w:sz w:val="22"/>
                <w:szCs w:val="22"/>
                <w:lang w:val="es-ES" w:eastAsia="en-US" w:bidi="ar-SA"/>
              </w:rPr>
              <w:t>Dado que para la presentación de la justificación de la subvención se utilizará la modalidad «cuenta simplificada», el órgano concedente comprobará una muestra de justificantes de gasto que permita obtener evidencia razonable sobre la adecuada aplicación de la subvención.</w:t>
            </w:r>
          </w:p>
          <w:p>
            <w:pPr>
              <w:pStyle w:val="Normal"/>
              <w:widowControl w:val="false"/>
              <w:suppressAutoHyphens w:val="true"/>
              <w:spacing w:lineRule="auto" w:line="240" w:before="0" w:after="160"/>
              <w:ind w:right="113" w:hanging="0"/>
              <w:contextualSpacing/>
              <w:jc w:val="both"/>
              <w:rPr>
                <w:rFonts w:ascii="Arial" w:hAnsi="Arial" w:cs="Arial"/>
                <w:lang w:val="es-ES"/>
              </w:rPr>
            </w:pPr>
            <w:r>
              <w:rPr>
                <w:rFonts w:cs="Arial" w:ascii="Arial" w:hAnsi="Arial"/>
                <w:lang w:val="es-ES"/>
              </w:rPr>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Arial" w:cs="Arial" w:ascii="Arial" w:hAnsi="Arial"/>
                <w:kern w:val="2"/>
                <w:sz w:val="22"/>
                <w:szCs w:val="22"/>
                <w:lang w:val="eu-ES" w:eastAsia="en-US" w:bidi="ar-SA"/>
              </w:rPr>
              <w:t>Aipatutako dokumentazioa aurkeztu, eta organo eskudunak errekerimendua egin ondoren, dagokion dokumentazio gehigarria aurkeztu beharko da:</w:t>
            </w:r>
          </w:p>
        </w:tc>
        <w:tc>
          <w:tcPr>
            <w:tcW w:w="4276" w:type="dxa"/>
            <w:tcBorders>
              <w:top w:val="nil"/>
              <w:left w:val="nil"/>
              <w:bottom w:val="nil"/>
              <w:right w:val="nil"/>
            </w:tcBorders>
          </w:tcPr>
          <w:p>
            <w:pPr>
              <w:pStyle w:val="Normal"/>
              <w:widowControl w:val="false"/>
              <w:suppressAutoHyphens w:val="true"/>
              <w:spacing w:lineRule="auto" w:line="276" w:before="0" w:after="160"/>
              <w:ind w:right="113" w:hanging="0"/>
              <w:contextualSpacing/>
              <w:jc w:val="both"/>
              <w:rPr>
                <w:rFonts w:ascii="Arial" w:hAnsi="Arial" w:cs="Arial"/>
                <w:lang w:val="es-ES"/>
              </w:rPr>
            </w:pPr>
            <w:r>
              <w:rPr>
                <w:rFonts w:eastAsia="Calibri" w:cs="Arial" w:ascii="Arial" w:hAnsi="Arial"/>
                <w:kern w:val="2"/>
                <w:sz w:val="22"/>
                <w:szCs w:val="22"/>
                <w:lang w:val="es-ES" w:eastAsia="en-US" w:bidi="ar-SA"/>
              </w:rPr>
              <w:t>Tras la presentación de la documentación mencionada y realizado el requerimiento por el órgano competente se presentará la correspondiente documentación adicional:</w:t>
            </w:r>
          </w:p>
          <w:p>
            <w:pPr>
              <w:pStyle w:val="Normal"/>
              <w:widowControl w:val="false"/>
              <w:suppressAutoHyphens w:val="true"/>
              <w:spacing w:lineRule="auto" w:line="240" w:before="0" w:after="160"/>
              <w:ind w:right="113" w:hanging="0"/>
              <w:contextualSpacing/>
              <w:jc w:val="both"/>
              <w:rPr>
                <w:rFonts w:ascii="Arial" w:hAnsi="Arial" w:cs="Arial"/>
                <w:lang w:val="es-ES"/>
              </w:rPr>
            </w:pPr>
            <w:r>
              <w:rPr>
                <w:rFonts w:cs="Arial" w:ascii="Arial" w:hAnsi="Arial"/>
                <w:lang w:val="es-ES"/>
              </w:rPr>
            </w:r>
          </w:p>
        </w:tc>
      </w:tr>
      <w:tr>
        <w:trPr/>
        <w:tc>
          <w:tcPr>
            <w:tcW w:w="4108" w:type="dxa"/>
            <w:tcBorders>
              <w:top w:val="nil"/>
              <w:left w:val="nil"/>
              <w:bottom w:val="nil"/>
              <w:right w:val="nil"/>
            </w:tcBorders>
          </w:tcPr>
          <w:p>
            <w:pPr>
              <w:pStyle w:val="ListParagraph"/>
              <w:widowControl w:val="false"/>
              <w:numPr>
                <w:ilvl w:val="0"/>
                <w:numId w:val="26"/>
              </w:numPr>
              <w:suppressAutoHyphens w:val="true"/>
              <w:spacing w:lineRule="auto" w:line="276" w:before="0" w:after="160"/>
              <w:contextualSpacing/>
              <w:jc w:val="both"/>
              <w:rPr>
                <w:rFonts w:ascii="Arial" w:hAnsi="Arial" w:cs="Arial"/>
                <w:spacing w:val="-3"/>
                <w:shd w:fill="FFFFFF" w:val="clear"/>
              </w:rPr>
            </w:pPr>
            <w:r>
              <w:rPr>
                <w:rFonts w:eastAsia="Arial" w:cs="Arial" w:ascii="Arial" w:hAnsi="Arial"/>
                <w:kern w:val="2"/>
                <w:sz w:val="22"/>
                <w:szCs w:val="22"/>
                <w:lang w:val="eu-ES" w:eastAsia="en-US" w:bidi="ar-SA"/>
              </w:rPr>
              <w:t>Fakturak eta merkataritzako trafiko juridikoan froga-balio baliokidea duten edo administrazio-eraginkortasuna duten gainerako dokumentuak, aurreko lehenengo puntuan aipatzen den zerrendan eskumena duen organoak berariaz eskatutakoak.</w:t>
            </w:r>
          </w:p>
        </w:tc>
        <w:tc>
          <w:tcPr>
            <w:tcW w:w="4276" w:type="dxa"/>
            <w:tcBorders>
              <w:top w:val="nil"/>
              <w:left w:val="nil"/>
              <w:bottom w:val="nil"/>
              <w:right w:val="nil"/>
            </w:tcBorders>
          </w:tcPr>
          <w:p>
            <w:pPr>
              <w:pStyle w:val="ListParagraph"/>
              <w:widowControl w:val="false"/>
              <w:numPr>
                <w:ilvl w:val="0"/>
                <w:numId w:val="26"/>
              </w:numPr>
              <w:suppressAutoHyphens w:val="true"/>
              <w:spacing w:lineRule="auto" w:line="276" w:before="0" w:after="160"/>
              <w:contextualSpacing/>
              <w:jc w:val="both"/>
              <w:rPr>
                <w:rFonts w:ascii="Arial" w:hAnsi="Arial" w:cs="Arial"/>
                <w:lang w:val="es-ES"/>
              </w:rPr>
            </w:pPr>
            <w:r>
              <w:rPr>
                <w:rFonts w:eastAsia="Calibri" w:cs="Arial" w:ascii="Arial" w:hAnsi="Arial"/>
                <w:kern w:val="2"/>
                <w:sz w:val="22"/>
                <w:szCs w:val="22"/>
                <w:lang w:val="es-ES" w:eastAsia="en-US" w:bidi="ar-SA"/>
              </w:rPr>
              <w:t>Las facturas y los restantes documentos de valor probatorio equivalente en el tráfico jurídico mercantil o con eficacia administrativa, requeridos de manera expresa por el órgano competente en la relación a la que se hace referencia en el primer punto anterior, a los que se unirá la documentación acreditativa de los pagos realizados.</w:t>
            </w:r>
          </w:p>
        </w:tc>
      </w:tr>
      <w:tr>
        <w:trPr/>
        <w:tc>
          <w:tcPr>
            <w:tcW w:w="4108" w:type="dxa"/>
            <w:tcBorders>
              <w:top w:val="nil"/>
              <w:left w:val="nil"/>
              <w:bottom w:val="nil"/>
              <w:right w:val="nil"/>
            </w:tcBorders>
          </w:tcPr>
          <w:p>
            <w:pPr>
              <w:pStyle w:val="ListParagraph"/>
              <w:widowControl w:val="false"/>
              <w:numPr>
                <w:ilvl w:val="0"/>
                <w:numId w:val="26"/>
              </w:numPr>
              <w:suppressAutoHyphens w:val="true"/>
              <w:spacing w:lineRule="auto" w:line="276" w:before="0" w:after="160"/>
              <w:contextualSpacing/>
              <w:jc w:val="both"/>
              <w:rPr>
                <w:rFonts w:ascii="Arial" w:hAnsi="Arial" w:cs="Arial"/>
                <w:b/>
                <w:b/>
                <w:spacing w:val="-3"/>
                <w:shd w:fill="FFFFFF" w:val="clear"/>
                <w:lang w:val="es-ES"/>
              </w:rPr>
            </w:pPr>
            <w:r>
              <w:rPr>
                <w:rFonts w:eastAsia="Arial" w:cs="Arial" w:ascii="Arial" w:hAnsi="Arial"/>
                <w:kern w:val="2"/>
                <w:sz w:val="22"/>
                <w:szCs w:val="22"/>
                <w:lang w:val="es-ES" w:eastAsia="en-US" w:bidi="ar-SA"/>
              </w:rPr>
              <w:t>Dokumentazio horren ordainketen egiaztagiriak.</w:t>
            </w:r>
          </w:p>
        </w:tc>
        <w:tc>
          <w:tcPr>
            <w:tcW w:w="4276" w:type="dxa"/>
            <w:tcBorders>
              <w:top w:val="nil"/>
              <w:left w:val="nil"/>
              <w:bottom w:val="nil"/>
              <w:right w:val="nil"/>
            </w:tcBorders>
          </w:tcPr>
          <w:p>
            <w:pPr>
              <w:pStyle w:val="ListParagraph"/>
              <w:widowControl w:val="false"/>
              <w:numPr>
                <w:ilvl w:val="0"/>
                <w:numId w:val="26"/>
              </w:numPr>
              <w:suppressAutoHyphens w:val="true"/>
              <w:spacing w:lineRule="auto" w:line="276" w:before="0" w:after="160"/>
              <w:contextualSpacing/>
              <w:jc w:val="both"/>
              <w:rPr>
                <w:rFonts w:ascii="Arial" w:hAnsi="Arial" w:cs="Arial"/>
                <w:color w:val="000000"/>
                <w:lang w:val="es-ES"/>
              </w:rPr>
            </w:pPr>
            <w:r>
              <w:rPr>
                <w:rFonts w:eastAsia="Calibri" w:cs="Arial" w:ascii="Arial" w:hAnsi="Arial"/>
                <w:color w:val="000000"/>
                <w:kern w:val="2"/>
                <w:sz w:val="22"/>
                <w:szCs w:val="22"/>
                <w:lang w:val="es-ES" w:eastAsia="en-US" w:bidi="ar-SA"/>
              </w:rPr>
              <w:t>La documentación acreditativa de los pagos de dicha documentación.</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Calibri" w:cs="Arial" w:ascii="Arial" w:hAnsi="Arial"/>
                <w:kern w:val="2"/>
                <w:sz w:val="22"/>
                <w:szCs w:val="22"/>
                <w:lang w:val="eu-ES" w:eastAsia="en-US" w:bidi="ar-SA"/>
              </w:rPr>
              <w:t>Onuradunak 10 eguneko epea izango du dagokion dokumentazioa aurkezteko, aipatutako errekerimenduaren jakinarazpena jaso eta hurrengo egunetik zenbatzen hasita.</w:t>
            </w:r>
          </w:p>
        </w:tc>
        <w:tc>
          <w:tcPr>
            <w:tcW w:w="4276" w:type="dxa"/>
            <w:tcBorders>
              <w:top w:val="nil"/>
              <w:left w:val="nil"/>
              <w:bottom w:val="nil"/>
              <w:right w:val="nil"/>
            </w:tcBorders>
          </w:tcPr>
          <w:p>
            <w:pPr>
              <w:pStyle w:val="Normal"/>
              <w:widowControl w:val="false"/>
              <w:suppressAutoHyphens w:val="true"/>
              <w:spacing w:lineRule="auto" w:line="276" w:before="0" w:after="0"/>
              <w:ind w:right="113" w:hanging="0"/>
              <w:jc w:val="both"/>
              <w:rPr>
                <w:rFonts w:ascii="Arial" w:hAnsi="Arial" w:cs="Arial"/>
                <w:color w:val="000000"/>
                <w:lang w:val="es-ES"/>
              </w:rPr>
            </w:pPr>
            <w:r>
              <w:rPr>
                <w:rFonts w:eastAsia="Calibri" w:cs="Arial" w:ascii="Arial" w:hAnsi="Arial"/>
                <w:color w:val="000000"/>
                <w:kern w:val="2"/>
                <w:sz w:val="22"/>
                <w:szCs w:val="22"/>
                <w:lang w:val="es-ES" w:eastAsia="en-US" w:bidi="ar-SA"/>
              </w:rPr>
              <w:t>El/La beneficiario/a dispondrá de un plazo de 10 días para presentar la documentación correspondiente, a contar desde el día siguiente al de la recepción de la notificación del citado requerimiento.</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Calibri" w:cs="Arial" w:ascii="Arial" w:hAnsi="Arial"/>
                <w:kern w:val="2"/>
                <w:sz w:val="22"/>
                <w:szCs w:val="22"/>
                <w:lang w:val="eu-ES" w:eastAsia="en-US" w:bidi="ar-SA"/>
              </w:rPr>
              <w:t>Jatorrizko agiri horiek korrelatiboki ordenatuta aurkeztuko dira, zenbakitutako zerrendan esleitutako hurrenkera-zenbakiaren arabera. Gastuaren faktura eta ordainagiri guztiak PDF dokumentu bakar batean aurkeztu beharko dira.</w:t>
            </w:r>
          </w:p>
        </w:tc>
        <w:tc>
          <w:tcPr>
            <w:tcW w:w="4276" w:type="dxa"/>
            <w:tcBorders>
              <w:top w:val="nil"/>
              <w:left w:val="nil"/>
              <w:bottom w:val="nil"/>
              <w:right w:val="nil"/>
            </w:tcBorders>
          </w:tcPr>
          <w:p>
            <w:pPr>
              <w:pStyle w:val="Normal"/>
              <w:widowControl w:val="false"/>
              <w:suppressAutoHyphens w:val="true"/>
              <w:spacing w:lineRule="auto" w:line="276" w:before="0" w:after="160"/>
              <w:ind w:right="113" w:hanging="0"/>
              <w:jc w:val="both"/>
              <w:rPr>
                <w:color w:val="000000"/>
                <w:lang w:val="es-ES"/>
              </w:rPr>
            </w:pPr>
            <w:r>
              <w:rPr>
                <w:rFonts w:eastAsia="Calibri" w:cs="Arial" w:ascii="Arial" w:hAnsi="Arial"/>
                <w:color w:val="000000"/>
                <w:kern w:val="2"/>
                <w:sz w:val="22"/>
                <w:szCs w:val="22"/>
                <w:lang w:val="es-ES" w:eastAsia="en-US" w:bidi="ar-SA"/>
              </w:rPr>
              <w:t>Dichos documentos originales se presentarán ordenados correlativamente según el número de orden asignado en la relación numerada. Todas las facturas y justificantes de pago del gasto deberán presentarse en un único documento PDF.</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Calibri" w:cs="Arial" w:ascii="Arial" w:hAnsi="Arial"/>
                <w:kern w:val="2"/>
                <w:sz w:val="22"/>
                <w:szCs w:val="22"/>
                <w:lang w:val="eu-ES" w:eastAsia="en-US" w:bidi="ar-SA"/>
              </w:rPr>
              <w:t>Egiaztatu beharreko elementu kopurua honako muga hauekin kalkulatuko da:</w:t>
            </w:r>
          </w:p>
        </w:tc>
        <w:tc>
          <w:tcPr>
            <w:tcW w:w="4276" w:type="dxa"/>
            <w:tcBorders>
              <w:top w:val="nil"/>
              <w:left w:val="nil"/>
              <w:bottom w:val="nil"/>
              <w:right w:val="nil"/>
            </w:tcBorders>
          </w:tcPr>
          <w:p>
            <w:pPr>
              <w:pStyle w:val="Normal"/>
              <w:widowControl w:val="false"/>
              <w:suppressAutoHyphens w:val="true"/>
              <w:spacing w:lineRule="auto" w:line="276" w:before="0" w:after="160"/>
              <w:ind w:right="113" w:hanging="0"/>
              <w:jc w:val="both"/>
              <w:rPr>
                <w:rFonts w:ascii="Arial" w:hAnsi="Arial" w:cs="Arial"/>
                <w:color w:val="000000"/>
                <w:lang w:val="es-ES"/>
              </w:rPr>
            </w:pPr>
            <w:r>
              <w:rPr>
                <w:rFonts w:eastAsia="Calibri" w:cs="Arial" w:ascii="Arial" w:hAnsi="Arial"/>
                <w:color w:val="000000"/>
                <w:kern w:val="2"/>
                <w:sz w:val="22"/>
                <w:szCs w:val="22"/>
                <w:lang w:val="es-ES" w:eastAsia="en-US" w:bidi="ar-SA"/>
              </w:rPr>
              <w:t>El número de elementos a verificar se calculará con los siguientes límites:</w:t>
            </w:r>
          </w:p>
        </w:tc>
      </w:tr>
      <w:tr>
        <w:trPr/>
        <w:tc>
          <w:tcPr>
            <w:tcW w:w="4108" w:type="dxa"/>
            <w:tcBorders>
              <w:top w:val="nil"/>
              <w:left w:val="nil"/>
              <w:bottom w:val="nil"/>
              <w:right w:val="nil"/>
            </w:tcBorders>
          </w:tcPr>
          <w:p>
            <w:pPr>
              <w:pStyle w:val="ListParagraph"/>
              <w:widowControl w:val="false"/>
              <w:numPr>
                <w:ilvl w:val="0"/>
                <w:numId w:val="27"/>
              </w:numPr>
              <w:suppressAutoHyphens w:val="true"/>
              <w:spacing w:lineRule="auto" w:line="276" w:before="0" w:after="160"/>
              <w:ind w:left="777" w:hanging="426"/>
              <w:contextualSpacing/>
              <w:jc w:val="both"/>
              <w:rPr>
                <w:rFonts w:ascii="Arial" w:hAnsi="Arial" w:cs="Arial"/>
                <w:spacing w:val="-3"/>
                <w:shd w:fill="FFFFFF" w:val="clear"/>
              </w:rPr>
            </w:pPr>
            <w:r>
              <w:rPr>
                <w:rFonts w:eastAsia="Arial" w:cs="Arial" w:ascii="Arial" w:hAnsi="Arial"/>
                <w:kern w:val="2"/>
                <w:sz w:val="22"/>
                <w:szCs w:val="22"/>
                <w:lang w:val="eu-ES" w:eastAsia="en-US" w:bidi="ar-SA"/>
              </w:rPr>
              <w:t>Emandako dirulaguntzaren zenbatekoaren % 25 gainditzen duten egiaztagiri guztiak egiaztatuko dira.</w:t>
            </w:r>
          </w:p>
        </w:tc>
        <w:tc>
          <w:tcPr>
            <w:tcW w:w="4276" w:type="dxa"/>
            <w:tcBorders>
              <w:top w:val="nil"/>
              <w:left w:val="nil"/>
              <w:bottom w:val="nil"/>
              <w:right w:val="nil"/>
            </w:tcBorders>
          </w:tcPr>
          <w:p>
            <w:pPr>
              <w:pStyle w:val="ListParagraph"/>
              <w:widowControl w:val="false"/>
              <w:numPr>
                <w:ilvl w:val="0"/>
                <w:numId w:val="28"/>
              </w:numPr>
              <w:suppressAutoHyphens w:val="true"/>
              <w:spacing w:lineRule="auto" w:line="276" w:before="0" w:after="160"/>
              <w:contextualSpacing/>
              <w:jc w:val="both"/>
              <w:rPr>
                <w:rFonts w:ascii="Arial" w:hAnsi="Arial" w:cs="Arial"/>
                <w:lang w:val="es-ES"/>
              </w:rPr>
            </w:pPr>
            <w:r>
              <w:rPr>
                <w:rFonts w:eastAsia="Calibri" w:cs="Arial" w:ascii="Arial" w:hAnsi="Arial"/>
                <w:kern w:val="2"/>
                <w:sz w:val="22"/>
                <w:szCs w:val="22"/>
                <w:lang w:val="es-ES" w:eastAsia="en-US" w:bidi="ar-SA"/>
              </w:rPr>
              <w:t>Se comprobarán todos los justificantes que superen individualmente el 25 por 100 del importe de la subvención concedida.</w:t>
            </w:r>
          </w:p>
        </w:tc>
      </w:tr>
      <w:tr>
        <w:trPr/>
        <w:tc>
          <w:tcPr>
            <w:tcW w:w="4108" w:type="dxa"/>
            <w:tcBorders>
              <w:top w:val="nil"/>
              <w:left w:val="nil"/>
              <w:bottom w:val="nil"/>
              <w:right w:val="nil"/>
            </w:tcBorders>
          </w:tcPr>
          <w:p>
            <w:pPr>
              <w:pStyle w:val="ListParagraph"/>
              <w:widowControl w:val="false"/>
              <w:numPr>
                <w:ilvl w:val="0"/>
                <w:numId w:val="27"/>
              </w:numPr>
              <w:suppressAutoHyphens w:val="true"/>
              <w:spacing w:lineRule="auto" w:line="276" w:before="0" w:after="160"/>
              <w:ind w:left="777" w:hanging="426"/>
              <w:contextualSpacing/>
              <w:jc w:val="both"/>
              <w:rPr>
                <w:rFonts w:ascii="Arial" w:hAnsi="Arial" w:cs="Arial"/>
                <w:spacing w:val="-3"/>
                <w:shd w:fill="FFFFFF" w:val="clear"/>
              </w:rPr>
            </w:pPr>
            <w:r>
              <w:rPr>
                <w:rFonts w:eastAsia="Arial" w:cs="Arial" w:ascii="Arial" w:hAnsi="Arial"/>
                <w:kern w:val="2"/>
                <w:sz w:val="22"/>
                <w:szCs w:val="22"/>
                <w:lang w:val="eu-ES" w:eastAsia="en-US" w:bidi="ar-SA"/>
              </w:rPr>
              <w:t>Gainerako egiaztagiriei dagokienez, elementuen lagin bat egiaztatuko da, populazio osoaren elementu kopuruarekiko, gutxienez, ehuneko hau osatzen duena:</w:t>
            </w:r>
          </w:p>
        </w:tc>
        <w:tc>
          <w:tcPr>
            <w:tcW w:w="4276" w:type="dxa"/>
            <w:tcBorders>
              <w:top w:val="nil"/>
              <w:left w:val="nil"/>
              <w:bottom w:val="nil"/>
              <w:right w:val="nil"/>
            </w:tcBorders>
          </w:tcPr>
          <w:p>
            <w:pPr>
              <w:pStyle w:val="ListParagraph"/>
              <w:widowControl w:val="false"/>
              <w:numPr>
                <w:ilvl w:val="0"/>
                <w:numId w:val="28"/>
              </w:numPr>
              <w:suppressAutoHyphens w:val="true"/>
              <w:spacing w:lineRule="auto" w:line="276" w:before="0" w:after="160"/>
              <w:contextualSpacing/>
              <w:jc w:val="both"/>
              <w:rPr>
                <w:rFonts w:ascii="Arial" w:hAnsi="Arial" w:cs="Arial"/>
                <w:lang w:val="es-ES"/>
              </w:rPr>
            </w:pPr>
            <w:r>
              <w:rPr>
                <w:rFonts w:eastAsia="Calibri" w:cs="Arial" w:ascii="Arial" w:hAnsi="Arial"/>
                <w:kern w:val="2"/>
                <w:sz w:val="22"/>
                <w:szCs w:val="22"/>
                <w:lang w:val="es-ES" w:eastAsia="en-US" w:bidi="ar-SA"/>
              </w:rPr>
              <w:t>Del resto de los justificantes se comprobará una muestra de elementos que al menos suponga el siguiente porcentaje respecto del número de elementos de la población total:</w:t>
            </w:r>
          </w:p>
        </w:tc>
      </w:tr>
      <w:tr>
        <w:trPr/>
        <w:tc>
          <w:tcPr>
            <w:tcW w:w="4108" w:type="dxa"/>
            <w:tcBorders>
              <w:top w:val="nil"/>
              <w:left w:val="nil"/>
              <w:bottom w:val="nil"/>
              <w:right w:val="nil"/>
            </w:tcBorders>
          </w:tcPr>
          <w:p>
            <w:pPr>
              <w:pStyle w:val="ListParagraph"/>
              <w:widowControl w:val="false"/>
              <w:numPr>
                <w:ilvl w:val="0"/>
                <w:numId w:val="7"/>
              </w:numPr>
              <w:suppressAutoHyphens w:val="true"/>
              <w:spacing w:lineRule="auto" w:line="276" w:before="0" w:after="160"/>
              <w:contextualSpacing/>
              <w:jc w:val="both"/>
              <w:rPr>
                <w:rFonts w:ascii="Arial" w:hAnsi="Arial" w:cs="Arial"/>
                <w:b/>
                <w:b/>
                <w:spacing w:val="-3"/>
                <w:shd w:fill="FFFFFF" w:val="clear"/>
                <w:lang w:val="es-ES"/>
              </w:rPr>
            </w:pPr>
            <w:r>
              <w:rPr>
                <w:rFonts w:eastAsia="Arial" w:cs="Arial" w:ascii="Arial" w:hAnsi="Arial"/>
                <w:kern w:val="2"/>
                <w:sz w:val="22"/>
                <w:szCs w:val="22"/>
                <w:lang w:val="es-ES" w:eastAsia="en-US" w:bidi="ar-SA"/>
              </w:rPr>
              <w:t>Frogagiri-kopurua hamar edo txikiagoa bada: 100eko 100.</w:t>
            </w:r>
          </w:p>
        </w:tc>
        <w:tc>
          <w:tcPr>
            <w:tcW w:w="4276" w:type="dxa"/>
            <w:tcBorders>
              <w:top w:val="nil"/>
              <w:left w:val="nil"/>
              <w:bottom w:val="nil"/>
              <w:right w:val="nil"/>
            </w:tcBorders>
          </w:tcPr>
          <w:p>
            <w:pPr>
              <w:pStyle w:val="ListParagraph"/>
              <w:widowControl w:val="false"/>
              <w:numPr>
                <w:ilvl w:val="1"/>
                <w:numId w:val="4"/>
              </w:numPr>
              <w:suppressAutoHyphens w:val="true"/>
              <w:spacing w:lineRule="auto" w:line="276" w:before="0" w:after="160"/>
              <w:ind w:left="688" w:hanging="425"/>
              <w:contextualSpacing/>
              <w:jc w:val="both"/>
              <w:rPr>
                <w:rFonts w:eastAsia="Calibri"/>
                <w:lang w:val="es-ES"/>
              </w:rPr>
            </w:pPr>
            <w:r>
              <w:rPr>
                <w:rFonts w:eastAsia="Calibri" w:cs="Arial" w:ascii="Arial" w:hAnsi="Arial"/>
                <w:kern w:val="2"/>
                <w:sz w:val="22"/>
                <w:szCs w:val="22"/>
                <w:lang w:val="es-ES" w:eastAsia="en-US" w:bidi="ar-SA"/>
              </w:rPr>
              <w:t>Si el número de justificantes fuera inferior o igual a diez: 100 por 100.</w:t>
            </w:r>
          </w:p>
        </w:tc>
      </w:tr>
      <w:tr>
        <w:trPr/>
        <w:tc>
          <w:tcPr>
            <w:tcW w:w="4108" w:type="dxa"/>
            <w:tcBorders>
              <w:top w:val="nil"/>
              <w:left w:val="nil"/>
              <w:bottom w:val="nil"/>
              <w:right w:val="nil"/>
            </w:tcBorders>
          </w:tcPr>
          <w:p>
            <w:pPr>
              <w:pStyle w:val="ListParagraph"/>
              <w:widowControl w:val="false"/>
              <w:numPr>
                <w:ilvl w:val="0"/>
                <w:numId w:val="7"/>
              </w:numPr>
              <w:suppressAutoHyphens w:val="true"/>
              <w:spacing w:lineRule="auto" w:line="276" w:before="0" w:after="160"/>
              <w:contextualSpacing/>
              <w:jc w:val="both"/>
              <w:rPr>
                <w:rFonts w:ascii="Arial" w:hAnsi="Arial" w:cs="Arial"/>
                <w:b/>
                <w:b/>
                <w:spacing w:val="-3"/>
                <w:shd w:fill="FFFFFF" w:val="clear"/>
                <w:lang w:val="es-ES"/>
              </w:rPr>
            </w:pPr>
            <w:r>
              <w:rPr>
                <w:rFonts w:eastAsia="Arial" w:cs="Arial" w:ascii="Arial" w:hAnsi="Arial"/>
                <w:kern w:val="2"/>
                <w:sz w:val="22"/>
                <w:szCs w:val="22"/>
                <w:lang w:val="es-ES" w:eastAsia="en-US" w:bidi="ar-SA"/>
              </w:rPr>
              <w:t>Frogagiri-kopurua hamar baino handiagoa eta hogei edo txikiagoa bada: 100eko 70.</w:t>
            </w:r>
          </w:p>
        </w:tc>
        <w:tc>
          <w:tcPr>
            <w:tcW w:w="4276" w:type="dxa"/>
            <w:tcBorders>
              <w:top w:val="nil"/>
              <w:left w:val="nil"/>
              <w:bottom w:val="nil"/>
              <w:right w:val="nil"/>
            </w:tcBorders>
          </w:tcPr>
          <w:p>
            <w:pPr>
              <w:pStyle w:val="ListParagraph"/>
              <w:widowControl w:val="false"/>
              <w:numPr>
                <w:ilvl w:val="1"/>
                <w:numId w:val="4"/>
              </w:numPr>
              <w:suppressAutoHyphens w:val="true"/>
              <w:spacing w:lineRule="auto" w:line="276" w:before="0" w:after="160"/>
              <w:ind w:left="688" w:hanging="425"/>
              <w:contextualSpacing/>
              <w:jc w:val="both"/>
              <w:rPr>
                <w:rFonts w:eastAsia="Calibri"/>
                <w:lang w:val="es-ES"/>
              </w:rPr>
            </w:pPr>
            <w:r>
              <w:rPr>
                <w:rFonts w:eastAsia="Calibri" w:cs="Arial" w:ascii="Arial" w:hAnsi="Arial"/>
                <w:kern w:val="2"/>
                <w:sz w:val="22"/>
                <w:szCs w:val="22"/>
                <w:lang w:val="es-ES" w:eastAsia="en-US" w:bidi="ar-SA"/>
              </w:rPr>
              <w:t>Si el número de justificantes fuera superior a diez e inferior o igual a veinte: 70 por 100.</w:t>
            </w:r>
          </w:p>
        </w:tc>
      </w:tr>
      <w:tr>
        <w:trPr/>
        <w:tc>
          <w:tcPr>
            <w:tcW w:w="4108" w:type="dxa"/>
            <w:tcBorders>
              <w:top w:val="nil"/>
              <w:left w:val="nil"/>
              <w:bottom w:val="nil"/>
              <w:right w:val="nil"/>
            </w:tcBorders>
          </w:tcPr>
          <w:p>
            <w:pPr>
              <w:pStyle w:val="ListParagraph"/>
              <w:widowControl w:val="false"/>
              <w:numPr>
                <w:ilvl w:val="0"/>
                <w:numId w:val="7"/>
              </w:numPr>
              <w:suppressAutoHyphens w:val="true"/>
              <w:spacing w:lineRule="auto" w:line="276" w:before="0" w:after="160"/>
              <w:contextualSpacing/>
              <w:jc w:val="both"/>
              <w:rPr>
                <w:rFonts w:ascii="Arial" w:hAnsi="Arial" w:cs="Arial"/>
                <w:b/>
                <w:b/>
                <w:spacing w:val="-3"/>
                <w:shd w:fill="FFFFFF" w:val="clear"/>
                <w:lang w:val="es-ES"/>
              </w:rPr>
            </w:pPr>
            <w:r>
              <w:rPr>
                <w:rFonts w:eastAsia="Arial" w:cs="Arial" w:ascii="Arial" w:hAnsi="Arial"/>
                <w:kern w:val="2"/>
                <w:sz w:val="22"/>
                <w:szCs w:val="22"/>
                <w:lang w:val="es-ES" w:eastAsia="en-US" w:bidi="ar-SA"/>
              </w:rPr>
              <w:t>Frogagiri-kopurua hogei baino handiagoa eta berrogeita hamar edo txikiagoa bada: 100eko 40.</w:t>
            </w:r>
          </w:p>
        </w:tc>
        <w:tc>
          <w:tcPr>
            <w:tcW w:w="4276" w:type="dxa"/>
            <w:tcBorders>
              <w:top w:val="nil"/>
              <w:left w:val="nil"/>
              <w:bottom w:val="nil"/>
              <w:right w:val="nil"/>
            </w:tcBorders>
          </w:tcPr>
          <w:p>
            <w:pPr>
              <w:pStyle w:val="Normal"/>
              <w:widowControl w:val="false"/>
              <w:numPr>
                <w:ilvl w:val="1"/>
                <w:numId w:val="4"/>
              </w:numPr>
              <w:suppressAutoHyphens w:val="true"/>
              <w:spacing w:lineRule="auto" w:line="276" w:before="0" w:after="160"/>
              <w:ind w:left="688" w:hanging="425"/>
              <w:contextualSpacing/>
              <w:jc w:val="both"/>
              <w:rPr>
                <w:rFonts w:eastAsia="Calibri"/>
                <w:color w:val="000000"/>
                <w:lang w:val="es-ES"/>
              </w:rPr>
            </w:pPr>
            <w:r>
              <w:rPr>
                <w:rFonts w:eastAsia="Calibri" w:cs="Arial" w:ascii="Arial" w:hAnsi="Arial"/>
                <w:color w:val="000000"/>
                <w:kern w:val="2"/>
                <w:sz w:val="22"/>
                <w:szCs w:val="22"/>
                <w:lang w:val="es-ES" w:eastAsia="en-US" w:bidi="ar-SA"/>
              </w:rPr>
              <w:t>Si el número de justificantes fuera superior a veinte e inferior o igual a cincuenta: 40 por 100.</w:t>
            </w:r>
          </w:p>
        </w:tc>
      </w:tr>
      <w:tr>
        <w:trPr/>
        <w:tc>
          <w:tcPr>
            <w:tcW w:w="4108" w:type="dxa"/>
            <w:tcBorders>
              <w:top w:val="nil"/>
              <w:left w:val="nil"/>
              <w:bottom w:val="nil"/>
              <w:right w:val="nil"/>
            </w:tcBorders>
          </w:tcPr>
          <w:p>
            <w:pPr>
              <w:pStyle w:val="ListParagraph"/>
              <w:widowControl w:val="false"/>
              <w:numPr>
                <w:ilvl w:val="0"/>
                <w:numId w:val="7"/>
              </w:numPr>
              <w:suppressAutoHyphens w:val="true"/>
              <w:spacing w:lineRule="auto" w:line="276" w:before="0" w:after="160"/>
              <w:contextualSpacing/>
              <w:jc w:val="both"/>
              <w:rPr>
                <w:rFonts w:ascii="Arial" w:hAnsi="Arial" w:cs="Arial"/>
                <w:b/>
                <w:b/>
                <w:spacing w:val="-3"/>
                <w:shd w:fill="FFFFFF" w:val="clear"/>
                <w:lang w:val="es-ES"/>
              </w:rPr>
            </w:pPr>
            <w:r>
              <w:rPr>
                <w:rFonts w:eastAsia="Arial" w:cs="Arial" w:ascii="Arial" w:hAnsi="Arial"/>
                <w:kern w:val="2"/>
                <w:sz w:val="22"/>
                <w:szCs w:val="22"/>
                <w:lang w:val="es-ES" w:eastAsia="en-US" w:bidi="ar-SA"/>
              </w:rPr>
              <w:t>Frogagiri-kopurua berrogeita hamar baino handiagoa eta ehun edo txikiagoa bada: 100eko 30.</w:t>
            </w:r>
          </w:p>
        </w:tc>
        <w:tc>
          <w:tcPr>
            <w:tcW w:w="4276" w:type="dxa"/>
            <w:tcBorders>
              <w:top w:val="nil"/>
              <w:left w:val="nil"/>
              <w:bottom w:val="nil"/>
              <w:right w:val="nil"/>
            </w:tcBorders>
          </w:tcPr>
          <w:p>
            <w:pPr>
              <w:pStyle w:val="ListParagraph"/>
              <w:widowControl w:val="false"/>
              <w:numPr>
                <w:ilvl w:val="1"/>
                <w:numId w:val="4"/>
              </w:numPr>
              <w:suppressAutoHyphens w:val="true"/>
              <w:spacing w:lineRule="auto" w:line="276" w:before="0" w:after="160"/>
              <w:ind w:left="688" w:hanging="425"/>
              <w:contextualSpacing/>
              <w:jc w:val="both"/>
              <w:rPr>
                <w:rFonts w:eastAsia="Calibri"/>
                <w:lang w:val="es-ES"/>
              </w:rPr>
            </w:pPr>
            <w:r>
              <w:rPr>
                <w:rFonts w:eastAsia="Calibri" w:cs="Arial" w:ascii="Arial" w:hAnsi="Arial"/>
                <w:kern w:val="2"/>
                <w:sz w:val="22"/>
                <w:szCs w:val="22"/>
                <w:lang w:val="es-ES" w:eastAsia="en-US" w:bidi="ar-SA"/>
              </w:rPr>
              <w:t>Si el número de justificantes fuera superior a cincuenta e inferior o igual a cien: 30 por 100.</w:t>
            </w:r>
          </w:p>
        </w:tc>
      </w:tr>
      <w:tr>
        <w:trPr/>
        <w:tc>
          <w:tcPr>
            <w:tcW w:w="4108" w:type="dxa"/>
            <w:tcBorders>
              <w:top w:val="nil"/>
              <w:left w:val="nil"/>
              <w:bottom w:val="nil"/>
              <w:right w:val="nil"/>
            </w:tcBorders>
          </w:tcPr>
          <w:p>
            <w:pPr>
              <w:pStyle w:val="ListParagraph"/>
              <w:widowControl w:val="false"/>
              <w:numPr>
                <w:ilvl w:val="0"/>
                <w:numId w:val="7"/>
              </w:numPr>
              <w:suppressAutoHyphens w:val="true"/>
              <w:spacing w:lineRule="auto" w:line="276" w:before="0" w:after="160"/>
              <w:contextualSpacing/>
              <w:jc w:val="both"/>
              <w:rPr>
                <w:rFonts w:ascii="Arial" w:hAnsi="Arial" w:cs="Arial"/>
                <w:b/>
                <w:b/>
                <w:spacing w:val="-3"/>
                <w:shd w:fill="FFFFFF" w:val="clear"/>
                <w:lang w:val="es-ES"/>
              </w:rPr>
            </w:pPr>
            <w:r>
              <w:rPr>
                <w:rFonts w:eastAsia="Arial" w:cs="Arial" w:ascii="Arial" w:hAnsi="Arial"/>
                <w:kern w:val="2"/>
                <w:sz w:val="22"/>
                <w:szCs w:val="22"/>
                <w:lang w:val="es-ES" w:eastAsia="en-US" w:bidi="ar-SA"/>
              </w:rPr>
              <w:t>Frogagiri-kopurua ehun baino handiagoa bada: 100eko 20.</w:t>
            </w:r>
          </w:p>
        </w:tc>
        <w:tc>
          <w:tcPr>
            <w:tcW w:w="4276" w:type="dxa"/>
            <w:tcBorders>
              <w:top w:val="nil"/>
              <w:left w:val="nil"/>
              <w:bottom w:val="nil"/>
              <w:right w:val="nil"/>
            </w:tcBorders>
          </w:tcPr>
          <w:p>
            <w:pPr>
              <w:pStyle w:val="ListParagraph"/>
              <w:widowControl w:val="false"/>
              <w:numPr>
                <w:ilvl w:val="1"/>
                <w:numId w:val="4"/>
              </w:numPr>
              <w:suppressAutoHyphens w:val="true"/>
              <w:spacing w:lineRule="auto" w:line="276" w:before="0" w:after="160"/>
              <w:ind w:left="688" w:hanging="425"/>
              <w:contextualSpacing/>
              <w:jc w:val="both"/>
              <w:rPr>
                <w:rFonts w:eastAsia="Calibri"/>
                <w:lang w:val="es-ES"/>
              </w:rPr>
            </w:pPr>
            <w:r>
              <w:rPr>
                <w:rFonts w:eastAsia="Calibri" w:cs="Arial" w:ascii="Arial" w:hAnsi="Arial"/>
                <w:kern w:val="2"/>
                <w:sz w:val="22"/>
                <w:szCs w:val="22"/>
                <w:lang w:val="es-ES" w:eastAsia="en-US" w:bidi="ar-SA"/>
              </w:rPr>
              <w:t>Si el número de justificantes fuera superior a 100: 20 por 100.</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color w:val="000000"/>
                <w:lang w:val="es-ES"/>
              </w:rPr>
            </w:pPr>
            <w:r>
              <w:rPr>
                <w:rFonts w:eastAsia="Calibri" w:cs="Arial" w:ascii="Arial" w:hAnsi="Arial"/>
                <w:b/>
                <w:bCs/>
                <w:color w:val="000000"/>
                <w:kern w:val="2"/>
                <w:sz w:val="22"/>
                <w:szCs w:val="22"/>
                <w:lang w:val="es-ES" w:eastAsia="en-US" w:bidi="ar-SA"/>
              </w:rPr>
              <w:t>16. Dirulaguntza aldatzea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color w:val="000000"/>
                <w:lang w:val="es-ES"/>
              </w:rPr>
            </w:pPr>
            <w:r>
              <w:rPr>
                <w:rFonts w:eastAsia="Calibri" w:cs="Arial" w:ascii="Arial" w:hAnsi="Arial"/>
                <w:b/>
                <w:bCs/>
                <w:color w:val="000000"/>
                <w:kern w:val="2"/>
                <w:sz w:val="22"/>
                <w:szCs w:val="22"/>
                <w:lang w:val="es-ES" w:eastAsia="en-US" w:bidi="ar-SA"/>
              </w:rPr>
              <w:t>16. Modificación de la subvención</w:t>
            </w:r>
          </w:p>
        </w:tc>
      </w:tr>
      <w:tr>
        <w:trPr/>
        <w:tc>
          <w:tcPr>
            <w:tcW w:w="4108" w:type="dxa"/>
            <w:tcBorders>
              <w:top w:val="nil"/>
              <w:left w:val="nil"/>
              <w:bottom w:val="nil"/>
              <w:right w:val="nil"/>
            </w:tcBorders>
          </w:tcPr>
          <w:p>
            <w:pPr>
              <w:pStyle w:val="Testugorputza"/>
              <w:widowControl w:val="false"/>
              <w:suppressAutoHyphens w:val="true"/>
              <w:spacing w:lineRule="auto" w:line="276" w:before="0" w:after="0"/>
              <w:jc w:val="both"/>
              <w:rPr>
                <w:rFonts w:ascii="Arial" w:hAnsi="Arial" w:cs="Arial"/>
                <w:color w:val="000000"/>
                <w:sz w:val="22"/>
                <w:szCs w:val="22"/>
              </w:rPr>
            </w:pPr>
            <w:r>
              <w:rPr>
                <w:rFonts w:cs="Arial" w:ascii="Arial" w:hAnsi="Arial"/>
                <w:color w:val="000000"/>
                <w:sz w:val="22"/>
                <w:szCs w:val="22"/>
              </w:rPr>
            </w:r>
          </w:p>
          <w:p>
            <w:pPr>
              <w:pStyle w:val="Normal"/>
              <w:widowControl w:val="false"/>
              <w:suppressAutoHyphens w:val="true"/>
              <w:spacing w:lineRule="auto" w:line="276" w:before="0" w:after="160"/>
              <w:jc w:val="both"/>
              <w:rPr>
                <w:color w:val="000000"/>
              </w:rPr>
            </w:pPr>
            <w:r>
              <w:rPr>
                <w:rFonts w:eastAsia="Arial" w:cs="Arial" w:ascii="Arial" w:hAnsi="Arial"/>
                <w:color w:val="000000"/>
                <w:kern w:val="2"/>
                <w:sz w:val="22"/>
                <w:szCs w:val="22"/>
                <w:lang w:val="eu-ES" w:eastAsia="en-US" w:bidi="ar-SA"/>
              </w:rPr>
              <w:t>Dirulaguntza emateko ebazpena edo erabakia, onuradunak eskatuta, aldatu egin ahal izango da, baldin eta gerora sortutako eta aurreikusi ezin diren inguruabarrek dirulaguntza emateko kontuan hartutako baldintzak aldatzen badituzte, eta betiere, aldaketa horiek ez badituzte indargabetzen emandako dirulaguntzaren izaera eta helburuak, aldaketak ez badie hirugarren pertsonen edo entitateen eskubideei kalterik egiten, eta eskaera jarduera egiteko epea amaitu baino lehen aurkezten bada.</w:t>
            </w:r>
          </w:p>
        </w:tc>
        <w:tc>
          <w:tcPr>
            <w:tcW w:w="4276" w:type="dxa"/>
            <w:tcBorders>
              <w:top w:val="nil"/>
              <w:left w:val="nil"/>
              <w:bottom w:val="nil"/>
              <w:right w:val="nil"/>
            </w:tcBorders>
          </w:tcPr>
          <w:p>
            <w:pPr>
              <w:pStyle w:val="Testugorputza"/>
              <w:widowControl w:val="false"/>
              <w:suppressAutoHyphens w:val="true"/>
              <w:spacing w:lineRule="auto" w:line="276" w:before="0" w:after="0"/>
              <w:jc w:val="both"/>
              <w:rPr>
                <w:rFonts w:ascii="Arial" w:hAnsi="Arial" w:cs="Arial"/>
                <w:color w:val="000000"/>
                <w:sz w:val="22"/>
                <w:szCs w:val="22"/>
              </w:rPr>
            </w:pPr>
            <w:r>
              <w:rPr>
                <w:rFonts w:cs="Arial" w:ascii="Arial" w:hAnsi="Arial"/>
                <w:color w:val="000000"/>
                <w:sz w:val="22"/>
                <w:szCs w:val="22"/>
              </w:rPr>
            </w:r>
          </w:p>
          <w:p>
            <w:pPr>
              <w:pStyle w:val="Normal"/>
              <w:widowControl w:val="false"/>
              <w:suppressAutoHyphens w:val="true"/>
              <w:spacing w:lineRule="auto" w:line="276" w:before="0" w:after="160"/>
              <w:jc w:val="both"/>
              <w:rPr>
                <w:color w:val="000000"/>
                <w:lang w:val="es-ES"/>
              </w:rPr>
            </w:pPr>
            <w:r>
              <w:rPr>
                <w:rFonts w:eastAsia="Calibri" w:cs="Arial" w:ascii="Arial" w:hAnsi="Arial"/>
                <w:color w:val="000000"/>
                <w:kern w:val="2"/>
                <w:sz w:val="22"/>
                <w:szCs w:val="22"/>
                <w:lang w:val="es-ES" w:eastAsia="en-US" w:bidi="ar-SA"/>
              </w:rPr>
              <w:t>La resolución o acuerdo de concesión se podrá modificar a solicitud de la beneficiaria cuando circunstancias sobrevenidas e imprevisibles supongan una alteración de las condiciones tenidas en cuenta para la concesión de la subvención, siempre que las mismas no desvirtúen la naturaleza y objetivos de la subvención concedida, que la modificación no dañe derechos de terceras personas o entidades que la solicitud y que la solicitud se presente antes de que concluya el plazo para la realización de actividad.</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 xml:space="preserve">17. </w:t>
            </w:r>
            <w:r>
              <w:rPr>
                <w:rFonts w:eastAsia="Calibri" w:cs="Arial" w:ascii="Arial" w:hAnsi="Arial"/>
                <w:b/>
                <w:bCs/>
                <w:kern w:val="2"/>
                <w:sz w:val="22"/>
                <w:szCs w:val="22"/>
                <w:lang w:val="es-ES" w:eastAsia="en-US" w:bidi="ar-SA"/>
              </w:rPr>
              <w:t>Itzulketen araubidea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lang w:val="es-ES"/>
              </w:rPr>
            </w:pPr>
            <w:r>
              <w:rPr>
                <w:rFonts w:eastAsia="Calibri" w:cs="Arial" w:ascii="Arial" w:hAnsi="Arial"/>
                <w:b/>
                <w:bCs/>
                <w:kern w:val="2"/>
                <w:sz w:val="22"/>
                <w:szCs w:val="22"/>
                <w:lang w:val="es-ES" w:eastAsia="en-US" w:bidi="ar-SA"/>
              </w:rPr>
              <w:t>17. Régimen de reintegro</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Fonts w:eastAsia="Arial" w:cs="Arial" w:ascii="Arial" w:hAnsi="Arial"/>
                <w:kern w:val="2"/>
                <w:sz w:val="22"/>
                <w:szCs w:val="22"/>
                <w:lang w:val="eu-ES" w:eastAsia="en-US" w:bidi="ar-SA"/>
              </w:rPr>
              <w:t>Aldi berean beste ekarpen batzuk lortzen badira oinarri hauetan ezarritako kasuetatik eta baldintzetatik kanpo, ezarritako betebeharretako edozein betetzen ez bada, edo Tolosako Udalaren Dirulaguntzen Ordenantza Orokorraren 36. artikuluan ezarritako beste edozein kasu gertatzen bada, emandako zenbatekoa deuseztatu egingo da edo itzuli egin beharko da.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lang w:val="es-ES"/>
              </w:rPr>
            </w:pPr>
            <w:r>
              <w:rPr>
                <w:rFonts w:eastAsia="Calibri" w:cs="Arial" w:ascii="Arial" w:hAnsi="Arial"/>
                <w:kern w:val="2"/>
                <w:sz w:val="22"/>
                <w:szCs w:val="22"/>
                <w:lang w:val="es-ES" w:eastAsia="en-US" w:bidi="ar-SA"/>
              </w:rPr>
              <w:t>La obtención concurrente de otras aportaciones fuera de los casos y de las condiciones establecidas en las presentes bases, el incumplimiento de cualquiera de las obligaciones establecidas o cualquier otro supuesto establecido en el artículo 36 de la Ordenanza General de Subvenciones del Ayuntamiento de Tolosa, dará lugar a la anulación o reintegro del importe concedido.</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Arial" w:cs="Arial"/>
              </w:rPr>
            </w:pPr>
            <w:r>
              <w:rPr>
                <w:rFonts w:eastAsia="Arial" w:cs="Arial" w:ascii="Arial" w:hAnsi="Arial"/>
                <w:kern w:val="2"/>
                <w:sz w:val="22"/>
                <w:szCs w:val="22"/>
                <w:lang w:val="eu-ES" w:eastAsia="en-US" w:bidi="ar-SA"/>
              </w:rPr>
              <w:t>Horri dagokionez, Tolosako Dirulaguntzen Ordenantza Orokorraren VI. kapituluan ezarritakoa aplikatuko da, baita Dirulaguntzei buruzko azaroaren 17ko 38/2003 Lege Orokorrean, uztailaren 21eko 887/2002 Errege Dekretuaren bidez onartutako Dirulaguntzei buruzko Lege Orokorraren Erregelamenduan eta gainerako araudi aplikagarrian ezarritakoa ere.</w:t>
            </w:r>
          </w:p>
          <w:p>
            <w:pPr>
              <w:pStyle w:val="Normal"/>
              <w:widowControl w:val="false"/>
              <w:suppressAutoHyphens w:val="true"/>
              <w:spacing w:lineRule="auto" w:line="276" w:before="0" w:after="160"/>
              <w:jc w:val="both"/>
              <w:rPr>
                <w:rFonts w:ascii="Arial" w:hAnsi="Arial" w:eastAsia="Arial" w:cs="Arial"/>
              </w:rPr>
            </w:pPr>
            <w:r>
              <w:rPr>
                <w:rFonts w:eastAsia="Arial" w:cs="Arial" w:ascii="Arial" w:hAnsi="Arial"/>
              </w:rPr>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lang w:val="es-ES"/>
              </w:rPr>
            </w:pPr>
            <w:r>
              <w:rPr>
                <w:rFonts w:eastAsia="Calibri" w:cs="Arial" w:ascii="Arial" w:hAnsi="Arial"/>
                <w:kern w:val="2"/>
                <w:sz w:val="22"/>
                <w:szCs w:val="22"/>
                <w:lang w:val="es-ES" w:eastAsia="en-US" w:bidi="ar-SA"/>
              </w:rPr>
              <w:t>A este respecto, será de aplicación lo establecido en el capítulo VI de la Ordenanza General de Subvenciones de Tolosa, así como lo dispuesto en la Ley, 38/2003, de 17 de noviembre, General de Subvenciones, el Reglamento de la Ley General de Subvenciones, aprobado por Real Decreto 887/2002, de 21 de julio y el resto de normativa aplicable.</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lang w:val="es-ES"/>
              </w:rPr>
            </w:pPr>
            <w:r>
              <w:rPr>
                <w:rFonts w:eastAsia="Calibri" w:cs="Arial" w:ascii="Arial" w:hAnsi="Arial"/>
                <w:b/>
                <w:spacing w:val="-3"/>
                <w:kern w:val="2"/>
                <w:sz w:val="22"/>
                <w:szCs w:val="22"/>
                <w:shd w:fill="FFFFFF" w:val="clear"/>
                <w:lang w:val="es-ES" w:eastAsia="en-US" w:bidi="ar-SA"/>
              </w:rPr>
              <w:t xml:space="preserve">18. </w:t>
            </w:r>
            <w:r>
              <w:rPr>
                <w:rFonts w:eastAsia="Calibri" w:cs="Arial" w:ascii="Arial" w:hAnsi="Arial"/>
                <w:b/>
                <w:bCs/>
                <w:kern w:val="2"/>
                <w:sz w:val="22"/>
                <w:szCs w:val="22"/>
                <w:lang w:val="es-ES" w:eastAsia="en-US" w:bidi="ar-SA"/>
              </w:rPr>
              <w:t>Arau-hausteen eta zehapenen araubidea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lang w:val="es-ES"/>
              </w:rPr>
            </w:pPr>
            <w:r>
              <w:rPr>
                <w:rFonts w:eastAsia="Calibri" w:cs="Arial" w:ascii="Arial" w:hAnsi="Arial"/>
                <w:b/>
                <w:bCs/>
                <w:color w:val="000000"/>
                <w:spacing w:val="-3"/>
                <w:kern w:val="2"/>
                <w:sz w:val="22"/>
                <w:szCs w:val="22"/>
                <w:lang w:val="es-ES" w:eastAsia="en-US" w:bidi="ar-SA"/>
              </w:rPr>
              <w:t>18. Régimen de infracciones y sanciones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Arial" w:cs="Arial"/>
              </w:rPr>
            </w:pPr>
            <w:r>
              <w:rPr>
                <w:rFonts w:eastAsia="Arial" w:cs="Arial" w:ascii="Arial" w:hAnsi="Arial"/>
                <w:kern w:val="2"/>
                <w:sz w:val="22"/>
                <w:szCs w:val="22"/>
                <w:lang w:val="eu-ES" w:eastAsia="en-US" w:bidi="ar-SA"/>
              </w:rPr>
              <w:t>Honako hauetan ezarritakoa aplikatuko da: Tolosako Udalaren Dirulaguntzen Ordenantza Orokorraren VIII. kapituluan; Dirulaguntzei buruzko azaroaren 17ko 38/2003 Legean; uztailaren 21eko 887/2002 Errege Dekretuaren bidez onartutako Dirulaguntzei buruzko Lege Orokorraren Erregelamenduan; eta gainerako araudi aplikagarrian ezarritakoa ere.</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lang w:val="es-ES"/>
              </w:rPr>
            </w:pPr>
            <w:r>
              <w:rPr>
                <w:rFonts w:eastAsia="Calibri" w:cs="Arial" w:ascii="Arial" w:hAnsi="Arial"/>
                <w:color w:val="000000"/>
                <w:spacing w:val="-3"/>
                <w:kern w:val="2"/>
                <w:sz w:val="22"/>
                <w:szCs w:val="22"/>
                <w:lang w:val="es-ES" w:eastAsia="en-US" w:bidi="ar-SA"/>
              </w:rPr>
              <w:t>Sera de aplicación lo establecido en el capítulo VIII de la Ordenanza General de Subvenciones del Ayuntamiento de Tolosa, así como lo dispuesto en la Ley 38/2003, de 17 de noviembre, el Reglamento de la Ley General de Subvenciones, aprobado por Real Decreto 887/2022, de 21 de julio y el resto de normativa aplicable.</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 xml:space="preserve">19. </w:t>
            </w:r>
            <w:r>
              <w:rPr>
                <w:rFonts w:eastAsia="Calibri" w:cs="Arial" w:ascii="Arial" w:hAnsi="Arial"/>
                <w:b/>
                <w:bCs/>
                <w:kern w:val="2"/>
                <w:sz w:val="22"/>
                <w:szCs w:val="22"/>
                <w:lang w:val="es-ES" w:eastAsia="en-US" w:bidi="ar-SA"/>
              </w:rPr>
              <w:t>Aplikatu beharreko araudia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color w:val="000000"/>
                <w:spacing w:val="-3"/>
                <w:lang w:val="es-ES"/>
              </w:rPr>
            </w:pPr>
            <w:r>
              <w:rPr>
                <w:rFonts w:eastAsia="Calibri" w:cs="Arial" w:ascii="Arial" w:hAnsi="Arial"/>
                <w:b/>
                <w:bCs/>
                <w:color w:val="000000"/>
                <w:spacing w:val="-3"/>
                <w:kern w:val="2"/>
                <w:sz w:val="22"/>
                <w:szCs w:val="22"/>
                <w:lang w:val="es-ES" w:eastAsia="en-US" w:bidi="ar-SA"/>
              </w:rPr>
              <w:t>19. Normativa aplicable</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rPr>
            </w:pPr>
            <w:r>
              <w:rPr>
                <w:rStyle w:val="Fuentedeprrafopredeter1"/>
                <w:rFonts w:eastAsia="Arial" w:cs="Arial" w:ascii="Arial" w:hAnsi="Arial"/>
                <w:kern w:val="2"/>
                <w:sz w:val="22"/>
                <w:szCs w:val="22"/>
                <w:lang w:val="eu-ES" w:eastAsia="en-US" w:bidi="ar-SA"/>
              </w:rPr>
              <w:t>Oinarri hauetan araututako dirulaguntzak honako arau-xedapen hauetan ezarritakora egokituko dira: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color w:val="000000"/>
                <w:spacing w:val="-3"/>
                <w:lang w:val="es-ES"/>
              </w:rPr>
            </w:pPr>
            <w:r>
              <w:rPr>
                <w:rFonts w:eastAsia="Calibri" w:cs="Arial" w:ascii="Arial" w:hAnsi="Arial"/>
                <w:color w:val="000000"/>
                <w:spacing w:val="-3"/>
                <w:kern w:val="2"/>
                <w:sz w:val="22"/>
                <w:szCs w:val="22"/>
                <w:lang w:val="es-ES" w:eastAsia="en-US" w:bidi="ar-SA"/>
              </w:rPr>
              <w:t>Las subvenciones reguladas en las presentes bases se ajustarán a lo establecido en las siguientes disposiciones normativas:</w:t>
            </w:r>
          </w:p>
        </w:tc>
      </w:tr>
      <w:tr>
        <w:trPr/>
        <w:tc>
          <w:tcPr>
            <w:tcW w:w="4108" w:type="dxa"/>
            <w:tcBorders>
              <w:top w:val="nil"/>
              <w:left w:val="nil"/>
              <w:bottom w:val="nil"/>
              <w:right w:val="nil"/>
            </w:tcBorders>
          </w:tcPr>
          <w:p>
            <w:pPr>
              <w:pStyle w:val="ListParagraph"/>
              <w:widowControl w:val="false"/>
              <w:numPr>
                <w:ilvl w:val="0"/>
                <w:numId w:val="7"/>
              </w:numPr>
              <w:suppressAutoHyphens w:val="true"/>
              <w:spacing w:lineRule="auto" w:line="276" w:before="0" w:after="160"/>
              <w:contextualSpacing/>
              <w:jc w:val="both"/>
              <w:rPr>
                <w:rFonts w:ascii="Arial" w:hAnsi="Arial" w:cs="Arial"/>
                <w:b/>
                <w:b/>
                <w:color w:val="000000"/>
                <w:spacing w:val="-3"/>
                <w:shd w:fill="FFFFFF" w:val="clear"/>
                <w:lang w:val="es-ES"/>
              </w:rPr>
            </w:pPr>
            <w:r>
              <w:rPr>
                <w:rStyle w:val="Fuentedeprrafopredeter1"/>
                <w:rFonts w:eastAsia="Arial" w:cs="Arial" w:ascii="Arial" w:hAnsi="Arial"/>
                <w:kern w:val="2"/>
                <w:sz w:val="22"/>
                <w:szCs w:val="22"/>
                <w:lang w:val="es-ES" w:eastAsia="en-US" w:bidi="ar-SA"/>
              </w:rPr>
              <w:t>38/2003 Lege Orokorra, azaroaren 17koa, Dirulaguntzei buruzkoa.</w:t>
            </w:r>
          </w:p>
        </w:tc>
        <w:tc>
          <w:tcPr>
            <w:tcW w:w="4276" w:type="dxa"/>
            <w:tcBorders>
              <w:top w:val="nil"/>
              <w:left w:val="nil"/>
              <w:bottom w:val="nil"/>
              <w:right w:val="nil"/>
            </w:tcBorders>
          </w:tcPr>
          <w:p>
            <w:pPr>
              <w:pStyle w:val="Normal"/>
              <w:widowControl w:val="false"/>
              <w:numPr>
                <w:ilvl w:val="0"/>
                <w:numId w:val="1"/>
              </w:numPr>
              <w:suppressAutoHyphens w:val="true"/>
              <w:spacing w:lineRule="auto" w:line="276" w:before="0" w:after="160"/>
              <w:jc w:val="both"/>
              <w:rPr>
                <w:rStyle w:val="Fuentedeprrafopredeter1"/>
                <w:rFonts w:ascii="Arial" w:hAnsi="Arial" w:eastAsia="Arial" w:cs="Arial"/>
                <w:lang w:val="es-ES"/>
              </w:rPr>
            </w:pPr>
            <w:r>
              <w:rPr>
                <w:rStyle w:val="Fuentedeprrafopredeter1"/>
                <w:rFonts w:eastAsia="Arial" w:cs="Arial" w:ascii="Arial" w:hAnsi="Arial"/>
                <w:kern w:val="2"/>
                <w:sz w:val="22"/>
                <w:szCs w:val="22"/>
                <w:lang w:val="es-ES" w:eastAsia="en-US" w:bidi="ar-SA"/>
              </w:rPr>
              <w:t>Ley 38/2003, de 17 de noviembre, General de Subvenciones.</w:t>
            </w:r>
          </w:p>
        </w:tc>
      </w:tr>
      <w:tr>
        <w:trPr/>
        <w:tc>
          <w:tcPr>
            <w:tcW w:w="4108" w:type="dxa"/>
            <w:tcBorders>
              <w:top w:val="nil"/>
              <w:left w:val="nil"/>
              <w:bottom w:val="nil"/>
              <w:right w:val="nil"/>
            </w:tcBorders>
          </w:tcPr>
          <w:p>
            <w:pPr>
              <w:pStyle w:val="ListParagraph"/>
              <w:widowControl w:val="false"/>
              <w:numPr>
                <w:ilvl w:val="0"/>
                <w:numId w:val="7"/>
              </w:numPr>
              <w:suppressAutoHyphens w:val="true"/>
              <w:spacing w:lineRule="auto" w:line="276" w:before="0" w:after="160"/>
              <w:contextualSpacing/>
              <w:jc w:val="both"/>
              <w:rPr>
                <w:rFonts w:ascii="Arial" w:hAnsi="Arial" w:cs="Arial"/>
                <w:b/>
                <w:b/>
                <w:color w:val="000000"/>
                <w:spacing w:val="-3"/>
                <w:shd w:fill="FFFFFF" w:val="clear"/>
              </w:rPr>
            </w:pPr>
            <w:r>
              <w:rPr>
                <w:rStyle w:val="Fuentedeprrafopredeter1"/>
                <w:rFonts w:eastAsia="Arial" w:cs="Arial" w:ascii="Arial" w:hAnsi="Arial"/>
                <w:kern w:val="2"/>
                <w:sz w:val="22"/>
                <w:szCs w:val="22"/>
                <w:lang w:val="eu-ES" w:eastAsia="en-US" w:bidi="ar-SA"/>
              </w:rPr>
              <w:t xml:space="preserve">Emakumeen eta Gizonen Berdintasunerako </w:t>
            </w:r>
            <w:r>
              <w:rPr>
                <w:rStyle w:val="Fuentedeprrafopredeter1"/>
                <w:rFonts w:eastAsia="Calibri" w:cs="Arial" w:ascii="Arial" w:hAnsi="Arial"/>
                <w:kern w:val="2"/>
                <w:sz w:val="22"/>
                <w:szCs w:val="22"/>
                <w:lang w:val="eu-ES" w:eastAsia="en-US" w:bidi="ar-SA"/>
              </w:rPr>
              <w:t>eta Indarkeria Matxistarik gabeko Bizitzetarako Legearen testu bategina onartzen duen martxoaren 16ko 1/2023 Legegintzako Dekretua.</w:t>
            </w:r>
          </w:p>
        </w:tc>
        <w:tc>
          <w:tcPr>
            <w:tcW w:w="4276" w:type="dxa"/>
            <w:tcBorders>
              <w:top w:val="nil"/>
              <w:left w:val="nil"/>
              <w:bottom w:val="nil"/>
              <w:right w:val="nil"/>
            </w:tcBorders>
          </w:tcPr>
          <w:p>
            <w:pPr>
              <w:pStyle w:val="Testugorputza"/>
              <w:widowControl w:val="false"/>
              <w:numPr>
                <w:ilvl w:val="0"/>
                <w:numId w:val="1"/>
              </w:numPr>
              <w:suppressAutoHyphens w:val="true"/>
              <w:spacing w:lineRule="auto" w:line="276" w:before="0" w:after="160"/>
              <w:jc w:val="both"/>
              <w:rPr>
                <w:rStyle w:val="Fuentedeprrafopredeter1"/>
                <w:rFonts w:ascii="Arial" w:hAnsi="Arial" w:eastAsia="Arial" w:cs="Arial"/>
                <w:sz w:val="22"/>
                <w:szCs w:val="22"/>
                <w:lang w:val="es-ES"/>
              </w:rPr>
            </w:pPr>
            <w:r>
              <w:rPr>
                <w:rStyle w:val="Fuentedeprrafopredeter1"/>
                <w:rFonts w:eastAsia="Arial" w:cs="Arial" w:ascii="Arial" w:hAnsi="Arial"/>
                <w:kern w:val="2"/>
                <w:sz w:val="22"/>
                <w:szCs w:val="22"/>
                <w:lang w:val="es-ES" w:bidi="ar-SA"/>
              </w:rPr>
              <w:t>Decreto Legislativo 1/2023, de 16 de marzo, por el que se aprueba el texto refundido de la Ley para la Igualdad de Mujeres y Hombres y Vidas Libres de Violencia Machista contra las Mujeres.</w:t>
            </w:r>
          </w:p>
        </w:tc>
      </w:tr>
      <w:tr>
        <w:trPr/>
        <w:tc>
          <w:tcPr>
            <w:tcW w:w="4108" w:type="dxa"/>
            <w:tcBorders>
              <w:top w:val="nil"/>
              <w:left w:val="nil"/>
              <w:bottom w:val="nil"/>
              <w:right w:val="nil"/>
            </w:tcBorders>
          </w:tcPr>
          <w:p>
            <w:pPr>
              <w:pStyle w:val="ListParagraph"/>
              <w:widowControl w:val="false"/>
              <w:numPr>
                <w:ilvl w:val="0"/>
                <w:numId w:val="7"/>
              </w:numPr>
              <w:suppressAutoHyphens w:val="true"/>
              <w:spacing w:lineRule="auto" w:line="276" w:before="0" w:after="160"/>
              <w:contextualSpacing/>
              <w:jc w:val="both"/>
              <w:rPr>
                <w:rFonts w:ascii="Arial" w:hAnsi="Arial" w:eastAsia="Arial" w:cs="Arial"/>
                <w:lang w:val="es-ES"/>
              </w:rPr>
            </w:pPr>
            <w:r>
              <w:rPr>
                <w:rStyle w:val="Fuentedeprrafopredeter1"/>
                <w:rFonts w:eastAsia="Arial" w:cs="Arial" w:ascii="Arial" w:hAnsi="Arial"/>
                <w:kern w:val="2"/>
                <w:sz w:val="22"/>
                <w:szCs w:val="22"/>
                <w:lang w:val="es-ES" w:eastAsia="en-US" w:bidi="ar-SA"/>
              </w:rPr>
              <w:t>Dirulaguntzen Lege Orokorraren Erregelamendua, uztailaren 21eko 887/2006 Errege Dekretuaren bidez onartua.</w:t>
            </w:r>
          </w:p>
        </w:tc>
        <w:tc>
          <w:tcPr>
            <w:tcW w:w="4276" w:type="dxa"/>
            <w:tcBorders>
              <w:top w:val="nil"/>
              <w:left w:val="nil"/>
              <w:bottom w:val="nil"/>
              <w:right w:val="nil"/>
            </w:tcBorders>
          </w:tcPr>
          <w:p>
            <w:pPr>
              <w:pStyle w:val="Normal"/>
              <w:widowControl w:val="false"/>
              <w:numPr>
                <w:ilvl w:val="0"/>
                <w:numId w:val="1"/>
              </w:numPr>
              <w:suppressAutoHyphens w:val="true"/>
              <w:spacing w:lineRule="auto" w:line="276" w:before="0" w:after="160"/>
              <w:jc w:val="both"/>
              <w:rPr>
                <w:rStyle w:val="Fuentedeprrafopredeter1"/>
                <w:rFonts w:ascii="Arial" w:hAnsi="Arial" w:eastAsia="Arial" w:cs="Arial"/>
                <w:lang w:val="es-ES"/>
              </w:rPr>
            </w:pPr>
            <w:r>
              <w:rPr>
                <w:rStyle w:val="Fuentedeprrafopredeter1"/>
                <w:rFonts w:eastAsia="Arial" w:cs="Arial" w:ascii="Arial" w:hAnsi="Arial"/>
                <w:kern w:val="2"/>
                <w:sz w:val="22"/>
                <w:szCs w:val="22"/>
                <w:lang w:val="es-ES" w:eastAsia="en-US" w:bidi="ar-SA"/>
              </w:rPr>
              <w:t>Reglamento de la Ley General de Subvenciones, aprobado por Real Decreto 887/2006, de 21 de julio.</w:t>
            </w:r>
          </w:p>
        </w:tc>
      </w:tr>
      <w:tr>
        <w:trPr/>
        <w:tc>
          <w:tcPr>
            <w:tcW w:w="4108" w:type="dxa"/>
            <w:tcBorders>
              <w:top w:val="nil"/>
              <w:left w:val="nil"/>
              <w:bottom w:val="nil"/>
              <w:right w:val="nil"/>
            </w:tcBorders>
          </w:tcPr>
          <w:p>
            <w:pPr>
              <w:pStyle w:val="ListParagraph"/>
              <w:widowControl w:val="false"/>
              <w:numPr>
                <w:ilvl w:val="0"/>
                <w:numId w:val="7"/>
              </w:numPr>
              <w:suppressAutoHyphens w:val="true"/>
              <w:spacing w:lineRule="auto" w:line="276" w:before="0" w:after="160"/>
              <w:contextualSpacing/>
              <w:jc w:val="both"/>
              <w:rPr>
                <w:rFonts w:ascii="Arial" w:hAnsi="Arial" w:cs="Arial"/>
                <w:b/>
                <w:b/>
                <w:color w:val="000000"/>
                <w:spacing w:val="-3"/>
                <w:shd w:fill="FFFFFF" w:val="clear"/>
              </w:rPr>
            </w:pPr>
            <w:r>
              <w:rPr>
                <w:rStyle w:val="Fuentedeprrafopredeter1"/>
                <w:rFonts w:eastAsia="Arial" w:cs="Arial" w:ascii="Arial" w:hAnsi="Arial"/>
                <w:kern w:val="2"/>
                <w:sz w:val="22"/>
                <w:szCs w:val="22"/>
                <w:lang w:val="eu-ES" w:eastAsia="en-US" w:bidi="ar-SA"/>
              </w:rPr>
              <w:t>179/2019 Dekretua, azaroaren 19koa, Euskadiko toki-erakundeetan hizkuntza ofizialen erabilera instituzionala eta administratiboa normalizatzeari buruzkoa.</w:t>
            </w:r>
          </w:p>
        </w:tc>
        <w:tc>
          <w:tcPr>
            <w:tcW w:w="4276" w:type="dxa"/>
            <w:tcBorders>
              <w:top w:val="nil"/>
              <w:left w:val="nil"/>
              <w:bottom w:val="nil"/>
              <w:right w:val="nil"/>
            </w:tcBorders>
          </w:tcPr>
          <w:p>
            <w:pPr>
              <w:pStyle w:val="Normal"/>
              <w:widowControl w:val="false"/>
              <w:numPr>
                <w:ilvl w:val="0"/>
                <w:numId w:val="1"/>
              </w:numPr>
              <w:suppressAutoHyphens w:val="true"/>
              <w:spacing w:lineRule="auto" w:line="276" w:before="0" w:after="160"/>
              <w:jc w:val="both"/>
              <w:rPr>
                <w:rStyle w:val="Fuentedeprrafopredeter1"/>
                <w:rFonts w:ascii="Arial" w:hAnsi="Arial" w:eastAsia="Arial" w:cs="Arial"/>
                <w:lang w:val="es-ES"/>
              </w:rPr>
            </w:pPr>
            <w:r>
              <w:rPr>
                <w:rStyle w:val="Fuentedeprrafopredeter1"/>
                <w:rFonts w:eastAsia="Arial" w:cs="Arial" w:ascii="Arial" w:hAnsi="Arial"/>
                <w:kern w:val="2"/>
                <w:sz w:val="22"/>
                <w:szCs w:val="22"/>
                <w:lang w:val="es-ES" w:eastAsia="en-US" w:bidi="ar-SA"/>
              </w:rPr>
              <w:t>Decreto 179/2019, de 19 de noviembre, sobre normalización del uso institucional y administrativo de las lenguas oficiales en las instituciones locales de Euskadi.</w:t>
            </w:r>
          </w:p>
        </w:tc>
      </w:tr>
      <w:tr>
        <w:trPr/>
        <w:tc>
          <w:tcPr>
            <w:tcW w:w="4108" w:type="dxa"/>
            <w:tcBorders>
              <w:top w:val="nil"/>
              <w:left w:val="nil"/>
              <w:bottom w:val="nil"/>
              <w:right w:val="nil"/>
            </w:tcBorders>
          </w:tcPr>
          <w:p>
            <w:pPr>
              <w:pStyle w:val="ListParagraph"/>
              <w:widowControl w:val="false"/>
              <w:numPr>
                <w:ilvl w:val="0"/>
                <w:numId w:val="7"/>
              </w:numPr>
              <w:suppressAutoHyphens w:val="true"/>
              <w:spacing w:lineRule="auto" w:line="276" w:before="0" w:after="160"/>
              <w:contextualSpacing/>
              <w:jc w:val="both"/>
              <w:rPr>
                <w:rFonts w:ascii="Arial" w:hAnsi="Arial" w:cs="Arial"/>
                <w:b/>
                <w:b/>
                <w:color w:val="000000"/>
                <w:spacing w:val="-3"/>
                <w:shd w:fill="FFFFFF" w:val="clear"/>
                <w:lang w:val="es-ES"/>
              </w:rPr>
            </w:pPr>
            <w:r>
              <w:rPr>
                <w:rStyle w:val="Fuentedeprrafopredeter1"/>
                <w:rFonts w:eastAsia="Arial" w:cs="Arial" w:ascii="Arial" w:hAnsi="Arial"/>
                <w:kern w:val="2"/>
                <w:sz w:val="22"/>
                <w:szCs w:val="22"/>
                <w:lang w:val="es-ES" w:eastAsia="en-US" w:bidi="ar-SA"/>
              </w:rPr>
              <w:t>19/2024 Dekretua, otsailaren 22koa, Euskal Sektore Publikoan euskararen erabilera normalizatzekoa.</w:t>
            </w:r>
          </w:p>
        </w:tc>
        <w:tc>
          <w:tcPr>
            <w:tcW w:w="4276" w:type="dxa"/>
            <w:tcBorders>
              <w:top w:val="nil"/>
              <w:left w:val="nil"/>
              <w:bottom w:val="nil"/>
              <w:right w:val="nil"/>
            </w:tcBorders>
          </w:tcPr>
          <w:p>
            <w:pPr>
              <w:pStyle w:val="Normal"/>
              <w:widowControl w:val="false"/>
              <w:numPr>
                <w:ilvl w:val="0"/>
                <w:numId w:val="1"/>
              </w:numPr>
              <w:suppressAutoHyphens w:val="true"/>
              <w:spacing w:lineRule="auto" w:line="276" w:before="0" w:after="160"/>
              <w:jc w:val="both"/>
              <w:rPr>
                <w:rStyle w:val="Fuentedeprrafopredeter1"/>
                <w:rFonts w:ascii="Arial" w:hAnsi="Arial" w:eastAsia="Arial" w:cs="Arial"/>
                <w:lang w:val="es-ES"/>
              </w:rPr>
            </w:pPr>
            <w:r>
              <w:rPr>
                <w:rStyle w:val="Fuentedeprrafopredeter1"/>
                <w:rFonts w:eastAsia="Arial" w:cs="Arial" w:ascii="Arial" w:hAnsi="Arial"/>
                <w:kern w:val="2"/>
                <w:sz w:val="22"/>
                <w:szCs w:val="22"/>
                <w:lang w:val="es-ES" w:eastAsia="en-US" w:bidi="ar-SA"/>
              </w:rPr>
              <w:t>Decreto 19/2024, de 22 de febrero, de normalización del uso del euskera en el Sector Público Vasco</w:t>
            </w:r>
          </w:p>
        </w:tc>
      </w:tr>
      <w:tr>
        <w:trPr/>
        <w:tc>
          <w:tcPr>
            <w:tcW w:w="4108" w:type="dxa"/>
            <w:tcBorders>
              <w:top w:val="nil"/>
              <w:left w:val="nil"/>
              <w:bottom w:val="nil"/>
              <w:right w:val="nil"/>
            </w:tcBorders>
          </w:tcPr>
          <w:p>
            <w:pPr>
              <w:pStyle w:val="ListParagraph"/>
              <w:widowControl w:val="false"/>
              <w:numPr>
                <w:ilvl w:val="0"/>
                <w:numId w:val="7"/>
              </w:numPr>
              <w:suppressAutoHyphens w:val="true"/>
              <w:spacing w:lineRule="auto" w:line="276" w:before="0" w:after="160"/>
              <w:contextualSpacing/>
              <w:jc w:val="both"/>
              <w:rPr>
                <w:rFonts w:ascii="Arial" w:hAnsi="Arial" w:cs="Arial"/>
                <w:b/>
                <w:b/>
                <w:color w:val="000000"/>
                <w:spacing w:val="-3"/>
                <w:shd w:fill="FFFFFF" w:val="clear"/>
                <w:lang w:val="es-ES"/>
              </w:rPr>
            </w:pPr>
            <w:r>
              <w:rPr>
                <w:rStyle w:val="Fuentedeprrafopredeter1"/>
                <w:rFonts w:eastAsia="Arial" w:cs="Arial" w:ascii="Arial" w:hAnsi="Arial"/>
                <w:kern w:val="2"/>
                <w:sz w:val="22"/>
                <w:szCs w:val="22"/>
                <w:lang w:val="es-ES" w:eastAsia="en-US" w:bidi="ar-SA"/>
              </w:rPr>
              <w:t>Tolosako Udalaren Dirulaguntzen Ordenantza Orokorra.</w:t>
            </w:r>
          </w:p>
        </w:tc>
        <w:tc>
          <w:tcPr>
            <w:tcW w:w="4276" w:type="dxa"/>
            <w:tcBorders>
              <w:top w:val="nil"/>
              <w:left w:val="nil"/>
              <w:bottom w:val="nil"/>
              <w:right w:val="nil"/>
            </w:tcBorders>
          </w:tcPr>
          <w:p>
            <w:pPr>
              <w:pStyle w:val="Normal"/>
              <w:widowControl w:val="false"/>
              <w:numPr>
                <w:ilvl w:val="0"/>
                <w:numId w:val="1"/>
              </w:numPr>
              <w:suppressAutoHyphens w:val="true"/>
              <w:spacing w:lineRule="auto" w:line="276" w:before="0" w:after="160"/>
              <w:jc w:val="both"/>
              <w:rPr>
                <w:rStyle w:val="Fuentedeprrafopredeter1"/>
                <w:rFonts w:ascii="Arial" w:hAnsi="Arial" w:eastAsia="Arial" w:cs="Arial"/>
                <w:lang w:val="es-ES"/>
              </w:rPr>
            </w:pPr>
            <w:r>
              <w:rPr>
                <w:rStyle w:val="Fuentedeprrafopredeter1"/>
                <w:rFonts w:eastAsia="Arial" w:cs="Arial" w:ascii="Arial" w:hAnsi="Arial"/>
                <w:kern w:val="2"/>
                <w:sz w:val="22"/>
                <w:szCs w:val="22"/>
                <w:lang w:val="es-ES" w:eastAsia="en-US" w:bidi="ar-SA"/>
              </w:rPr>
              <w:t>Ordenanza General de Subvenciones del Ayuntamiento de Tolosa.</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center"/>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 xml:space="preserve">     </w:t>
            </w:r>
            <w:r>
              <w:rPr>
                <w:rFonts w:eastAsia="Calibri" w:cs="Arial" w:ascii="Arial" w:hAnsi="Arial"/>
                <w:b/>
                <w:color w:val="000000"/>
                <w:spacing w:val="-3"/>
                <w:kern w:val="2"/>
                <w:sz w:val="22"/>
                <w:szCs w:val="22"/>
                <w:shd w:fill="FFFFFF" w:val="clear"/>
                <w:lang w:val="es-ES" w:eastAsia="en-US" w:bidi="ar-SA"/>
              </w:rPr>
              <w:t>I. Eranskina: DEIALDIA</w:t>
            </w:r>
          </w:p>
        </w:tc>
        <w:tc>
          <w:tcPr>
            <w:tcW w:w="4276" w:type="dxa"/>
            <w:tcBorders>
              <w:top w:val="nil"/>
              <w:left w:val="nil"/>
              <w:bottom w:val="nil"/>
              <w:right w:val="nil"/>
            </w:tcBorders>
          </w:tcPr>
          <w:p>
            <w:pPr>
              <w:pStyle w:val="Normal"/>
              <w:widowControl w:val="false"/>
              <w:suppressAutoHyphens w:val="true"/>
              <w:spacing w:lineRule="auto" w:line="276" w:before="0" w:after="160"/>
              <w:jc w:val="center"/>
              <w:rPr>
                <w:rFonts w:ascii="Arial" w:hAnsi="Arial" w:cs="Arial"/>
                <w:b/>
                <w:b/>
                <w:lang w:val="es-ES"/>
              </w:rPr>
            </w:pPr>
            <w:r>
              <w:rPr>
                <w:rFonts w:eastAsia="Calibri" w:cs="Arial" w:ascii="Arial" w:hAnsi="Arial"/>
                <w:b/>
                <w:kern w:val="2"/>
                <w:sz w:val="22"/>
                <w:szCs w:val="22"/>
                <w:lang w:val="es-ES" w:eastAsia="en-US" w:bidi="ar-SA"/>
              </w:rPr>
              <w:t>Anexo I: CONVOCATORIA</w:t>
            </w:r>
          </w:p>
        </w:tc>
      </w:tr>
      <w:tr>
        <w:trPr/>
        <w:tc>
          <w:tcPr>
            <w:tcW w:w="4108" w:type="dxa"/>
            <w:tcBorders>
              <w:top w:val="nil"/>
              <w:left w:val="nil"/>
              <w:bottom w:val="nil"/>
              <w:right w:val="nil"/>
            </w:tcBorders>
          </w:tcPr>
          <w:p>
            <w:pPr>
              <w:pStyle w:val="ListParagraph"/>
              <w:widowControl w:val="false"/>
              <w:numPr>
                <w:ilvl w:val="0"/>
                <w:numId w:val="5"/>
              </w:numPr>
              <w:suppressAutoHyphens w:val="true"/>
              <w:spacing w:lineRule="auto" w:line="276" w:before="0" w:after="160"/>
              <w:contextualSpacing/>
              <w:jc w:val="both"/>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Xedea</w:t>
            </w:r>
          </w:p>
        </w:tc>
        <w:tc>
          <w:tcPr>
            <w:tcW w:w="4276" w:type="dxa"/>
            <w:tcBorders>
              <w:top w:val="nil"/>
              <w:left w:val="nil"/>
              <w:bottom w:val="nil"/>
              <w:right w:val="nil"/>
            </w:tcBorders>
          </w:tcPr>
          <w:p>
            <w:pPr>
              <w:pStyle w:val="ListParagraph"/>
              <w:widowControl w:val="false"/>
              <w:suppressAutoHyphens w:val="true"/>
              <w:spacing w:lineRule="auto" w:line="276" w:before="0" w:after="160"/>
              <w:ind w:left="0" w:hanging="0"/>
              <w:contextualSpacing/>
              <w:jc w:val="both"/>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1. Objeto</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omic Sans MS" w:cs="Arial"/>
                <w:spacing w:val="-3"/>
                <w:lang w:val="es-ES"/>
              </w:rPr>
            </w:pPr>
            <w:r>
              <w:rPr>
                <w:rFonts w:eastAsia="Comic Sans MS" w:cs="Arial" w:ascii="Arial" w:hAnsi="Arial"/>
                <w:spacing w:val="-3"/>
                <w:kern w:val="2"/>
                <w:sz w:val="22"/>
                <w:szCs w:val="22"/>
                <w:lang w:val="eu-ES" w:eastAsia="en-US" w:bidi="ar-SA"/>
              </w:rPr>
              <w:t xml:space="preserve">Deialdi honen xedea da dirulaguntza hauen berri ematea: Tolosako ikastetxeei edo guraso-elkarteei, eskola-kirola programaren barruan, lehia bidezko konkurrentziaren arabera ematen zaizkien dirulaguntzak. </w:t>
            </w:r>
            <w:r>
              <w:rPr>
                <w:rFonts w:eastAsia="Comic Sans MS" w:cs="Arial" w:ascii="Arial" w:hAnsi="Arial"/>
                <w:spacing w:val="-3"/>
                <w:kern w:val="2"/>
                <w:sz w:val="22"/>
                <w:szCs w:val="22"/>
                <w:lang w:val="es-ES" w:eastAsia="en-US" w:bidi="ar-SA"/>
              </w:rPr>
              <w:t xml:space="preserve">Bi atal daude: </w:t>
            </w:r>
          </w:p>
          <w:p>
            <w:pPr>
              <w:pStyle w:val="Normal"/>
              <w:widowControl w:val="false"/>
              <w:suppressAutoHyphens w:val="true"/>
              <w:spacing w:lineRule="auto" w:line="276" w:before="0" w:after="160"/>
              <w:jc w:val="both"/>
              <w:rPr>
                <w:rFonts w:ascii="Arial" w:hAnsi="Arial" w:eastAsia="Comic Sans MS" w:cs="Arial"/>
                <w:spacing w:val="-3"/>
                <w:lang w:val="es-ES"/>
              </w:rPr>
            </w:pPr>
            <w:r>
              <w:rPr>
                <w:rFonts w:eastAsia="Comic Sans MS" w:cs="Arial" w:ascii="Arial" w:hAnsi="Arial"/>
                <w:spacing w:val="-3"/>
                <w:kern w:val="2"/>
                <w:sz w:val="22"/>
                <w:szCs w:val="22"/>
                <w:lang w:val="es-ES" w:eastAsia="en-US" w:bidi="ar-SA"/>
              </w:rPr>
              <w:t xml:space="preserve">I. atala: eskola-kiroleko egitura espezifiko egonkorrak sortzeko eta garatzeko. </w:t>
            </w:r>
          </w:p>
          <w:p>
            <w:pPr>
              <w:pStyle w:val="Normal"/>
              <w:widowControl w:val="false"/>
              <w:suppressAutoHyphens w:val="true"/>
              <w:spacing w:lineRule="auto" w:line="276" w:before="0" w:after="160"/>
              <w:jc w:val="both"/>
              <w:rPr>
                <w:rFonts w:ascii="Arial" w:hAnsi="Arial" w:eastAsia="Comic Sans MS" w:cs="Arial"/>
                <w:spacing w:val="-3"/>
                <w:lang w:val="es-ES"/>
              </w:rPr>
            </w:pPr>
            <w:r>
              <w:rPr>
                <w:rFonts w:eastAsia="Comic Sans MS" w:cs="Arial" w:ascii="Arial" w:hAnsi="Arial"/>
                <w:spacing w:val="-3"/>
                <w:kern w:val="2"/>
                <w:sz w:val="22"/>
                <w:szCs w:val="22"/>
                <w:lang w:val="es-ES" w:eastAsia="en-US" w:bidi="ar-SA"/>
              </w:rPr>
              <w:t xml:space="preserve">II. atala: eskola-kirolaren esparruan eskola-orduetan egiten diren  eta onura dakarten jardueretarako garraio-gastuei aurre egiteko laguntzak. </w:t>
            </w:r>
          </w:p>
          <w:p>
            <w:pPr>
              <w:pStyle w:val="Normal"/>
              <w:widowControl w:val="false"/>
              <w:suppressAutoHyphens w:val="true"/>
              <w:spacing w:lineRule="auto" w:line="276" w:before="0" w:after="160"/>
              <w:jc w:val="both"/>
              <w:rPr>
                <w:rFonts w:ascii="Arial" w:hAnsi="Arial" w:eastAsia="Comic Sans MS" w:cs="Arial"/>
                <w:spacing w:val="-3"/>
                <w:lang w:val="es-ES"/>
              </w:rPr>
            </w:pPr>
            <w:r>
              <w:rPr>
                <w:rFonts w:ascii="Arial" w:hAnsi="Arial"/>
                <w:kern w:val="2"/>
                <w:sz w:val="22"/>
                <w:szCs w:val="22"/>
                <w:lang w:val="es-ES" w:eastAsia="en-US" w:bidi="ar-SA"/>
              </w:rPr>
              <w:t>Eskatzaile bakoitzak atal batean edo bietan parte hartu ahal izango du.</w:t>
            </w:r>
          </w:p>
          <w:p>
            <w:pPr>
              <w:pStyle w:val="Testugorputza"/>
              <w:widowControl w:val="false"/>
              <w:suppressAutoHyphens w:val="true"/>
              <w:spacing w:before="0" w:after="140"/>
              <w:jc w:val="left"/>
              <w:rPr>
                <w:rFonts w:ascii="Arial" w:hAnsi="Arial" w:eastAsia="Comic Sans MS" w:cs="Arial"/>
                <w:lang w:val="es-ES"/>
              </w:rPr>
            </w:pPr>
            <w:r>
              <w:rPr>
                <w:rFonts w:eastAsia="Comic Sans MS" w:cs="Arial" w:ascii="Arial" w:hAnsi="Arial"/>
                <w:lang w:val="es-ES"/>
              </w:rPr>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lang w:val="es-ES"/>
              </w:rPr>
            </w:pPr>
            <w:r>
              <w:rPr>
                <w:rFonts w:eastAsia="Calibri" w:cs="" w:ascii="Arial" w:hAnsi="Arial"/>
                <w:kern w:val="2"/>
                <w:sz w:val="22"/>
                <w:szCs w:val="22"/>
                <w:lang w:val="es-ES" w:eastAsia="en-US" w:bidi="ar-SA"/>
              </w:rPr>
              <w:t>El objeto de la presente convocatoria es dar a conocer las subvenciones, en régimen de concurrencia competitiva, para el programa de deporte escolar, a centros escolares de Tolosa o AMPAS, diferenciando dos apartados:</w:t>
            </w:r>
          </w:p>
          <w:p>
            <w:pPr>
              <w:pStyle w:val="Normal"/>
              <w:widowControl w:val="false"/>
              <w:suppressAutoHyphens w:val="true"/>
              <w:spacing w:lineRule="auto" w:line="276" w:before="0" w:after="160"/>
              <w:jc w:val="both"/>
              <w:rPr>
                <w:rFonts w:ascii="Arial" w:hAnsi="Arial" w:eastAsia="Calibri"/>
                <w:highlight w:val="yellow"/>
                <w:lang w:val="es-ES"/>
              </w:rPr>
            </w:pPr>
            <w:r>
              <w:rPr>
                <w:rFonts w:eastAsia="Calibri" w:cs="" w:ascii="Arial" w:hAnsi="Arial"/>
                <w:kern w:val="2"/>
                <w:sz w:val="22"/>
                <w:szCs w:val="22"/>
                <w:lang w:val="es-ES" w:eastAsia="en-US" w:bidi="ar-SA"/>
              </w:rPr>
              <w:t>Apartado I: ayudas a la creación y desarrollo de estructuras específicas de carácter estable para el deporte escolar.</w:t>
            </w:r>
          </w:p>
          <w:p>
            <w:pPr>
              <w:pStyle w:val="Normal"/>
              <w:widowControl w:val="false"/>
              <w:suppressAutoHyphens w:val="true"/>
              <w:spacing w:lineRule="auto" w:line="276" w:before="0" w:after="160"/>
              <w:jc w:val="both"/>
              <w:rPr>
                <w:rFonts w:eastAsia="Calibri"/>
                <w:lang w:val="es-ES"/>
              </w:rPr>
            </w:pPr>
            <w:r>
              <w:rPr>
                <w:rFonts w:eastAsia="Calibri" w:cs="" w:ascii="Arial" w:hAnsi="Arial"/>
                <w:kern w:val="2"/>
                <w:sz w:val="22"/>
                <w:szCs w:val="22"/>
                <w:lang w:val="es-ES" w:eastAsia="en-US" w:bidi="ar-SA"/>
              </w:rPr>
              <w:t xml:space="preserve">Apartado II: ayudas destinadas a cubrir los gastos de transporte de actividades de carácter utilitario en el marco del deporte escolar en horario lectivo. </w:t>
            </w:r>
          </w:p>
          <w:p>
            <w:pPr>
              <w:pStyle w:val="Normal"/>
              <w:widowControl w:val="false"/>
              <w:suppressAutoHyphens w:val="true"/>
              <w:spacing w:lineRule="auto" w:line="276" w:before="0" w:after="160"/>
              <w:jc w:val="both"/>
              <w:rPr>
                <w:rFonts w:eastAsia="Calibri"/>
                <w:lang w:val="es-ES"/>
              </w:rPr>
            </w:pPr>
            <w:r>
              <w:rPr>
                <w:rFonts w:eastAsia="Calibri" w:cs="" w:ascii="Arial" w:hAnsi="Arial"/>
                <w:kern w:val="2"/>
                <w:sz w:val="22"/>
                <w:szCs w:val="22"/>
                <w:lang w:val="es-ES" w:eastAsia="en-US" w:bidi="ar-SA"/>
              </w:rPr>
              <w:t>Cada solicitante podrá concurrir en uno o en los dos apartados indicados.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 xml:space="preserve">2. </w:t>
            </w:r>
            <w:r>
              <w:rPr>
                <w:rStyle w:val="Fuentedeprrafopredeter1"/>
                <w:rFonts w:eastAsia="Calibri" w:cs="Arial" w:ascii="Arial" w:hAnsi="Arial"/>
                <w:b/>
                <w:bCs/>
                <w:color w:val="000000"/>
                <w:spacing w:val="-3"/>
                <w:kern w:val="2"/>
                <w:sz w:val="22"/>
                <w:szCs w:val="22"/>
                <w:shd w:fill="FFFFFF" w:val="clear"/>
                <w:lang w:val="es-ES" w:eastAsia="en-US" w:bidi="ar-SA"/>
              </w:rPr>
              <w:t>Dirulaguntza egozten zaien kreditua eta aurrekontu-partida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color w:val="000000"/>
                <w:spacing w:val="-3"/>
                <w:shd w:fill="FFFFFF" w:val="clear"/>
                <w:lang w:val="es-ES"/>
              </w:rPr>
            </w:pPr>
            <w:r>
              <w:rPr>
                <w:rFonts w:eastAsia="Calibri" w:cs="Arial" w:ascii="Arial" w:hAnsi="Arial"/>
                <w:b/>
                <w:color w:val="000000"/>
                <w:spacing w:val="-3"/>
                <w:kern w:val="2"/>
                <w:sz w:val="22"/>
                <w:szCs w:val="22"/>
                <w:shd w:fill="FFFFFF" w:val="clear"/>
                <w:lang w:val="es-ES" w:eastAsia="en-US" w:bidi="ar-SA"/>
              </w:rPr>
              <w:t>2.  Crédito y partida presupuestaria a los que se imputa la subvención</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Arial" w:cs="Arial"/>
                <w:color w:val="000000"/>
                <w:spacing w:val="-3"/>
                <w:lang w:val="es-ES"/>
              </w:rPr>
            </w:pPr>
            <w:r>
              <w:rPr>
                <w:rStyle w:val="Fuentedeprrafopredeter1"/>
                <w:rFonts w:eastAsia="Arial" w:cs="Arial" w:ascii="Arial" w:hAnsi="Arial"/>
                <w:color w:val="000000"/>
                <w:spacing w:val="-3"/>
                <w:kern w:val="2"/>
                <w:sz w:val="22"/>
                <w:szCs w:val="22"/>
                <w:lang w:val="es-ES" w:eastAsia="en-US" w:bidi="ar-SA"/>
              </w:rPr>
              <w:t xml:space="preserve">Deialdi honetan emateko dirulaguntzen zenbateko osoa berrogeita hamar mila eurokoa izango da (50.000 euro), Tolosako Udalaren Aurrekontu Orokorren partida honen kargura:  </w:t>
            </w:r>
            <w:r>
              <w:rPr>
                <w:rStyle w:val="Fuentedeprrafopredeter1"/>
                <w:rFonts w:eastAsia="Calibri" w:cs="Arial" w:ascii="Arial" w:hAnsi="Arial"/>
                <w:bCs/>
                <w:color w:val="000000"/>
                <w:spacing w:val="-3"/>
                <w:kern w:val="2"/>
                <w:sz w:val="22"/>
                <w:szCs w:val="22"/>
                <w:lang w:val="es-ES" w:eastAsia="en-US" w:bidi="ar-SA"/>
              </w:rPr>
              <w:t xml:space="preserve">1000.481.02.34100 </w:t>
            </w:r>
            <w:r>
              <w:rPr>
                <w:rStyle w:val="Fuentedeprrafopredeter1"/>
                <w:rFonts w:eastAsia="Arial" w:cs="Arial" w:ascii="Arial" w:hAnsi="Arial"/>
                <w:color w:val="000000"/>
                <w:spacing w:val="-3"/>
                <w:kern w:val="2"/>
                <w:sz w:val="22"/>
                <w:szCs w:val="22"/>
                <w:lang w:val="es-ES" w:eastAsia="en-US" w:bidi="ar-SA"/>
              </w:rPr>
              <w:t>(2025)).</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Cs/>
                <w:color w:val="000000"/>
                <w:spacing w:val="-3"/>
                <w:shd w:fill="FFFFFF" w:val="clear"/>
                <w:lang w:val="es-ES"/>
              </w:rPr>
            </w:pPr>
            <w:r>
              <w:rPr>
                <w:rFonts w:eastAsia="Calibri" w:cs="Arial" w:ascii="Arial" w:hAnsi="Arial"/>
                <w:bCs/>
                <w:color w:val="000000"/>
                <w:spacing w:val="-3"/>
                <w:kern w:val="2"/>
                <w:sz w:val="22"/>
                <w:szCs w:val="22"/>
                <w:shd w:fill="FFFFFF" w:val="clear"/>
                <w:lang w:val="es-ES" w:eastAsia="en-US" w:bidi="ar-SA"/>
              </w:rPr>
              <w:t>La cuantía total de las subvenciones a conceder en esta convocatoria será de cincuenta mil euros (50.000 euros), con cargo a la siguiente partida de los Presupuestos Generales del Ayuntamiento de Tolosa: 1000.481.02.34100 (2025).</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Calibri" w:cs="Arial" w:ascii="Arial" w:hAnsi="Arial"/>
                <w:b/>
                <w:spacing w:val="-3"/>
                <w:kern w:val="2"/>
                <w:sz w:val="22"/>
                <w:szCs w:val="22"/>
                <w:shd w:fill="FFFFFF" w:val="clear"/>
                <w:lang w:val="eu-ES" w:eastAsia="en-US" w:bidi="ar-SA"/>
              </w:rPr>
              <w:t>3. Erakunde onuradunek dirulaguntza lortzeko bete behar dituzten baldintzak</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spacing w:val="-3"/>
                <w:lang w:val="es-ES"/>
              </w:rPr>
            </w:pPr>
            <w:r>
              <w:rPr>
                <w:rFonts w:eastAsia="Calibri" w:cs="Arial" w:ascii="Arial" w:hAnsi="Arial"/>
                <w:b/>
                <w:bCs/>
                <w:spacing w:val="-3"/>
                <w:kern w:val="2"/>
                <w:sz w:val="22"/>
                <w:szCs w:val="22"/>
                <w:lang w:val="es-ES" w:eastAsia="en-US" w:bidi="ar-SA"/>
              </w:rPr>
              <w:t>3. Requisitos que deben reunir las entidades beneficiarias para la obtención de la subvención</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lang w:val="es-ES"/>
              </w:rPr>
            </w:pPr>
            <w:r>
              <w:rPr>
                <w:rFonts w:eastAsia="Calibri" w:cs="Arial" w:ascii="Arial" w:hAnsi="Arial"/>
                <w:kern w:val="2"/>
                <w:sz w:val="22"/>
                <w:szCs w:val="22"/>
                <w:lang w:val="es-ES" w:eastAsia="en-US" w:bidi="ar-SA"/>
              </w:rPr>
              <w:t>Deialdi honetan argitaratzen diren oinarrien 4. atalean ezarritakoaren arabera.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spacing w:val="-3"/>
                <w:lang w:val="es-ES"/>
              </w:rPr>
            </w:pPr>
            <w:r>
              <w:rPr>
                <w:rFonts w:eastAsia="Calibri" w:cs="Arial" w:ascii="Arial" w:hAnsi="Arial"/>
                <w:kern w:val="2"/>
                <w:sz w:val="22"/>
                <w:szCs w:val="22"/>
                <w:lang w:val="es-ES" w:eastAsia="en-US" w:bidi="ar-SA"/>
              </w:rPr>
              <w:t>De conformidad con lo establecido en el apartado 4 de las bases que se publican en esta convocatoria.</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bCs/>
                <w:spacing w:val="-3"/>
                <w:shd w:fill="FFFFFF" w:val="clear"/>
                <w:lang w:val="es-ES"/>
              </w:rPr>
            </w:pPr>
            <w:r>
              <w:rPr>
                <w:rStyle w:val="Fuentedeprrafopredeter1"/>
                <w:rFonts w:eastAsia="Arial" w:cs="Arial" w:ascii="Arial" w:hAnsi="Arial"/>
                <w:b/>
                <w:bCs/>
                <w:kern w:val="2"/>
                <w:sz w:val="22"/>
                <w:szCs w:val="22"/>
                <w:lang w:val="es-ES" w:eastAsia="en-US" w:bidi="ar-SA"/>
              </w:rPr>
              <w:t>4. Eskaerak aurkezteko epea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spacing w:val="-3"/>
                <w:lang w:val="es-ES"/>
              </w:rPr>
            </w:pPr>
            <w:r>
              <w:rPr>
                <w:rStyle w:val="Fuentedeprrafopredeter1"/>
                <w:rFonts w:cs="Arial" w:ascii="Arial" w:hAnsi="Arial"/>
                <w:b/>
                <w:bCs/>
                <w:kern w:val="2"/>
                <w:sz w:val="22"/>
                <w:szCs w:val="22"/>
                <w:lang w:val="es-ES" w:eastAsia="en-US" w:bidi="ar-SA"/>
              </w:rPr>
              <w:t>4. Plazo de presentación de solicitudes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color w:val="000000"/>
              </w:rPr>
            </w:pPr>
            <w:r>
              <w:rPr>
                <w:rFonts w:eastAsia="Arial" w:cs="Arial" w:ascii="Arial" w:hAnsi="Arial"/>
                <w:color w:val="000000"/>
                <w:spacing w:val="-4"/>
                <w:kern w:val="2"/>
                <w:sz w:val="22"/>
                <w:szCs w:val="22"/>
                <w:lang w:val="eu-ES" w:eastAsia="en-US" w:bidi="ar-SA"/>
              </w:rPr>
              <w:t>Eskaerak aurkezteko epea 20 egun  naturalekoa izango da, deialdia Gipuzkoako Aldizkari Ofizialean argitaratu, eta hurrengo egunetik zenbatzen hasita.</w:t>
            </w:r>
          </w:p>
        </w:tc>
        <w:tc>
          <w:tcPr>
            <w:tcW w:w="4276" w:type="dxa"/>
            <w:tcBorders>
              <w:top w:val="nil"/>
              <w:left w:val="nil"/>
              <w:bottom w:val="nil"/>
              <w:right w:val="nil"/>
            </w:tcBorders>
          </w:tcPr>
          <w:p>
            <w:pPr>
              <w:pStyle w:val="Standard"/>
              <w:widowControl w:val="false"/>
              <w:suppressAutoHyphens w:val="true"/>
              <w:spacing w:lineRule="auto" w:line="276" w:before="0" w:after="0"/>
              <w:jc w:val="both"/>
              <w:rPr>
                <w:color w:val="000000"/>
                <w:lang w:val="es-ES"/>
              </w:rPr>
            </w:pPr>
            <w:r>
              <w:rPr>
                <w:rFonts w:cs="Arial" w:ascii="Arial" w:hAnsi="Arial"/>
                <w:color w:val="000000"/>
                <w:spacing w:val="-4"/>
                <w:kern w:val="2"/>
                <w:sz w:val="22"/>
                <w:szCs w:val="22"/>
                <w:lang w:val="es-ES" w:bidi="ar-SA"/>
              </w:rPr>
              <w:t>El plazo de presentación de solicitudes será de 20 días naturales a partir del día siguiente al de la publicación de la convocatoria en el Boletín Oficial de Gipuzkoa.</w:t>
            </w:r>
          </w:p>
          <w:p>
            <w:pPr>
              <w:pStyle w:val="Normal"/>
              <w:widowControl w:val="false"/>
              <w:suppressAutoHyphens w:val="true"/>
              <w:spacing w:lineRule="auto" w:line="276" w:before="0" w:after="160"/>
              <w:jc w:val="both"/>
              <w:rPr>
                <w:rFonts w:ascii="Arial" w:hAnsi="Arial" w:eastAsia="Calibri" w:cs="Arial"/>
                <w:b/>
                <w:b/>
                <w:bCs/>
                <w:color w:val="000000"/>
                <w:spacing w:val="-3"/>
                <w:lang w:val="es-ES"/>
              </w:rPr>
            </w:pPr>
            <w:r>
              <w:rPr>
                <w:rFonts w:eastAsia="Calibri" w:cs="Arial" w:ascii="Arial" w:hAnsi="Arial"/>
                <w:b/>
                <w:bCs/>
                <w:color w:val="000000"/>
                <w:spacing w:val="-3"/>
                <w:lang w:val="es-ES"/>
              </w:rPr>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lang w:val="en-GB"/>
              </w:rPr>
            </w:pPr>
            <w:r>
              <w:rPr>
                <w:rStyle w:val="Fuentedeprrafopredeter1"/>
                <w:rFonts w:eastAsia="Arial" w:cs="Arial" w:ascii="Arial" w:hAnsi="Arial"/>
                <w:b/>
                <w:bCs/>
                <w:color w:val="000000"/>
                <w:kern w:val="2"/>
                <w:sz w:val="22"/>
                <w:szCs w:val="22"/>
                <w:lang w:val="en-GB" w:eastAsia="en-US" w:bidi="ar-SA"/>
              </w:rPr>
              <w:t>5. Eskaerarekin batera aurkeztu beharreko dokumentazioa</w:t>
            </w:r>
          </w:p>
        </w:tc>
        <w:tc>
          <w:tcPr>
            <w:tcW w:w="4276" w:type="dxa"/>
            <w:tcBorders>
              <w:top w:val="nil"/>
              <w:left w:val="nil"/>
              <w:bottom w:val="nil"/>
              <w:right w:val="nil"/>
            </w:tcBorders>
          </w:tcPr>
          <w:p>
            <w:pPr>
              <w:pStyle w:val="Standard"/>
              <w:widowControl w:val="false"/>
              <w:suppressAutoHyphens w:val="true"/>
              <w:spacing w:lineRule="auto" w:line="276" w:before="0" w:after="0"/>
              <w:jc w:val="both"/>
              <w:rPr>
                <w:lang w:val="es-ES"/>
              </w:rPr>
            </w:pPr>
            <w:r>
              <w:rPr>
                <w:rStyle w:val="Fuentedeprrafopredeter1"/>
                <w:rFonts w:eastAsia="Arial" w:cs="Arial" w:ascii="Arial" w:hAnsi="Arial"/>
                <w:b/>
                <w:bCs/>
                <w:color w:val="000000"/>
                <w:kern w:val="2"/>
                <w:sz w:val="22"/>
                <w:szCs w:val="22"/>
                <w:lang w:val="es-ES" w:bidi="ar-SA"/>
              </w:rPr>
              <w:t xml:space="preserve">5. Documentación que acompañar a la solicitud </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lang w:val="es-ES"/>
              </w:rPr>
            </w:pPr>
            <w:r>
              <w:rPr>
                <w:rStyle w:val="Fuentedeprrafopredeter1"/>
                <w:rFonts w:eastAsia="Calibri" w:cs="Arial" w:ascii="Arial" w:hAnsi="Arial"/>
                <w:color w:val="000000"/>
                <w:kern w:val="2"/>
                <w:sz w:val="22"/>
                <w:szCs w:val="22"/>
                <w:lang w:val="es-ES" w:eastAsia="en-US" w:bidi="ar-SA"/>
              </w:rPr>
              <w:t>Deialdi honetan argitaratzen diren oinarrien 8. atalean ezarritakoaren arabera.</w:t>
            </w:r>
          </w:p>
        </w:tc>
        <w:tc>
          <w:tcPr>
            <w:tcW w:w="4276" w:type="dxa"/>
            <w:tcBorders>
              <w:top w:val="nil"/>
              <w:left w:val="nil"/>
              <w:bottom w:val="nil"/>
              <w:right w:val="nil"/>
            </w:tcBorders>
          </w:tcPr>
          <w:p>
            <w:pPr>
              <w:pStyle w:val="Standard"/>
              <w:widowControl w:val="false"/>
              <w:suppressAutoHyphens w:val="true"/>
              <w:spacing w:lineRule="auto" w:line="276" w:before="0" w:after="0"/>
              <w:jc w:val="both"/>
              <w:rPr>
                <w:lang w:val="es-ES"/>
              </w:rPr>
            </w:pPr>
            <w:r>
              <w:rPr>
                <w:rStyle w:val="Fuentedeprrafopredeter1"/>
                <w:rFonts w:cs="Arial" w:ascii="Arial" w:hAnsi="Arial"/>
                <w:color w:val="000000"/>
                <w:kern w:val="2"/>
                <w:sz w:val="22"/>
                <w:szCs w:val="22"/>
                <w:lang w:val="es-ES" w:bidi="ar-SA"/>
              </w:rPr>
              <w:t>De conformidad con lo establecido en el apartado 8 de las bases que se publican en esta convocatoria.</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color w:val="000000"/>
                <w:lang w:val="es-ES"/>
              </w:rPr>
            </w:pPr>
            <w:r>
              <w:rPr>
                <w:rFonts w:eastAsia="Calibri" w:cs="Arial" w:ascii="Arial" w:hAnsi="Arial"/>
                <w:b/>
                <w:color w:val="000000"/>
                <w:spacing w:val="-3"/>
                <w:kern w:val="2"/>
                <w:sz w:val="22"/>
                <w:szCs w:val="22"/>
                <w:lang w:val="es-ES" w:eastAsia="en-US" w:bidi="ar-SA"/>
              </w:rPr>
              <w:t>6. Balorazio-irizpideak</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color w:val="000000"/>
                <w:lang w:val="es-ES"/>
              </w:rPr>
            </w:pPr>
            <w:r>
              <w:rPr>
                <w:rFonts w:eastAsia="Calibri" w:cs="Arial" w:ascii="Arial" w:hAnsi="Arial"/>
                <w:b/>
                <w:bCs/>
                <w:color w:val="000000"/>
                <w:spacing w:val="-3"/>
                <w:kern w:val="2"/>
                <w:sz w:val="22"/>
                <w:szCs w:val="22"/>
                <w:lang w:val="es-ES" w:eastAsia="en-US" w:bidi="ar-SA"/>
              </w:rPr>
              <w:t>6. Criterios de valoración</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lang w:val="es-ES"/>
              </w:rPr>
            </w:pPr>
            <w:r>
              <w:rPr>
                <w:rStyle w:val="Fuentedeprrafopredeter1"/>
                <w:rFonts w:eastAsia="Calibri" w:cs="Arial" w:ascii="Arial" w:hAnsi="Arial"/>
                <w:color w:val="000000"/>
                <w:kern w:val="2"/>
                <w:sz w:val="22"/>
                <w:szCs w:val="22"/>
                <w:lang w:val="es-ES" w:eastAsia="en-US" w:bidi="ar-SA"/>
              </w:rPr>
              <w:t>Deialdi honetan argitaratzen diren oinarrien 11. artikuluan ezarritakoaren arabera.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lang w:val="es-ES"/>
              </w:rPr>
            </w:pPr>
            <w:r>
              <w:rPr>
                <w:rStyle w:val="Fuentedeprrafopredeter1"/>
                <w:rFonts w:eastAsia="Calibri" w:cs="Arial" w:ascii="Arial" w:hAnsi="Arial"/>
                <w:color w:val="000000"/>
                <w:kern w:val="2"/>
                <w:sz w:val="22"/>
                <w:szCs w:val="22"/>
                <w:lang w:val="es-ES" w:eastAsia="en-US" w:bidi="ar-SA"/>
              </w:rPr>
              <w:t>De conformidad con lo establecido en el apartado 11 de las bases que se publican en esta convocatoria.</w:t>
            </w:r>
          </w:p>
        </w:tc>
      </w:tr>
      <w:tr>
        <w:trPr/>
        <w:tc>
          <w:tcPr>
            <w:tcW w:w="4108" w:type="dxa"/>
            <w:tcBorders>
              <w:top w:val="nil"/>
              <w:left w:val="nil"/>
              <w:bottom w:val="nil"/>
              <w:right w:val="nil"/>
            </w:tcBorders>
          </w:tcPr>
          <w:p>
            <w:pPr>
              <w:pStyle w:val="Testugorputza"/>
              <w:widowControl w:val="false"/>
              <w:suppressAutoHyphens w:val="true"/>
              <w:spacing w:lineRule="auto" w:line="276" w:before="0" w:after="140"/>
              <w:jc w:val="both"/>
              <w:rPr>
                <w:rStyle w:val="Fuentedeprrafopredeter1"/>
                <w:rFonts w:ascii="Arial" w:hAnsi="Arial" w:eastAsia="Arial" w:cs="Arial"/>
                <w:b/>
                <w:b/>
                <w:bCs/>
                <w:kern w:val="2"/>
                <w:sz w:val="22"/>
                <w:szCs w:val="22"/>
                <w:lang w:val="es-ES"/>
              </w:rPr>
            </w:pPr>
            <w:r>
              <w:rPr>
                <w:rStyle w:val="Fuentedeprrafopredeter1"/>
                <w:rFonts w:eastAsia="Arial" w:cs="Arial" w:ascii="Arial" w:hAnsi="Arial"/>
                <w:b/>
                <w:bCs/>
                <w:kern w:val="2"/>
                <w:sz w:val="22"/>
                <w:szCs w:val="22"/>
                <w:lang w:val="es-ES" w:bidi="ar-SA"/>
              </w:rPr>
              <w:t>7. Proiektuak egikaritzeko-epea</w:t>
            </w:r>
          </w:p>
        </w:tc>
        <w:tc>
          <w:tcPr>
            <w:tcW w:w="4276" w:type="dxa"/>
            <w:tcBorders>
              <w:top w:val="nil"/>
              <w:left w:val="nil"/>
              <w:bottom w:val="nil"/>
              <w:right w:val="nil"/>
            </w:tcBorders>
          </w:tcPr>
          <w:p>
            <w:pPr>
              <w:pStyle w:val="Standard"/>
              <w:widowControl w:val="false"/>
              <w:suppressAutoHyphens w:val="true"/>
              <w:spacing w:lineRule="auto" w:line="276" w:before="0" w:after="140"/>
              <w:ind w:right="113" w:hanging="0"/>
              <w:jc w:val="both"/>
              <w:rPr>
                <w:rStyle w:val="Fuentedeprrafopredeter1"/>
                <w:rFonts w:ascii="Arial" w:hAnsi="Arial" w:eastAsia="Arial" w:cs="Arial"/>
                <w:b/>
                <w:b/>
                <w:bCs/>
                <w:sz w:val="22"/>
                <w:lang w:val="es-ES"/>
              </w:rPr>
            </w:pPr>
            <w:r>
              <w:rPr>
                <w:rStyle w:val="Fuentedeprrafopredeter1"/>
                <w:rFonts w:cs="Arial" w:ascii="Arial" w:hAnsi="Arial"/>
                <w:b/>
                <w:bCs/>
                <w:kern w:val="2"/>
                <w:sz w:val="22"/>
                <w:szCs w:val="22"/>
                <w:lang w:val="es-ES" w:bidi="ar-SA"/>
              </w:rPr>
              <w:t>7. Plazo de ejecución de los proyectos</w:t>
            </w:r>
          </w:p>
        </w:tc>
      </w:tr>
      <w:tr>
        <w:trPr/>
        <w:tc>
          <w:tcPr>
            <w:tcW w:w="4108" w:type="dxa"/>
            <w:tcBorders>
              <w:top w:val="nil"/>
              <w:left w:val="nil"/>
              <w:bottom w:val="nil"/>
              <w:right w:val="nil"/>
            </w:tcBorders>
          </w:tcPr>
          <w:p>
            <w:pPr>
              <w:pStyle w:val="Testugorputza"/>
              <w:widowControl w:val="false"/>
              <w:suppressAutoHyphens w:val="true"/>
              <w:spacing w:lineRule="auto" w:line="276" w:before="0" w:after="140"/>
              <w:jc w:val="both"/>
              <w:rPr>
                <w:lang w:val="es-ES"/>
              </w:rPr>
            </w:pPr>
            <w:r>
              <w:rPr>
                <w:rFonts w:cs="Arial" w:ascii="Arial" w:hAnsi="Arial"/>
                <w:sz w:val="22"/>
                <w:szCs w:val="22"/>
                <w:lang w:val="es-ES" w:bidi="ar-SA"/>
              </w:rPr>
              <w:t xml:space="preserve">Dirulaguntzaren xede diren jarduketak </w:t>
            </w:r>
            <w:r>
              <w:rPr>
                <w:rFonts w:cs="Arial" w:ascii="Arial" w:hAnsi="Arial"/>
                <w:b/>
                <w:bCs/>
                <w:sz w:val="22"/>
                <w:szCs w:val="22"/>
                <w:lang w:val="es-ES" w:bidi="ar-SA"/>
              </w:rPr>
              <w:t xml:space="preserve">2024ko irailaren 1etik 2025eko uztailaren 15era </w:t>
            </w:r>
            <w:r>
              <w:rPr>
                <w:rFonts w:cs="Arial" w:ascii="Arial" w:hAnsi="Arial"/>
                <w:sz w:val="22"/>
                <w:szCs w:val="22"/>
                <w:lang w:val="es-ES" w:bidi="ar-SA"/>
              </w:rPr>
              <w:t>bitartean egingo dira.</w:t>
            </w:r>
          </w:p>
        </w:tc>
        <w:tc>
          <w:tcPr>
            <w:tcW w:w="4276" w:type="dxa"/>
            <w:tcBorders>
              <w:top w:val="nil"/>
              <w:left w:val="nil"/>
              <w:bottom w:val="nil"/>
              <w:right w:val="nil"/>
            </w:tcBorders>
          </w:tcPr>
          <w:p>
            <w:pPr>
              <w:pStyle w:val="Testugorputza"/>
              <w:widowControl w:val="false"/>
              <w:suppressAutoHyphens w:val="true"/>
              <w:spacing w:lineRule="auto" w:line="276" w:before="0" w:after="140"/>
              <w:jc w:val="both"/>
              <w:rPr>
                <w:rStyle w:val="Fuentedeprrafopredeter1"/>
                <w:lang w:val="es-ES"/>
              </w:rPr>
            </w:pPr>
            <w:r>
              <w:rPr>
                <w:rFonts w:cs="Arial" w:ascii="Arial" w:hAnsi="Arial"/>
                <w:sz w:val="22"/>
                <w:szCs w:val="22"/>
                <w:lang w:val="es-ES" w:bidi="ar-SA"/>
              </w:rPr>
              <w:t xml:space="preserve">Las actuaciones objeto de subvención se realizarán entre </w:t>
            </w:r>
            <w:r>
              <w:rPr>
                <w:rFonts w:cs="Arial" w:ascii="Arial" w:hAnsi="Arial"/>
                <w:b/>
                <w:bCs/>
                <w:sz w:val="22"/>
                <w:szCs w:val="22"/>
                <w:lang w:val="es-ES" w:bidi="ar-SA"/>
              </w:rPr>
              <w:t>el 1 de septiembre de 2024 y el 15 de julio de 2025.</w:t>
            </w:r>
          </w:p>
        </w:tc>
      </w:tr>
      <w:tr>
        <w:trPr>
          <w:trHeight w:val="1220" w:hRule="atLeast"/>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lang w:val="es-ES"/>
              </w:rPr>
            </w:pPr>
            <w:r>
              <w:rPr>
                <w:rFonts w:eastAsia="Calibri" w:cs="Arial" w:ascii="Arial" w:hAnsi="Arial"/>
                <w:b/>
                <w:spacing w:val="-3"/>
                <w:kern w:val="2"/>
                <w:sz w:val="22"/>
                <w:szCs w:val="22"/>
                <w:shd w:fill="FFFFFF" w:val="clear"/>
                <w:lang w:val="es-ES" w:eastAsia="en-US" w:bidi="ar-SA"/>
              </w:rPr>
              <w:t xml:space="preserve">8. </w:t>
            </w:r>
            <w:r>
              <w:rPr>
                <w:rFonts w:eastAsia="Calibri" w:cs="Arial" w:ascii="Arial" w:hAnsi="Arial"/>
                <w:b/>
                <w:bCs/>
                <w:kern w:val="2"/>
                <w:sz w:val="22"/>
                <w:szCs w:val="22"/>
                <w:lang w:val="es-ES" w:eastAsia="en-US" w:bidi="ar-SA"/>
              </w:rPr>
              <w:t>Prozedura antolatu, izapidetu eta ebazteko eskumena duten organoak</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spacing w:val="-3"/>
                <w:shd w:fill="FFFFFF" w:val="clear"/>
                <w:lang w:val="es-ES"/>
              </w:rPr>
            </w:pPr>
            <w:r>
              <w:rPr>
                <w:rFonts w:eastAsia="Calibri" w:cs="Arial" w:ascii="Arial" w:hAnsi="Arial"/>
                <w:b/>
                <w:bCs/>
                <w:spacing w:val="-3"/>
                <w:kern w:val="2"/>
                <w:sz w:val="22"/>
                <w:szCs w:val="22"/>
                <w:shd w:fill="FFFFFF" w:val="clear"/>
                <w:lang w:val="es-ES" w:eastAsia="en-US" w:bidi="ar-SA"/>
              </w:rPr>
              <w:t>8. Órganos competentes para la ordenación, instrucción y resolución del procedimiento</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lang w:val="es-ES"/>
              </w:rPr>
            </w:pPr>
            <w:r>
              <w:rPr>
                <w:rFonts w:eastAsia="Arial" w:cs="Arial" w:ascii="Arial" w:hAnsi="Arial"/>
                <w:kern w:val="2"/>
                <w:sz w:val="22"/>
                <w:szCs w:val="22"/>
                <w:lang w:val="es-ES" w:eastAsia="en-US" w:bidi="ar-SA"/>
              </w:rPr>
              <w:t>Kirolak Sailak sustatuko du prozeduraren instrukzioa.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lang w:val="es-ES"/>
              </w:rPr>
            </w:pPr>
            <w:r>
              <w:rPr>
                <w:rFonts w:eastAsia="Calibri" w:cs="Arial" w:ascii="Arial" w:hAnsi="Arial"/>
                <w:kern w:val="2"/>
                <w:sz w:val="22"/>
                <w:szCs w:val="22"/>
                <w:lang w:val="es-ES" w:eastAsia="en-US" w:bidi="ar-SA"/>
              </w:rPr>
              <w:t>La instrucción del procedimiento será promovida por el Área de Deportes.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Arial" w:cs="Arial" w:ascii="Arial" w:hAnsi="Arial"/>
                <w:kern w:val="2"/>
                <w:sz w:val="22"/>
                <w:szCs w:val="22"/>
                <w:lang w:val="eu-ES" w:eastAsia="en-US" w:bidi="ar-SA"/>
              </w:rPr>
              <w:t>Sail horri dagokio eskaeren balorazioa egitea, txosten teknikoa eginda.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spacing w:val="-3"/>
                <w:shd w:fill="FFFFFF" w:val="clear"/>
                <w:lang w:val="es-ES"/>
              </w:rPr>
            </w:pPr>
            <w:r>
              <w:rPr>
                <w:rFonts w:eastAsia="Calibri" w:cs="Arial" w:ascii="Arial" w:hAnsi="Arial"/>
                <w:spacing w:val="-3"/>
                <w:kern w:val="2"/>
                <w:sz w:val="22"/>
                <w:szCs w:val="22"/>
                <w:shd w:fill="FFFFFF" w:val="clear"/>
                <w:lang w:val="es-ES" w:eastAsia="en-US" w:bidi="ar-SA"/>
              </w:rPr>
              <w:t>Corresponde a dicha Área la valoración de las solicitudes mediante la emisión del correspondiente informe técnico.</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Arial" w:cs="Arial" w:ascii="Arial" w:hAnsi="Arial"/>
                <w:kern w:val="2"/>
                <w:sz w:val="22"/>
                <w:szCs w:val="22"/>
                <w:lang w:val="eu-ES" w:eastAsia="en-US" w:bidi="ar-SA"/>
              </w:rPr>
              <w:t>Dirulaguntza emateko proposamena Balorazio Batzordeari igorriko zaio, hark dagokion txostena egin dezan.</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spacing w:val="-3"/>
                <w:shd w:fill="FFFFFF" w:val="clear"/>
                <w:lang w:val="es-ES"/>
              </w:rPr>
            </w:pPr>
            <w:r>
              <w:rPr>
                <w:rFonts w:eastAsia="Calibri" w:cs="Arial" w:ascii="Arial" w:hAnsi="Arial"/>
                <w:spacing w:val="-3"/>
                <w:kern w:val="2"/>
                <w:sz w:val="22"/>
                <w:szCs w:val="22"/>
                <w:shd w:fill="FFFFFF" w:val="clear"/>
                <w:lang w:val="es-ES" w:eastAsia="en-US" w:bidi="ar-SA"/>
              </w:rPr>
              <w:t>La propuesta de la concesi</w:t>
            </w:r>
            <w:r>
              <w:rPr>
                <w:rFonts w:eastAsia="Calibri" w:cs="Arial" w:ascii="Arial" w:hAnsi="Arial"/>
                <w:kern w:val="2"/>
                <w:sz w:val="22"/>
                <w:szCs w:val="22"/>
                <w:lang w:val="es-ES" w:eastAsia="en-US" w:bidi="ar-SA"/>
              </w:rPr>
              <w:t>ón se elevará a la Comisión de Valoración Ciudadanía para emitir su correspondiente informe.</w:t>
            </w:r>
          </w:p>
        </w:tc>
      </w:tr>
      <w:tr>
        <w:trPr/>
        <w:tc>
          <w:tcPr>
            <w:tcW w:w="4108" w:type="dxa"/>
            <w:tcBorders>
              <w:top w:val="nil"/>
              <w:left w:val="nil"/>
              <w:bottom w:val="nil"/>
              <w:right w:val="nil"/>
            </w:tcBorders>
          </w:tcPr>
          <w:p>
            <w:pPr>
              <w:pStyle w:val="Testugorputza"/>
              <w:widowControl w:val="false"/>
              <w:suppressAutoHyphens w:val="true"/>
              <w:spacing w:lineRule="auto" w:line="276" w:before="0" w:after="140"/>
              <w:jc w:val="both"/>
              <w:rPr>
                <w:rFonts w:ascii="Arial" w:hAnsi="Arial" w:cs="Arial"/>
                <w:sz w:val="22"/>
                <w:szCs w:val="22"/>
              </w:rPr>
            </w:pPr>
            <w:r>
              <w:rPr>
                <w:rFonts w:eastAsia="Arial" w:cs="Arial" w:ascii="Arial" w:hAnsi="Arial"/>
                <w:sz w:val="22"/>
                <w:szCs w:val="22"/>
                <w:lang w:val="eu-ES" w:bidi="ar-SA"/>
              </w:rPr>
              <w:t>Honako kide hauek osatuko dute Balorazio Batzorde hori, eta emakumeen eta gizonen presentzia orekatua bermatuko da, bestelakorik justifikatu ezean:</w:t>
            </w:r>
          </w:p>
        </w:tc>
        <w:tc>
          <w:tcPr>
            <w:tcW w:w="4276" w:type="dxa"/>
            <w:tcBorders>
              <w:top w:val="nil"/>
              <w:left w:val="nil"/>
              <w:bottom w:val="nil"/>
              <w:right w:val="nil"/>
            </w:tcBorders>
          </w:tcPr>
          <w:p>
            <w:pPr>
              <w:pStyle w:val="Normal"/>
              <w:widowControl w:val="false"/>
              <w:suppressAutoHyphens w:val="true"/>
              <w:spacing w:lineRule="auto" w:line="276" w:before="0" w:after="140"/>
              <w:jc w:val="both"/>
              <w:rPr>
                <w:rFonts w:ascii="Arial" w:hAnsi="Arial" w:cs="Arial"/>
                <w:spacing w:val="-3"/>
                <w:shd w:fill="FFFFFF" w:val="clear"/>
                <w:lang w:val="es-ES"/>
              </w:rPr>
            </w:pPr>
            <w:r>
              <w:rPr>
                <w:rFonts w:eastAsia="Calibri" w:cs="Arial" w:ascii="Arial" w:hAnsi="Arial"/>
                <w:kern w:val="2"/>
                <w:sz w:val="22"/>
                <w:szCs w:val="22"/>
                <w:lang w:val="es-ES" w:eastAsia="en-US" w:bidi="ar-SA"/>
              </w:rPr>
              <w:t>Dicha Comisión de Valoración estará compuesta por los/las siguientes integrantes, garantizándose una presencia equilibrada de mujeres y hombres en su composición, salvo justificación en contrario:</w:t>
            </w:r>
          </w:p>
        </w:tc>
      </w:tr>
      <w:tr>
        <w:trPr/>
        <w:tc>
          <w:tcPr>
            <w:tcW w:w="4108" w:type="dxa"/>
            <w:tcBorders>
              <w:top w:val="nil"/>
              <w:left w:val="nil"/>
              <w:bottom w:val="nil"/>
              <w:right w:val="nil"/>
            </w:tcBorders>
          </w:tcPr>
          <w:p>
            <w:pPr>
              <w:pStyle w:val="Testugorputza"/>
              <w:widowControl w:val="false"/>
              <w:numPr>
                <w:ilvl w:val="0"/>
                <w:numId w:val="12"/>
              </w:numPr>
              <w:suppressAutoHyphens w:val="true"/>
              <w:spacing w:lineRule="auto" w:line="276" w:before="0" w:after="140"/>
              <w:jc w:val="both"/>
              <w:rPr>
                <w:rFonts w:ascii="Arial" w:hAnsi="Arial" w:cs="Arial"/>
                <w:sz w:val="22"/>
                <w:szCs w:val="22"/>
                <w:lang w:val="es-ES"/>
              </w:rPr>
            </w:pPr>
            <w:r>
              <w:rPr>
                <w:rFonts w:eastAsia="Arial" w:cs="Arial" w:ascii="Arial" w:hAnsi="Arial"/>
                <w:sz w:val="22"/>
                <w:szCs w:val="22"/>
                <w:lang w:val="es-ES" w:bidi="ar-SA"/>
              </w:rPr>
              <w:t>Kontu-hartzailea edo teknikaria.</w:t>
            </w:r>
          </w:p>
        </w:tc>
        <w:tc>
          <w:tcPr>
            <w:tcW w:w="4276" w:type="dxa"/>
            <w:tcBorders>
              <w:top w:val="nil"/>
              <w:left w:val="nil"/>
              <w:bottom w:val="nil"/>
              <w:right w:val="nil"/>
            </w:tcBorders>
          </w:tcPr>
          <w:p>
            <w:pPr>
              <w:pStyle w:val="Testugorputza"/>
              <w:widowControl w:val="false"/>
              <w:numPr>
                <w:ilvl w:val="0"/>
                <w:numId w:val="13"/>
              </w:numPr>
              <w:suppressAutoHyphens w:val="true"/>
              <w:spacing w:lineRule="auto" w:line="276" w:before="0" w:after="140"/>
              <w:jc w:val="both"/>
              <w:rPr>
                <w:lang w:val="es-ES"/>
              </w:rPr>
            </w:pPr>
            <w:r>
              <w:rPr>
                <w:rFonts w:cs="Arial" w:ascii="Arial" w:hAnsi="Arial"/>
                <w:sz w:val="22"/>
                <w:szCs w:val="22"/>
                <w:lang w:val="es-ES" w:bidi="ar-SA"/>
              </w:rPr>
              <w:t>El/La interventor/a o el/la técnico/a.</w:t>
            </w:r>
          </w:p>
        </w:tc>
      </w:tr>
      <w:tr>
        <w:trPr/>
        <w:tc>
          <w:tcPr>
            <w:tcW w:w="4108" w:type="dxa"/>
            <w:tcBorders>
              <w:top w:val="nil"/>
              <w:left w:val="nil"/>
              <w:bottom w:val="nil"/>
              <w:right w:val="nil"/>
            </w:tcBorders>
          </w:tcPr>
          <w:p>
            <w:pPr>
              <w:pStyle w:val="Testugorputza"/>
              <w:widowControl w:val="false"/>
              <w:numPr>
                <w:ilvl w:val="0"/>
                <w:numId w:val="12"/>
              </w:numPr>
              <w:suppressAutoHyphens w:val="true"/>
              <w:spacing w:lineRule="auto" w:line="276" w:before="0" w:after="140"/>
              <w:jc w:val="both"/>
              <w:rPr>
                <w:rFonts w:ascii="Arial" w:hAnsi="Arial" w:cs="Arial"/>
                <w:sz w:val="22"/>
                <w:szCs w:val="22"/>
                <w:lang w:val="es-ES"/>
              </w:rPr>
            </w:pPr>
            <w:r>
              <w:rPr>
                <w:rFonts w:eastAsia="Arial" w:cs="Arial" w:ascii="Arial" w:hAnsi="Arial"/>
                <w:sz w:val="22"/>
                <w:szCs w:val="22"/>
                <w:lang w:val="es-ES" w:bidi="ar-SA"/>
              </w:rPr>
              <w:t>Saileko teknikaria.</w:t>
            </w:r>
          </w:p>
        </w:tc>
        <w:tc>
          <w:tcPr>
            <w:tcW w:w="4276" w:type="dxa"/>
            <w:tcBorders>
              <w:top w:val="nil"/>
              <w:left w:val="nil"/>
              <w:bottom w:val="nil"/>
              <w:right w:val="nil"/>
            </w:tcBorders>
          </w:tcPr>
          <w:p>
            <w:pPr>
              <w:pStyle w:val="Testugorputza"/>
              <w:widowControl w:val="false"/>
              <w:numPr>
                <w:ilvl w:val="0"/>
                <w:numId w:val="13"/>
              </w:numPr>
              <w:suppressAutoHyphens w:val="true"/>
              <w:spacing w:lineRule="auto" w:line="276" w:before="0" w:after="140"/>
              <w:jc w:val="both"/>
              <w:rPr>
                <w:lang w:val="es-ES"/>
              </w:rPr>
            </w:pPr>
            <w:r>
              <w:rPr>
                <w:rFonts w:cs="Arial" w:ascii="Arial" w:hAnsi="Arial"/>
                <w:sz w:val="22"/>
                <w:szCs w:val="22"/>
                <w:lang w:val="es-ES" w:bidi="ar-SA"/>
              </w:rPr>
              <w:t>El/La técnico/a del Área.</w:t>
            </w:r>
          </w:p>
        </w:tc>
      </w:tr>
      <w:tr>
        <w:trPr/>
        <w:tc>
          <w:tcPr>
            <w:tcW w:w="4108" w:type="dxa"/>
            <w:tcBorders>
              <w:top w:val="nil"/>
              <w:left w:val="nil"/>
              <w:bottom w:val="nil"/>
              <w:right w:val="nil"/>
            </w:tcBorders>
          </w:tcPr>
          <w:p>
            <w:pPr>
              <w:pStyle w:val="Testugorputza"/>
              <w:widowControl w:val="false"/>
              <w:numPr>
                <w:ilvl w:val="0"/>
                <w:numId w:val="12"/>
              </w:numPr>
              <w:suppressAutoHyphens w:val="true"/>
              <w:spacing w:lineRule="auto" w:line="276" w:before="0" w:after="140"/>
              <w:jc w:val="both"/>
              <w:rPr>
                <w:rFonts w:ascii="Arial" w:hAnsi="Arial" w:cs="Arial"/>
                <w:sz w:val="22"/>
                <w:szCs w:val="22"/>
                <w:lang w:val="es-ES"/>
              </w:rPr>
            </w:pPr>
            <w:r>
              <w:rPr>
                <w:rFonts w:eastAsia="Arial" w:cs="Arial" w:ascii="Arial" w:hAnsi="Arial"/>
                <w:sz w:val="22"/>
                <w:szCs w:val="22"/>
                <w:lang w:val="es-ES" w:bidi="ar-SA"/>
              </w:rPr>
              <w:t>Saileko zinegotzia.</w:t>
            </w:r>
          </w:p>
        </w:tc>
        <w:tc>
          <w:tcPr>
            <w:tcW w:w="4276" w:type="dxa"/>
            <w:tcBorders>
              <w:top w:val="nil"/>
              <w:left w:val="nil"/>
              <w:bottom w:val="nil"/>
              <w:right w:val="nil"/>
            </w:tcBorders>
          </w:tcPr>
          <w:p>
            <w:pPr>
              <w:pStyle w:val="Testugorputza"/>
              <w:widowControl w:val="false"/>
              <w:numPr>
                <w:ilvl w:val="0"/>
                <w:numId w:val="13"/>
              </w:numPr>
              <w:suppressAutoHyphens w:val="true"/>
              <w:spacing w:lineRule="auto" w:line="276" w:before="0" w:after="140"/>
              <w:jc w:val="both"/>
              <w:rPr>
                <w:lang w:val="es-ES"/>
              </w:rPr>
            </w:pPr>
            <w:r>
              <w:rPr>
                <w:rFonts w:cs="Arial" w:ascii="Arial" w:hAnsi="Arial"/>
                <w:sz w:val="22"/>
                <w:szCs w:val="22"/>
                <w:lang w:val="es-ES" w:bidi="ar-SA"/>
              </w:rPr>
              <w:t>El/La concejal/a del Área.</w:t>
            </w:r>
          </w:p>
        </w:tc>
      </w:tr>
      <w:tr>
        <w:trPr/>
        <w:tc>
          <w:tcPr>
            <w:tcW w:w="4108" w:type="dxa"/>
            <w:tcBorders>
              <w:top w:val="nil"/>
              <w:left w:val="nil"/>
              <w:bottom w:val="nil"/>
              <w:right w:val="nil"/>
            </w:tcBorders>
          </w:tcPr>
          <w:p>
            <w:pPr>
              <w:pStyle w:val="Testugorputza"/>
              <w:widowControl w:val="false"/>
              <w:numPr>
                <w:ilvl w:val="0"/>
                <w:numId w:val="12"/>
              </w:numPr>
              <w:suppressAutoHyphens w:val="true"/>
              <w:spacing w:lineRule="auto" w:line="276" w:before="0" w:after="140"/>
              <w:jc w:val="both"/>
              <w:rPr>
                <w:rFonts w:ascii="Arial" w:hAnsi="Arial" w:eastAsia="Arial" w:cs="Arial"/>
                <w:sz w:val="22"/>
                <w:szCs w:val="22"/>
                <w:lang w:val="es-ES"/>
              </w:rPr>
            </w:pPr>
            <w:r>
              <w:rPr>
                <w:rFonts w:eastAsia="Arial" w:cs="Arial" w:ascii="Arial" w:hAnsi="Arial"/>
                <w:sz w:val="22"/>
                <w:szCs w:val="22"/>
                <w:lang w:val="es-ES" w:bidi="ar-SA"/>
              </w:rPr>
              <w:t>Idazkaritza Saileko AOT bat.</w:t>
            </w:r>
          </w:p>
        </w:tc>
        <w:tc>
          <w:tcPr>
            <w:tcW w:w="4276" w:type="dxa"/>
            <w:tcBorders>
              <w:top w:val="nil"/>
              <w:left w:val="nil"/>
              <w:bottom w:val="nil"/>
              <w:right w:val="nil"/>
            </w:tcBorders>
          </w:tcPr>
          <w:p>
            <w:pPr>
              <w:pStyle w:val="ListParagraph"/>
              <w:widowControl w:val="false"/>
              <w:numPr>
                <w:ilvl w:val="0"/>
                <w:numId w:val="13"/>
              </w:numPr>
              <w:suppressAutoHyphens w:val="true"/>
              <w:spacing w:lineRule="auto" w:line="276" w:before="0" w:after="140"/>
              <w:contextualSpacing/>
              <w:jc w:val="both"/>
              <w:rPr>
                <w:rFonts w:ascii="Arial" w:hAnsi="Arial" w:cs="Arial"/>
                <w:spacing w:val="-3"/>
                <w:shd w:fill="FFFFFF" w:val="clear"/>
                <w:lang w:val="es-ES"/>
              </w:rPr>
            </w:pPr>
            <w:r>
              <w:rPr>
                <w:rFonts w:eastAsia="Calibri" w:cs="Arial" w:ascii="Arial" w:hAnsi="Arial"/>
                <w:kern w:val="2"/>
                <w:sz w:val="22"/>
                <w:szCs w:val="22"/>
                <w:lang w:val="es-ES" w:eastAsia="en-US" w:bidi="ar-SA"/>
              </w:rPr>
              <w:t>Un/a TAG del Área de Secretaría.</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lang w:val="es-ES"/>
              </w:rPr>
            </w:pPr>
            <w:r>
              <w:rPr>
                <w:rFonts w:eastAsia="Arial" w:cs="Arial" w:ascii="Arial" w:hAnsi="Arial"/>
                <w:kern w:val="2"/>
                <w:sz w:val="22"/>
                <w:szCs w:val="22"/>
                <w:lang w:val="es-ES" w:eastAsia="en-US" w:bidi="ar-SA"/>
              </w:rPr>
              <w:t>Instrukzio-organoak, espedientea eta kide anitzeko organoaren txostena ikusita, behin-behineko ebazpen-proposamena egingo du, behar bezala arrazoituta. Proposamen hori interesdunei jakinarazi beharko zaie deialdiak ezartzen duen moduan, eta 10 eguneko epea emango zaie alegazioak aurkezteko, jakinarazpena jaso eta hurrengo egunetik zenbatzen hasita.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spacing w:val="-3"/>
                <w:shd w:fill="FFFFFF" w:val="clear"/>
                <w:lang w:val="es-ES"/>
              </w:rPr>
            </w:pPr>
            <w:r>
              <w:rPr>
                <w:rFonts w:eastAsia="Calibri" w:cs="Arial" w:ascii="Arial" w:hAnsi="Arial"/>
                <w:kern w:val="2"/>
                <w:sz w:val="22"/>
                <w:szCs w:val="22"/>
                <w:lang w:val="es-ES" w:eastAsia="en-US" w:bidi="ar-SA"/>
              </w:rPr>
              <w:t>El órgano instructor, a la vista del expediente y del informe del órgano colegiado, formulará la propuesta de resolución provisional, debidamente motivada, que deberá notificarse a los interesados en la forma que establezca la convocatoria, y se concederá un plazo de 10 días para presentar alegaciones, a contar desde el día siguiente al de la recepción de la notificación.</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lang w:val="es-ES"/>
              </w:rPr>
            </w:pPr>
            <w:r>
              <w:rPr>
                <w:rFonts w:eastAsia="Arial" w:cs="Arial" w:ascii="Arial" w:hAnsi="Arial"/>
                <w:kern w:val="2"/>
                <w:sz w:val="22"/>
                <w:szCs w:val="22"/>
                <w:lang w:val="es-ES" w:eastAsia="en-US" w:bidi="ar-SA"/>
              </w:rPr>
              <w:t>Ondoren, Alkatetzara igorriko da, hark, edo hark delegatutakoak behin betiko ebazpena eman dezan.</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spacing w:val="-3"/>
                <w:shd w:fill="FFFFFF" w:val="clear"/>
                <w:lang w:val="es-ES"/>
              </w:rPr>
            </w:pPr>
            <w:r>
              <w:rPr>
                <w:rFonts w:eastAsia="Calibri" w:cs="Arial" w:ascii="Arial" w:hAnsi="Arial"/>
                <w:spacing w:val="-3"/>
                <w:kern w:val="2"/>
                <w:sz w:val="22"/>
                <w:szCs w:val="22"/>
                <w:shd w:fill="FFFFFF" w:val="clear"/>
                <w:lang w:val="es-ES" w:eastAsia="en-US" w:bidi="ar-SA"/>
              </w:rPr>
              <w:t>Posteriormente, para su resolución definitiva, se dará traslado a Alcaldía, sin perjuicio de las delegaciones que pudiese efectuar.</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lang w:val="es-ES"/>
              </w:rPr>
            </w:pPr>
            <w:r>
              <w:rPr>
                <w:rFonts w:eastAsia="Calibri" w:cs="Arial" w:ascii="Arial" w:hAnsi="Arial"/>
                <w:b/>
                <w:spacing w:val="-3"/>
                <w:kern w:val="2"/>
                <w:sz w:val="22"/>
                <w:szCs w:val="22"/>
                <w:shd w:fill="FFFFFF" w:val="clear"/>
                <w:lang w:val="es-ES" w:eastAsia="en-US" w:bidi="ar-SA"/>
              </w:rPr>
              <w:t xml:space="preserve">9. </w:t>
            </w:r>
            <w:r>
              <w:rPr>
                <w:rFonts w:eastAsia="Calibri" w:cs="Arial" w:ascii="Arial" w:hAnsi="Arial"/>
                <w:b/>
                <w:bCs/>
                <w:kern w:val="2"/>
                <w:sz w:val="22"/>
                <w:szCs w:val="22"/>
                <w:lang w:val="es-ES" w:eastAsia="en-US" w:bidi="ar-SA"/>
              </w:rPr>
              <w:t>Ebazteko eta jakinarazteko epea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bCs/>
                <w:spacing w:val="-3"/>
                <w:shd w:fill="FFFFFF" w:val="clear"/>
                <w:lang w:val="es-ES"/>
              </w:rPr>
            </w:pPr>
            <w:r>
              <w:rPr>
                <w:rFonts w:eastAsia="Calibri" w:cs="Arial" w:ascii="Arial" w:hAnsi="Arial"/>
                <w:b/>
                <w:bCs/>
                <w:spacing w:val="-3"/>
                <w:kern w:val="2"/>
                <w:sz w:val="22"/>
                <w:szCs w:val="22"/>
                <w:shd w:fill="FFFFFF" w:val="clear"/>
                <w:lang w:val="es-ES" w:eastAsia="en-US" w:bidi="ar-SA"/>
              </w:rPr>
              <w:t>9. Plazo de notificación y resolución</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rPr>
            </w:pPr>
            <w:r>
              <w:rPr>
                <w:rFonts w:eastAsia="Arial" w:cs="Arial" w:ascii="Arial" w:hAnsi="Arial"/>
                <w:kern w:val="2"/>
                <w:sz w:val="22"/>
                <w:szCs w:val="22"/>
                <w:lang w:val="eu-ES" w:eastAsia="en-US" w:bidi="ar-SA"/>
              </w:rPr>
              <w:t>Behin betiko ebazpena emateko eta jakinarazteko gehieneko epea sei hilabetekoa da, eskaerak aurkezteko epea amaitzen denetik zenbatzen hasita.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spacing w:val="-3"/>
                <w:shd w:fill="FFFFFF" w:val="clear"/>
                <w:lang w:val="es-ES"/>
              </w:rPr>
            </w:pPr>
            <w:r>
              <w:rPr>
                <w:rFonts w:eastAsia="Calibri" w:cs="Arial" w:ascii="Arial" w:hAnsi="Arial"/>
                <w:spacing w:val="-3"/>
                <w:kern w:val="2"/>
                <w:sz w:val="22"/>
                <w:szCs w:val="22"/>
                <w:shd w:fill="FFFFFF" w:val="clear"/>
                <w:lang w:val="es-ES" w:eastAsia="en-US" w:bidi="ar-SA"/>
              </w:rPr>
              <w:t>El plazo máximo para resolver y notificar la resolución definitiva es de seis meses, a contar desde la finalización del plazo para presentar las solicitudes.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b/>
                <w:b/>
                <w:spacing w:val="-3"/>
                <w:shd w:fill="FFFFFF" w:val="clear"/>
                <w:lang w:val="es-ES"/>
              </w:rPr>
            </w:pPr>
            <w:r>
              <w:rPr>
                <w:rFonts w:eastAsia="Arial" w:cs="Arial" w:ascii="Arial" w:hAnsi="Arial"/>
                <w:kern w:val="2"/>
                <w:sz w:val="22"/>
                <w:szCs w:val="22"/>
                <w:lang w:val="es-ES" w:eastAsia="en-US" w:bidi="ar-SA"/>
              </w:rPr>
              <w:t>Behin betiko ebazpena interesdunei jakinaraziko zaie.</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cs="Arial"/>
                <w:spacing w:val="-3"/>
                <w:shd w:fill="FFFFFF" w:val="clear"/>
                <w:lang w:val="es-ES"/>
              </w:rPr>
            </w:pPr>
            <w:r>
              <w:rPr>
                <w:rFonts w:eastAsia="Calibri" w:cs="Arial" w:ascii="Arial" w:hAnsi="Arial"/>
                <w:spacing w:val="-3"/>
                <w:kern w:val="2"/>
                <w:sz w:val="22"/>
                <w:szCs w:val="22"/>
                <w:shd w:fill="FFFFFF" w:val="clear"/>
                <w:lang w:val="es-ES" w:eastAsia="en-US" w:bidi="ar-SA"/>
              </w:rPr>
              <w:t>La resolución definitiva será notificada a las personas interesadas.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Arial" w:cs="Arial"/>
                <w:lang w:val="es-ES"/>
              </w:rPr>
            </w:pPr>
            <w:r>
              <w:rPr>
                <w:rFonts w:eastAsia="Calibri" w:cs="Arial" w:ascii="Arial" w:hAnsi="Arial"/>
                <w:b/>
                <w:spacing w:val="-3"/>
                <w:kern w:val="2"/>
                <w:sz w:val="22"/>
                <w:szCs w:val="22"/>
                <w:shd w:fill="FFFFFF" w:val="clear"/>
                <w:lang w:val="es-ES" w:eastAsia="en-US" w:bidi="ar-SA"/>
              </w:rPr>
              <w:t>10. Ebazpenaren jakinarazpena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spacing w:val="-3"/>
                <w:shd w:fill="FFFFFF" w:val="clear"/>
                <w:lang w:val="es-ES"/>
              </w:rPr>
            </w:pPr>
            <w:r>
              <w:rPr>
                <w:rFonts w:eastAsia="Calibri" w:cs="Arial" w:ascii="Arial" w:hAnsi="Arial"/>
                <w:b/>
                <w:spacing w:val="-3"/>
                <w:kern w:val="2"/>
                <w:sz w:val="22"/>
                <w:szCs w:val="22"/>
                <w:shd w:fill="FFFFFF" w:val="clear"/>
                <w:lang w:val="es-ES" w:eastAsia="en-US" w:bidi="ar-SA"/>
              </w:rPr>
              <w:t>10. Notificación de la resolución</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Arial" w:cs="Arial"/>
                <w:lang w:val="es-ES"/>
              </w:rPr>
            </w:pPr>
            <w:r>
              <w:rPr>
                <w:rFonts w:eastAsia="Calibri" w:cs="Arial" w:ascii="Arial" w:hAnsi="Arial"/>
                <w:bCs/>
                <w:spacing w:val="-3"/>
                <w:kern w:val="2"/>
                <w:sz w:val="22"/>
                <w:szCs w:val="22"/>
                <w:shd w:fill="FFFFFF" w:val="clear"/>
                <w:lang w:val="es-ES" w:eastAsia="en-US" w:bidi="ar-SA"/>
              </w:rPr>
              <w:t>Interesdunari ebazpena jakinaraziko zaio.</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spacing w:val="-3"/>
                <w:shd w:fill="FFFFFF" w:val="clear"/>
                <w:lang w:val="es-ES"/>
              </w:rPr>
            </w:pPr>
            <w:r>
              <w:rPr>
                <w:rFonts w:eastAsia="Calibri" w:cs="Arial" w:ascii="Arial" w:hAnsi="Arial"/>
                <w:bCs/>
                <w:spacing w:val="-3"/>
                <w:kern w:val="2"/>
                <w:sz w:val="22"/>
                <w:szCs w:val="22"/>
                <w:shd w:fill="FFFFFF" w:val="clear"/>
                <w:lang w:val="es-ES" w:eastAsia="en-US" w:bidi="ar-SA"/>
              </w:rPr>
              <w:t>A la persona interesada se le notificará resolución.</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Arial" w:cs="Arial"/>
                <w:lang w:val="es-ES"/>
              </w:rPr>
            </w:pPr>
            <w:r>
              <w:rPr>
                <w:rFonts w:eastAsia="Calibri" w:cs="Arial" w:ascii="Arial" w:hAnsi="Arial"/>
                <w:b/>
                <w:spacing w:val="-3"/>
                <w:kern w:val="2"/>
                <w:sz w:val="22"/>
                <w:szCs w:val="22"/>
                <w:shd w:fill="FFFFFF" w:val="clear"/>
                <w:lang w:val="es-ES" w:eastAsia="en-US" w:bidi="ar-SA"/>
              </w:rPr>
              <w:t>11. Dirulaguntza aldatzea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spacing w:val="-3"/>
                <w:shd w:fill="FFFFFF" w:val="clear"/>
                <w:lang w:val="es-ES"/>
              </w:rPr>
            </w:pPr>
            <w:r>
              <w:rPr>
                <w:rFonts w:eastAsia="Calibri" w:cs="Arial" w:ascii="Arial" w:hAnsi="Arial"/>
                <w:b/>
                <w:spacing w:val="-3"/>
                <w:kern w:val="2"/>
                <w:sz w:val="22"/>
                <w:szCs w:val="22"/>
                <w:shd w:fill="FFFFFF" w:val="clear"/>
                <w:lang w:val="es-ES" w:eastAsia="en-US" w:bidi="ar-SA"/>
              </w:rPr>
              <w:t>11. Modificación de la subvención</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Arial" w:cs="Arial"/>
                <w:lang w:val="es-ES"/>
              </w:rPr>
            </w:pPr>
            <w:r>
              <w:rPr>
                <w:rFonts w:eastAsia="Calibri" w:cs="Arial" w:ascii="Arial" w:hAnsi="Arial"/>
                <w:bCs/>
                <w:spacing w:val="-3"/>
                <w:kern w:val="2"/>
                <w:sz w:val="22"/>
                <w:szCs w:val="22"/>
                <w:shd w:fill="FFFFFF" w:val="clear"/>
                <w:lang w:val="es-ES" w:eastAsia="en-US" w:bidi="ar-SA"/>
              </w:rPr>
              <w:t>Deialdi honetan argitaratzen diren oinarri orokorren 16. atalean ezarritakoaren arabera.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spacing w:val="-3"/>
                <w:shd w:fill="FFFFFF" w:val="clear"/>
                <w:lang w:val="es-ES"/>
              </w:rPr>
            </w:pPr>
            <w:r>
              <w:rPr>
                <w:rFonts w:eastAsia="Calibri" w:cs="Arial" w:ascii="Arial" w:hAnsi="Arial"/>
                <w:bCs/>
                <w:spacing w:val="-3"/>
                <w:kern w:val="2"/>
                <w:sz w:val="22"/>
                <w:szCs w:val="22"/>
                <w:shd w:fill="FFFFFF" w:val="clear"/>
                <w:lang w:val="es-ES" w:eastAsia="en-US" w:bidi="ar-SA"/>
              </w:rPr>
              <w:t>De conformidad con lo establecido en el apartado 16 de las bases generales que se publican en esta convocatoria.</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Arial" w:cs="Arial"/>
                <w:lang w:val="es-ES"/>
              </w:rPr>
            </w:pPr>
            <w:r>
              <w:rPr>
                <w:rFonts w:eastAsia="Calibri" w:cs="Arial" w:ascii="Arial" w:hAnsi="Arial"/>
                <w:b/>
                <w:kern w:val="2"/>
                <w:sz w:val="22"/>
                <w:szCs w:val="22"/>
                <w:shd w:fill="FFFFFF" w:val="clear"/>
                <w:lang w:val="es-ES" w:eastAsia="en-US" w:bidi="ar-SA"/>
              </w:rPr>
              <w:t>12. Helegiteen araubidea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spacing w:val="-3"/>
                <w:shd w:fill="FFFFFF" w:val="clear"/>
                <w:lang w:val="es-ES"/>
              </w:rPr>
            </w:pPr>
            <w:r>
              <w:rPr>
                <w:rFonts w:eastAsia="Calibri" w:cs="Arial" w:ascii="Arial" w:hAnsi="Arial"/>
                <w:b/>
                <w:kern w:val="2"/>
                <w:sz w:val="22"/>
                <w:szCs w:val="22"/>
                <w:shd w:fill="FFFFFF" w:val="clear"/>
                <w:lang w:val="es-ES" w:eastAsia="en-US" w:bidi="ar-SA"/>
              </w:rPr>
              <w:t>12. Régimen de recursos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Arial" w:cs="Arial"/>
                <w:lang w:val="es-ES"/>
              </w:rPr>
            </w:pPr>
            <w:r>
              <w:rPr>
                <w:rFonts w:eastAsia="Calibri" w:cs="Arial" w:ascii="Arial" w:hAnsi="Arial"/>
                <w:kern w:val="2"/>
                <w:sz w:val="22"/>
                <w:szCs w:val="22"/>
                <w:lang w:val="es-ES" w:eastAsia="en-US" w:bidi="ar-SA"/>
              </w:rPr>
              <w:t>Ebazpen hau finkoa da eta amaiera ematen dio administrazio-bideari. Erabakiaren kontra, honako errekurtso hauek jar daitezke:</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spacing w:val="-3"/>
                <w:shd w:fill="FFFFFF" w:val="clear"/>
                <w:lang w:val="es-ES"/>
              </w:rPr>
            </w:pPr>
            <w:r>
              <w:rPr>
                <w:rFonts w:eastAsia="FTBZGY+Arial-ItalicMT;Arial" w:cs="FTBZGY+Arial-ItalicMT;Arial" w:ascii="Arial" w:hAnsi="Arial"/>
                <w:kern w:val="2"/>
                <w:sz w:val="22"/>
                <w:szCs w:val="22"/>
                <w:lang w:val="es-ES" w:eastAsia="en-US" w:bidi="ar-SA"/>
              </w:rPr>
              <w:t>La presente resolución es firme y pone fin a la vía administrativa. Contra la misma podrán interponerse los siguientes recursos: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Arial" w:cs="Arial"/>
                <w:lang w:val="es-ES"/>
              </w:rPr>
            </w:pPr>
            <w:r>
              <w:rPr>
                <w:rFonts w:eastAsia="Calibri" w:cs="Arial" w:ascii="Arial" w:hAnsi="Arial"/>
                <w:kern w:val="2"/>
                <w:sz w:val="22"/>
                <w:szCs w:val="22"/>
                <w:lang w:val="eu-ES" w:eastAsia="en-US" w:bidi="ar-SA"/>
              </w:rPr>
              <w:t xml:space="preserve">Erabakiaren aurka auzitara jo aurretik, interesdunak, hala nahi izanez gero, berraztertze-errekurtsoa aurkez dezake Alkatetzaren aurrean hilabete bateko epean, erabaki honen jakinarazpena jaso eta hurrengo egunetik zenbatzen hasita. </w:t>
            </w:r>
            <w:r>
              <w:rPr>
                <w:rFonts w:eastAsia="Calibri" w:cs="Arial" w:ascii="Arial" w:hAnsi="Arial"/>
                <w:kern w:val="2"/>
                <w:sz w:val="22"/>
                <w:szCs w:val="22"/>
                <w:lang w:val="es-ES" w:eastAsia="en-US" w:bidi="ar-SA"/>
              </w:rPr>
              <w:t>Hori dena, Herri Administrazioen Administrazio Prozedura Erkidea arautzen duen urriaren 1eko 39/2015 Legearen 123 eta 124 artikuluetan xedatutakoaren arabera.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spacing w:val="-3"/>
                <w:shd w:fill="FFFFFF" w:val="clear"/>
                <w:lang w:val="es-ES"/>
              </w:rPr>
            </w:pPr>
            <w:r>
              <w:rPr>
                <w:rFonts w:eastAsia="FTBZGY+Arial-ItalicMT;Arial" w:cs="FTBZGY+Arial-ItalicMT;Arial" w:ascii="Arial" w:hAnsi="Arial"/>
                <w:kern w:val="2"/>
                <w:sz w:val="22"/>
                <w:szCs w:val="22"/>
                <w:lang w:val="es-ES" w:eastAsia="en-US" w:bidi="ar-SA"/>
              </w:rPr>
              <w:t>Con anterioridad al inicio de la vía judicial, la persona interesada podrá interponer recurso de reposición ante la Alcaldía, en el plazo de un mes contado desde el día siguiente a la recepción de la presente notificación. Todo ello, conforme a los artículos 123 y 124 de la Ley 39/2015, de 1 de octubre, del Procedimiento Administrativo Común de las Administraciones Públicas.</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Arial" w:cs="Arial"/>
                <w:lang w:val="es-ES"/>
              </w:rPr>
            </w:pPr>
            <w:r>
              <w:rPr>
                <w:rFonts w:eastAsia="Calibri" w:cs="Arial" w:ascii="Arial" w:hAnsi="Arial"/>
                <w:kern w:val="2"/>
                <w:sz w:val="22"/>
                <w:szCs w:val="22"/>
                <w:lang w:val="eu-ES" w:eastAsia="en-US" w:bidi="ar-SA"/>
              </w:rPr>
              <w:t xml:space="preserve">Bestela, berraztertze-errekurtsoa aurkeztu ordez, edo aipatutako errekurtsoaren erantzunaren aurka joko balu, interesdunak administrazioarekiko auzi-errekurtsoa aurkez dezake bi hilabeteko epean, erabaki honen jakinarazpena jaso eta hurrengo egunetik hasita. </w:t>
            </w:r>
            <w:r>
              <w:rPr>
                <w:rFonts w:eastAsia="Calibri" w:cs="Arial" w:ascii="Arial" w:hAnsi="Arial"/>
                <w:kern w:val="2"/>
                <w:sz w:val="22"/>
                <w:szCs w:val="22"/>
                <w:lang w:val="es-ES" w:eastAsia="en-US" w:bidi="ar-SA"/>
              </w:rPr>
              <w:t>Helegite hori Donostiako Administrazioarekiko Auzien Epaitegian aurkeztu beharko da.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spacing w:val="-3"/>
                <w:shd w:fill="FFFFFF" w:val="clear"/>
                <w:lang w:val="es-ES"/>
              </w:rPr>
            </w:pPr>
            <w:r>
              <w:rPr>
                <w:rFonts w:eastAsia="FTBZGY+Arial-ItalicMT;Arial" w:cs="FTBZGY+Arial-ItalicMT;Arial" w:ascii="Arial" w:hAnsi="Arial"/>
                <w:kern w:val="2"/>
                <w:sz w:val="22"/>
                <w:szCs w:val="22"/>
                <w:lang w:val="es-ES" w:eastAsia="en-US" w:bidi="ar-SA"/>
              </w:rPr>
              <w:t>No obstante, en lugar del recurso de reposición, o en el caso de interponerse contra la resolución del recurso, podrá presentar directamente recurso contencioso-administrativo en un plazo de dos meses desde el día siguiente a la recepción de la presente notificación. El recurso se presentará ante el Juzgado Contencioso-Administrativo de San Sebastián.</w:t>
            </w:r>
          </w:p>
        </w:tc>
      </w:tr>
      <w:tr>
        <w:trPr/>
        <w:tc>
          <w:tcPr>
            <w:tcW w:w="4108"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Arial" w:cs="Arial"/>
                <w:lang w:val="es-ES"/>
              </w:rPr>
            </w:pPr>
            <w:r>
              <w:rPr>
                <w:rFonts w:eastAsia="Calibri" w:cs="Arial" w:ascii="Arial" w:hAnsi="Arial"/>
                <w:kern w:val="2"/>
                <w:sz w:val="22"/>
                <w:szCs w:val="22"/>
                <w:lang w:val="eu-ES" w:eastAsia="en-US" w:bidi="ar-SA"/>
              </w:rPr>
              <w:t xml:space="preserve">Era berean, berariazko ebazpenik ez badago, prozedurari amaiera emateko edo berraztertzeko errekurtsoari erantzuna emateko, interesdunak administrazioarekiko auzi-errekurtsoa aurkez dezake, edozein unetan. </w:t>
            </w:r>
            <w:r>
              <w:rPr>
                <w:rFonts w:eastAsia="Calibri" w:cs="Arial" w:ascii="Arial" w:hAnsi="Arial"/>
                <w:kern w:val="2"/>
                <w:sz w:val="22"/>
                <w:szCs w:val="22"/>
                <w:lang w:val="es-ES" w:eastAsia="en-US" w:bidi="ar-SA"/>
              </w:rPr>
              <w:t>Errekurtso hori Donostiako Administrazioarekiko Auzien Epaitegian aurkeztu beharko da.</w:t>
            </w:r>
          </w:p>
        </w:tc>
        <w:tc>
          <w:tcPr>
            <w:tcW w:w="4276" w:type="dxa"/>
            <w:tcBorders>
              <w:top w:val="nil"/>
              <w:left w:val="nil"/>
              <w:bottom w:val="nil"/>
              <w:right w:val="nil"/>
            </w:tcBorders>
          </w:tcPr>
          <w:p>
            <w:pPr>
              <w:pStyle w:val="Normal"/>
              <w:widowControl w:val="false"/>
              <w:suppressAutoHyphens w:val="true"/>
              <w:spacing w:lineRule="auto" w:line="276" w:before="0" w:after="160"/>
              <w:jc w:val="both"/>
              <w:rPr>
                <w:rFonts w:ascii="Arial" w:hAnsi="Arial" w:eastAsia="Calibri" w:cs="Arial"/>
                <w:spacing w:val="-3"/>
                <w:shd w:fill="FFFFFF" w:val="clear"/>
                <w:lang w:val="es-ES"/>
              </w:rPr>
            </w:pPr>
            <w:r>
              <w:rPr>
                <w:rFonts w:eastAsia="FTBZGY+Arial-ItalicMT;Arial" w:cs="FTBZGY+Arial-ItalicMT;Arial" w:ascii="Arial" w:hAnsi="Arial"/>
                <w:kern w:val="2"/>
                <w:sz w:val="22"/>
                <w:szCs w:val="22"/>
                <w:lang w:val="es-ES" w:eastAsia="en-US" w:bidi="ar-SA"/>
              </w:rPr>
              <w:t>Asimismo, si no hubiera resolución expresa, tanto para poner fin al procedimiento como para dar respuesta al recurso de reposición, el/la interesado/a podrá interponer en cualquier momento recurso contencioso-administrativo. Dicho recurso deberá interponerse ante el Juzgado de lo Contencioso-Administrativo de San Sebastián.</w:t>
            </w:r>
          </w:p>
        </w:tc>
      </w:tr>
    </w:tbl>
    <w:p>
      <w:pPr>
        <w:pStyle w:val="Normal"/>
        <w:spacing w:lineRule="auto" w:line="276" w:before="0" w:after="160"/>
        <w:rPr>
          <w:lang w:val="es-ES"/>
        </w:rPr>
      </w:pPr>
      <w:r>
        <w:rPr/>
      </w:r>
    </w:p>
    <w:sectPr>
      <w:headerReference w:type="default" r:id="rId6"/>
      <w:footerReference w:type="default" r:id="rId7"/>
      <w:type w:val="nextPage"/>
      <w:pgSz w:w="11906" w:h="16838"/>
      <w:pgMar w:left="1560" w:right="1701" w:gutter="0" w:header="1871" w:top="1928" w:footer="0" w:bottom="1417"/>
      <w:pgNumType w:fmt="decimal"/>
      <w:formProt w:val="false"/>
      <w:textDirection w:val="lrTb"/>
      <w:docGrid w:type="default" w:linePitch="360" w:charSpace="2048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erif">
    <w:altName w:val="Times New Roman"/>
    <w:charset w:val="00"/>
    <w:family w:val="swiss"/>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andard"/>
      <w:rPr/>
    </w:pPr>
    <w:r>
      <w:rPr>
        <w:rFonts w:cs="Arial" w:ascii="Arial" w:hAnsi="Arial"/>
        <w:color w:val="000000"/>
        <w:sz w:val="16"/>
        <w:szCs w:val="16"/>
        <w:lang w:val="es-ES"/>
      </w:rPr>
      <w:t xml:space="preserve">Plaza Zaharra, 6A - 20400 TOLOSA   - Tel.: 943 65 44 66 - Faxa: 943 69 75 10 - e-mail: </w:t>
    </w:r>
    <w:hyperlink r:id="rId1">
      <w:r>
        <w:rPr>
          <w:rFonts w:cs="Arial" w:ascii="Arial" w:hAnsi="Arial"/>
          <w:color w:val="000080"/>
          <w:sz w:val="16"/>
          <w:szCs w:val="16"/>
        </w:rPr>
        <w:t>udate@tolosa.eus</w:t>
      </w:r>
    </w:hyperlink>
    <w:r>
      <w:rPr>
        <w:rFonts w:cs="Arial" w:ascii="Arial" w:hAnsi="Arial"/>
        <w:color w:val="000000"/>
        <w:sz w:val="16"/>
        <w:szCs w:val="16"/>
        <w:lang w:val="es-ES"/>
      </w:rPr>
      <w:t xml:space="preserve">              </w:t>
    </w:r>
    <w:r>
      <w:rPr>
        <w:rFonts w:cs="Arial" w:ascii="Arial" w:hAnsi="Arial"/>
        <w:color w:val="000000"/>
        <w:sz w:val="16"/>
        <w:szCs w:val="16"/>
        <w:lang w:val="es-ES"/>
      </w:rPr>
      <w:fldChar w:fldCharType="begin"/>
    </w:r>
    <w:r>
      <w:rPr>
        <w:sz w:val="16"/>
        <w:szCs w:val="16"/>
        <w:rFonts w:cs="Arial" w:ascii="Arial" w:hAnsi="Arial"/>
        <w:color w:val="000000"/>
        <w:lang w:val="es-ES"/>
      </w:rPr>
      <w:instrText xml:space="preserve"> PAGE </w:instrText>
    </w:r>
    <w:r>
      <w:rPr>
        <w:sz w:val="16"/>
        <w:szCs w:val="16"/>
        <w:rFonts w:cs="Arial" w:ascii="Arial" w:hAnsi="Arial"/>
        <w:color w:val="000000"/>
        <w:lang w:val="es-ES"/>
      </w:rPr>
      <w:fldChar w:fldCharType="separate"/>
    </w:r>
    <w:r>
      <w:rPr>
        <w:sz w:val="16"/>
        <w:szCs w:val="16"/>
        <w:rFonts w:cs="Arial" w:ascii="Arial" w:hAnsi="Arial"/>
        <w:color w:val="000000"/>
        <w:lang w:val="es-ES"/>
      </w:rPr>
      <w:t>33</w:t>
    </w:r>
    <w:r>
      <w:rPr>
        <w:sz w:val="16"/>
        <w:szCs w:val="16"/>
        <w:rFonts w:cs="Arial" w:ascii="Arial" w:hAnsi="Arial"/>
        <w:color w:val="000000"/>
        <w:lang w:val="es-ES"/>
      </w:rPr>
      <w:fldChar w:fldCharType="end"/>
    </w:r>
    <w:r>
      <w:rPr>
        <w:rFonts w:cs="Arial" w:ascii="Arial" w:hAnsi="Arial"/>
        <w:color w:val="000000"/>
        <w:sz w:val="16"/>
        <w:szCs w:val="16"/>
        <w:lang w:val="es-ES"/>
      </w:rPr>
      <w:t xml:space="preserve"> </w:t>
    </w:r>
  </w:p>
  <w:p>
    <w:pPr>
      <w:pStyle w:val="Standard"/>
      <w:jc w:val="center"/>
      <w:rPr/>
    </w:pPr>
    <w:hyperlink r:id="rId2">
      <w:r>
        <w:rPr>
          <w:rFonts w:ascii="Arial" w:hAnsi="Arial"/>
          <w:sz w:val="16"/>
          <w:szCs w:val="16"/>
        </w:rPr>
        <w:t>www.tolosa.eus</w:t>
      </w:r>
    </w:hyperlink>
  </w:p>
  <w:p>
    <w:pPr>
      <w:pStyle w:val="Orrio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Goiburukoa"/>
      <w:rPr/>
    </w:pPr>
    <w:r>
      <w:drawing>
        <wp:anchor behindDoc="0" distT="0" distB="0" distL="114300" distR="114300" simplePos="0" locked="0" layoutInCell="0" allowOverlap="1" relativeHeight="34">
          <wp:simplePos x="0" y="0"/>
          <wp:positionH relativeFrom="leftMargin">
            <wp:align>right</wp:align>
          </wp:positionH>
          <wp:positionV relativeFrom="paragraph">
            <wp:posOffset>-735965</wp:posOffset>
          </wp:positionV>
          <wp:extent cx="697230" cy="1010285"/>
          <wp:effectExtent l="0" t="0" r="0" b="0"/>
          <wp:wrapThrough wrapText="bothSides">
            <wp:wrapPolygon edited="0">
              <wp:start x="-28" y="0"/>
              <wp:lineTo x="-28" y="21125"/>
              <wp:lineTo x="21170" y="21125"/>
              <wp:lineTo x="21170" y="0"/>
              <wp:lineTo x="-28" y="0"/>
            </wp:wrapPolygon>
          </wp:wrapThrough>
          <wp:docPr id="1" name="Irudi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2" descr=""/>
                  <pic:cNvPicPr>
                    <a:picLocks noChangeAspect="1" noChangeArrowheads="1"/>
                  </pic:cNvPicPr>
                </pic:nvPicPr>
                <pic:blipFill>
                  <a:blip r:embed="rId1"/>
                  <a:srcRect l="-10" t="-7" r="-10" b="-7"/>
                  <a:stretch>
                    <a:fillRect/>
                  </a:stretch>
                </pic:blipFill>
                <pic:spPr bwMode="auto">
                  <a:xfrm>
                    <a:off x="0" y="0"/>
                    <a:ext cx="697230" cy="1010285"/>
                  </a:xfrm>
                  <a:prstGeom prst="rect">
                    <a:avLst/>
                  </a:prstGeom>
                </pic:spPr>
              </pic:pic>
            </a:graphicData>
          </a:graphic>
        </wp:anchor>
      </w:drawing>
    </w:r>
    <w:r>
      <w:rPr/>
      <w:t xml:space="preserve">                                                                                                          </w:t>
    </w:r>
  </w:p>
  <w:p>
    <w:pPr>
      <w:pStyle w:val="Goiburuko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
    <w:lvl w:ilvl="0">
      <w:start w:val="1"/>
      <w:numFmt w:val="bullet"/>
      <w:lvlText w:val=""/>
      <w:lvlJc w:val="left"/>
      <w:pPr>
        <w:tabs>
          <w:tab w:val="num" w:pos="0"/>
        </w:tabs>
        <w:ind w:left="1080" w:hanging="360"/>
      </w:pPr>
      <w:rPr>
        <w:rFonts w:ascii="Symbol" w:hAnsi="Symbol" w:cs="Symbol" w:hint="default"/>
      </w:rPr>
    </w:lvl>
    <w:lvl w:ilvl="1">
      <w:start w:val="1"/>
      <w:numFmt w:val="bullet"/>
      <w:lvlText w:val=""/>
      <w:lvlJc w:val="left"/>
      <w:pPr>
        <w:tabs>
          <w:tab w:val="num" w:pos="0"/>
        </w:tabs>
        <w:ind w:left="1125" w:hanging="405"/>
      </w:pPr>
      <w:rPr>
        <w:rFonts w:ascii="Symbol" w:hAnsi="Symbol" w:cs="Symbol" w:hint="default"/>
      </w:rPr>
    </w:lvl>
    <w:lvl w:ilvl="2">
      <w:start w:val="1"/>
      <w:numFmt w:val="bullet"/>
      <w:lvlText w:val=""/>
      <w:lvlJc w:val="left"/>
      <w:pPr>
        <w:tabs>
          <w:tab w:val="num" w:pos="0"/>
        </w:tabs>
        <w:ind w:left="1440" w:hanging="720"/>
      </w:pPr>
      <w:rPr>
        <w:rFonts w:ascii="Symbol" w:hAnsi="Symbol" w:cs="Symbol" w:hint="default"/>
      </w:rPr>
    </w:lvl>
    <w:lvl w:ilvl="3">
      <w:start w:val="1"/>
      <w:numFmt w:val="bullet"/>
      <w:lvlText w:val=""/>
      <w:lvlJc w:val="left"/>
      <w:pPr>
        <w:tabs>
          <w:tab w:val="num" w:pos="0"/>
        </w:tabs>
        <w:ind w:left="1440" w:hanging="720"/>
      </w:pPr>
      <w:rPr>
        <w:rFonts w:ascii="Symbol" w:hAnsi="Symbol" w:cs="Symbol" w:hint="default"/>
      </w:rPr>
    </w:lvl>
    <w:lvl w:ilvl="4">
      <w:start w:val="1"/>
      <w:numFmt w:val="bullet"/>
      <w:lvlText w:val=""/>
      <w:lvlJc w:val="left"/>
      <w:pPr>
        <w:tabs>
          <w:tab w:val="num" w:pos="0"/>
        </w:tabs>
        <w:ind w:left="1800" w:hanging="1080"/>
      </w:pPr>
      <w:rPr>
        <w:rFonts w:ascii="Symbol" w:hAnsi="Symbol" w:cs="Symbol" w:hint="default"/>
      </w:rPr>
    </w:lvl>
    <w:lvl w:ilvl="5">
      <w:start w:val="1"/>
      <w:numFmt w:val="bullet"/>
      <w:lvlText w:val=""/>
      <w:lvlJc w:val="left"/>
      <w:pPr>
        <w:tabs>
          <w:tab w:val="num" w:pos="0"/>
        </w:tabs>
        <w:ind w:left="1800" w:hanging="1080"/>
      </w:pPr>
      <w:rPr>
        <w:rFonts w:ascii="Symbol" w:hAnsi="Symbol" w:cs="Symbol" w:hint="default"/>
      </w:rPr>
    </w:lvl>
    <w:lvl w:ilvl="6">
      <w:start w:val="1"/>
      <w:numFmt w:val="bullet"/>
      <w:lvlText w:val=""/>
      <w:lvlJc w:val="left"/>
      <w:pPr>
        <w:tabs>
          <w:tab w:val="num" w:pos="0"/>
        </w:tabs>
        <w:ind w:left="2160" w:hanging="1440"/>
      </w:pPr>
      <w:rPr>
        <w:rFonts w:ascii="Symbol" w:hAnsi="Symbol" w:cs="Symbol" w:hint="default"/>
      </w:rPr>
    </w:lvl>
    <w:lvl w:ilvl="7">
      <w:start w:val="1"/>
      <w:numFmt w:val="bullet"/>
      <w:lvlText w:val=""/>
      <w:lvlJc w:val="left"/>
      <w:pPr>
        <w:tabs>
          <w:tab w:val="num" w:pos="0"/>
        </w:tabs>
        <w:ind w:left="2160" w:hanging="1440"/>
      </w:pPr>
      <w:rPr>
        <w:rFonts w:ascii="Symbol" w:hAnsi="Symbol" w:cs="Symbol" w:hint="default"/>
      </w:rPr>
    </w:lvl>
    <w:lvl w:ilvl="8">
      <w:start w:val="1"/>
      <w:numFmt w:val="bullet"/>
      <w:lvlText w:val=""/>
      <w:lvlJc w:val="left"/>
      <w:pPr>
        <w:tabs>
          <w:tab w:val="num" w:pos="0"/>
        </w:tabs>
        <w:ind w:left="2520" w:hanging="1800"/>
      </w:pPr>
      <w:rPr>
        <w:rFonts w:ascii="Symbol" w:hAnsi="Symbol" w:cs="Symbol" w:hint="default"/>
      </w:rPr>
    </w:lvl>
  </w:abstractNum>
  <w:abstractNum w:abstractNumId="5">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6">
    <w:lvl w:ilvl="0">
      <w:start w:val="1"/>
      <w:numFmt w:val="lowerLetter"/>
      <w:lvlText w:val="%1)"/>
      <w:lvlJc w:val="left"/>
      <w:pPr>
        <w:tabs>
          <w:tab w:val="num" w:pos="0"/>
        </w:tabs>
        <w:ind w:left="720" w:hanging="360"/>
      </w:pPr>
      <w:rPr>
        <w:sz w:val="22"/>
        <w:rFonts w:ascii="Arial" w:hAnsi="Arial" w:cs="Arial"/>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bullet"/>
      <w:lvlText w:val=""/>
      <w:lvlJc w:val="left"/>
      <w:pPr>
        <w:tabs>
          <w:tab w:val="num" w:pos="0"/>
        </w:tabs>
        <w:ind w:left="1068" w:hanging="360"/>
      </w:pPr>
      <w:rPr>
        <w:rFonts w:ascii="Symbol" w:hAnsi="Symbol" w:cs="Symbol"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3">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lvl w:ilvl="0">
      <w:start w:val="1"/>
      <w:numFmt w:val="bullet"/>
      <w:lvlText w:val=""/>
      <w:lvlJc w:val="left"/>
      <w:pPr>
        <w:tabs>
          <w:tab w:val="num" w:pos="0"/>
        </w:tabs>
        <w:ind w:left="1068" w:hanging="360"/>
      </w:pPr>
      <w:rPr>
        <w:rFonts w:ascii="Symbol" w:hAnsi="Symbol" w:cs="Symbol"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2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lvl w:ilvl="0">
      <w:start w:val="1"/>
      <w:numFmt w:val="decimal"/>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8">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9">
    <w:lvl w:ilvl="0">
      <w:start w:val="1"/>
      <w:numFmt w:val="lowerLetter"/>
      <w:lvlText w:val="%1)"/>
      <w:lvlJc w:val="left"/>
      <w:pPr>
        <w:tabs>
          <w:tab w:val="num" w:pos="0"/>
        </w:tabs>
        <w:ind w:left="720" w:hanging="360"/>
      </w:pPr>
      <w:rPr>
        <w:rFonts w:ascii="Arial" w:hAnsi="Arial" w:eastAsia="Arial" w:cs="Arial"/>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lvl w:ilvl="0">
      <w:start w:val="1"/>
      <w:numFmt w:val="lowerLetter"/>
      <w:lvlText w:val="%1)"/>
      <w:lvlJc w:val="left"/>
      <w:pPr>
        <w:tabs>
          <w:tab w:val="num" w:pos="0"/>
        </w:tabs>
        <w:ind w:left="720" w:hanging="360"/>
      </w:pPr>
      <w:rPr>
        <w:rFonts w:ascii="Arial" w:hAnsi="Arial" w:eastAsia="Calibri" w:cs="Arial"/>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eu-E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2"/>
      <w:sz w:val="22"/>
      <w:szCs w:val="22"/>
      <w:lang w:val="eu-ES" w:eastAsia="en-US" w:bidi="ar-SA"/>
      <w14:ligatures w14:val="standardContextual"/>
    </w:rPr>
  </w:style>
  <w:style w:type="paragraph" w:styleId="2izenburua">
    <w:name w:val="Heading 2"/>
    <w:basedOn w:val="Izenburua"/>
    <w:next w:val="Testugorputza"/>
    <w:qFormat/>
    <w:pPr>
      <w:spacing w:before="200" w:after="120"/>
      <w:outlineLvl w:val="1"/>
    </w:pPr>
    <w:rPr>
      <w:rFonts w:ascii="Liberation Serif" w:hAnsi="Liberation Serif" w:eastAsia="Segoe UI" w:cs="Tahoma"/>
      <w:b/>
      <w:bCs/>
      <w:sz w:val="36"/>
      <w:szCs w:val="36"/>
    </w:rPr>
  </w:style>
  <w:style w:type="character" w:styleId="DefaultParagraphFont" w:default="1">
    <w:name w:val="Default Paragraph Font"/>
    <w:uiPriority w:val="1"/>
    <w:semiHidden/>
    <w:unhideWhenUsed/>
    <w:qFormat/>
    <w:rPr/>
  </w:style>
  <w:style w:type="character" w:styleId="GoiburuaKar" w:customStyle="1">
    <w:name w:val="Goiburua Kar"/>
    <w:basedOn w:val="DefaultParagraphFont"/>
    <w:uiPriority w:val="99"/>
    <w:qFormat/>
    <w:rsid w:val="001c65db"/>
    <w:rPr/>
  </w:style>
  <w:style w:type="character" w:styleId="OrrioinaKar" w:customStyle="1">
    <w:name w:val="Orri-oina Kar"/>
    <w:basedOn w:val="DefaultParagraphFont"/>
    <w:uiPriority w:val="99"/>
    <w:qFormat/>
    <w:rsid w:val="001c65db"/>
    <w:rPr/>
  </w:style>
  <w:style w:type="character" w:styleId="Fuentedeprrafopredeter1" w:customStyle="1">
    <w:name w:val="Fuente de párrafo predeter.1"/>
    <w:qFormat/>
    <w:rsid w:val="004c5193"/>
    <w:rPr/>
  </w:style>
  <w:style w:type="character" w:styleId="Internetesteka">
    <w:name w:val="Hyperlink"/>
    <w:rsid w:val="004c5193"/>
    <w:rPr>
      <w:color w:val="000080"/>
      <w:u w:val="single"/>
    </w:rPr>
  </w:style>
  <w:style w:type="character" w:styleId="Formcontroltext" w:customStyle="1">
    <w:name w:val="form-control-text"/>
    <w:basedOn w:val="DefaultParagraphFont"/>
    <w:qFormat/>
    <w:rsid w:val="00de5f0a"/>
    <w:rPr/>
  </w:style>
  <w:style w:type="character" w:styleId="UnresolvedMention">
    <w:name w:val="Unresolved Mention"/>
    <w:basedOn w:val="DefaultParagraphFont"/>
    <w:uiPriority w:val="99"/>
    <w:semiHidden/>
    <w:unhideWhenUsed/>
    <w:qFormat/>
    <w:rsid w:val="00e11fe3"/>
    <w:rPr>
      <w:color w:val="605E5C"/>
      <w:shd w:fill="E1DFDD" w:val="clear"/>
    </w:rPr>
  </w:style>
  <w:style w:type="character" w:styleId="BisitatutakoInternetesteka">
    <w:name w:val="FollowedHyperlink"/>
    <w:basedOn w:val="DefaultParagraphFont"/>
    <w:uiPriority w:val="99"/>
    <w:semiHidden/>
    <w:unhideWhenUsed/>
    <w:rsid w:val="00e11fe3"/>
    <w:rPr>
      <w:color w:val="954F72" w:themeColor="followedHyperlink"/>
      <w:u w:val="single"/>
    </w:rPr>
  </w:style>
  <w:style w:type="character" w:styleId="GorputztestuaKar" w:customStyle="1">
    <w:name w:val="Gorputz-testua Kar"/>
    <w:basedOn w:val="DefaultParagraphFont"/>
    <w:qFormat/>
    <w:rsid w:val="00a50e27"/>
    <w:rPr>
      <w:rFonts w:ascii="Times New Roman" w:hAnsi="Times New Roman" w:eastAsia="Times New Roman" w:cs="Times New Roman"/>
      <w:spacing w:val="-3"/>
      <w:kern w:val="0"/>
      <w:sz w:val="24"/>
      <w:szCs w:val="20"/>
      <w:lang w:eastAsia="zh-CN"/>
      <w14:ligatures w14:val="none"/>
    </w:rPr>
  </w:style>
  <w:style w:type="character" w:styleId="Buletak" w:customStyle="1">
    <w:name w:val="Buletak"/>
    <w:qFormat/>
    <w:rPr>
      <w:rFonts w:ascii="OpenSymbol" w:hAnsi="OpenSymbol" w:eastAsia="OpenSymbol" w:cs="OpenSymbol"/>
    </w:rPr>
  </w:style>
  <w:style w:type="character" w:styleId="GorputztestuaKar1" w:customStyle="1">
    <w:name w:val="Gorputz-testua Kar1"/>
    <w:basedOn w:val="DefaultParagraphFont"/>
    <w:qFormat/>
    <w:rPr>
      <w:szCs w:val="24"/>
    </w:rPr>
  </w:style>
  <w:style w:type="paragraph" w:styleId="Izenburua" w:customStyle="1">
    <w:name w:val="Izenburua"/>
    <w:basedOn w:val="Normal"/>
    <w:next w:val="Testugorputza"/>
    <w:qFormat/>
    <w:pPr>
      <w:keepNext w:val="true"/>
      <w:spacing w:before="240" w:after="120"/>
    </w:pPr>
    <w:rPr>
      <w:rFonts w:ascii="Liberation Sans" w:hAnsi="Liberation Sans" w:eastAsia="Microsoft YaHei" w:cs="Arial"/>
      <w:sz w:val="28"/>
      <w:szCs w:val="28"/>
    </w:rPr>
  </w:style>
  <w:style w:type="paragraph" w:styleId="Testugorputza">
    <w:name w:val="Body Text"/>
    <w:basedOn w:val="Normal"/>
    <w:link w:val="GorputztestuaKar"/>
    <w:rsid w:val="00a50e27"/>
    <w:pPr>
      <w:spacing w:lineRule="auto" w:line="288" w:before="0" w:after="140"/>
    </w:pPr>
    <w:rPr>
      <w:rFonts w:ascii="Times New Roman" w:hAnsi="Times New Roman" w:eastAsia="Times New Roman" w:cs="Times New Roman"/>
      <w:spacing w:val="-3"/>
      <w:kern w:val="0"/>
      <w:sz w:val="24"/>
      <w:szCs w:val="20"/>
      <w:lang w:eastAsia="zh-CN"/>
      <w14:ligatures w14:val="none"/>
    </w:rPr>
  </w:style>
  <w:style w:type="paragraph" w:styleId="Zerrenda">
    <w:name w:val="List"/>
    <w:basedOn w:val="Testugorputza"/>
    <w:pPr/>
    <w:rPr>
      <w:rFonts w:cs="Arial"/>
    </w:rPr>
  </w:style>
  <w:style w:type="paragraph" w:styleId="Epigrafea">
    <w:name w:val="Caption"/>
    <w:basedOn w:val="Normal"/>
    <w:qFormat/>
    <w:pPr>
      <w:suppressLineNumbers/>
      <w:spacing w:before="120" w:after="120"/>
    </w:pPr>
    <w:rPr>
      <w:rFonts w:cs="Arial"/>
      <w:i/>
      <w:iCs/>
      <w:sz w:val="24"/>
      <w:szCs w:val="24"/>
    </w:rPr>
  </w:style>
  <w:style w:type="paragraph" w:styleId="Indizea" w:customStyle="1">
    <w:name w:val="Indizea"/>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Goiburukoaetaorrioina" w:customStyle="1">
    <w:name w:val="Goiburukoa eta orri-oina"/>
    <w:basedOn w:val="Normal"/>
    <w:qFormat/>
    <w:pPr/>
    <w:rPr/>
  </w:style>
  <w:style w:type="paragraph" w:styleId="Goiburukoa">
    <w:name w:val="Header"/>
    <w:basedOn w:val="Normal"/>
    <w:link w:val="GoiburuaKar"/>
    <w:uiPriority w:val="99"/>
    <w:unhideWhenUsed/>
    <w:rsid w:val="001c65db"/>
    <w:pPr>
      <w:tabs>
        <w:tab w:val="clear" w:pos="708"/>
        <w:tab w:val="center" w:pos="4252" w:leader="none"/>
        <w:tab w:val="right" w:pos="8504" w:leader="none"/>
      </w:tabs>
      <w:spacing w:lineRule="auto" w:line="240" w:before="0" w:after="0"/>
    </w:pPr>
    <w:rPr/>
  </w:style>
  <w:style w:type="paragraph" w:styleId="Orrioina">
    <w:name w:val="Footer"/>
    <w:basedOn w:val="Normal"/>
    <w:link w:val="OrrioinaKar"/>
    <w:uiPriority w:val="99"/>
    <w:unhideWhenUsed/>
    <w:rsid w:val="001c65db"/>
    <w:pPr>
      <w:tabs>
        <w:tab w:val="clear" w:pos="708"/>
        <w:tab w:val="center" w:pos="4252" w:leader="none"/>
        <w:tab w:val="right" w:pos="8504" w:leader="none"/>
      </w:tabs>
      <w:spacing w:lineRule="auto" w:line="240" w:before="0" w:after="0"/>
    </w:pPr>
    <w:rPr/>
  </w:style>
  <w:style w:type="paragraph" w:styleId="ListParagraph">
    <w:name w:val="List Paragraph"/>
    <w:basedOn w:val="Normal"/>
    <w:uiPriority w:val="34"/>
    <w:qFormat/>
    <w:rsid w:val="00052cd1"/>
    <w:pPr>
      <w:spacing w:before="0" w:after="160"/>
      <w:ind w:left="720" w:hanging="0"/>
      <w:contextualSpacing/>
    </w:pPr>
    <w:rPr/>
  </w:style>
  <w:style w:type="paragraph" w:styleId="Western" w:customStyle="1">
    <w:name w:val="western"/>
    <w:basedOn w:val="Normal"/>
    <w:qFormat/>
    <w:rsid w:val="006174be"/>
    <w:pPr>
      <w:spacing w:lineRule="auto" w:line="288" w:beforeAutospacing="1" w:after="142"/>
    </w:pPr>
    <w:rPr>
      <w:rFonts w:ascii="Times New Roman" w:hAnsi="Times New Roman" w:eastAsia="Times New Roman" w:cs="Times New Roman"/>
      <w:color w:val="000000"/>
      <w:spacing w:val="-4"/>
      <w:kern w:val="0"/>
      <w:sz w:val="24"/>
      <w:szCs w:val="24"/>
      <w:lang w:eastAsia="eu-ES"/>
      <w14:ligatures w14:val="none"/>
    </w:rPr>
  </w:style>
  <w:style w:type="paragraph" w:styleId="Taulanormala1" w:customStyle="1">
    <w:name w:val="Taula normala1"/>
    <w:qFormat/>
    <w:pPr>
      <w:widowControl/>
      <w:suppressAutoHyphens w:val="true"/>
      <w:bidi w:val="0"/>
      <w:spacing w:before="0" w:after="0"/>
      <w:jc w:val="left"/>
    </w:pPr>
    <w:rPr>
      <w:rFonts w:ascii="Times New Roman" w:hAnsi="Times New Roman" w:eastAsia="Courier New" w:cs="Times New Roman"/>
      <w:color w:val="auto"/>
      <w:kern w:val="2"/>
      <w:sz w:val="20"/>
      <w:szCs w:val="20"/>
      <w:lang w:val="eu-ES" w:eastAsia="eu-ES" w:bidi="ar-SA"/>
      <w14:ligatures w14:val="standardContextual"/>
    </w:rPr>
  </w:style>
  <w:style w:type="paragraph" w:styleId="Taularenedukia" w:customStyle="1">
    <w:name w:val="Taularen edukia"/>
    <w:basedOn w:val="Normal"/>
    <w:qFormat/>
    <w:pPr>
      <w:widowControl w:val="false"/>
      <w:suppressLineNumbers/>
    </w:pPr>
    <w:rPr/>
  </w:style>
  <w:style w:type="paragraph" w:styleId="Taularenizenburua" w:customStyle="1">
    <w:name w:val="Taularen izenburua"/>
    <w:basedOn w:val="Taularenedukia"/>
    <w:qFormat/>
    <w:pPr>
      <w:jc w:val="center"/>
    </w:pPr>
    <w:rPr>
      <w:b/>
      <w:bCs/>
    </w:rPr>
  </w:style>
  <w:style w:type="paragraph" w:styleId="Standard" w:customStyle="1">
    <w:name w:val="Standard"/>
    <w:qFormat/>
    <w:pPr>
      <w:widowControl/>
      <w:suppressAutoHyphens w:val="true"/>
      <w:bidi w:val="0"/>
      <w:spacing w:before="0" w:after="0"/>
      <w:jc w:val="left"/>
      <w:textAlignment w:val="baseline"/>
    </w:pPr>
    <w:rPr>
      <w:rFonts w:ascii="Calibri" w:hAnsi="Calibri" w:eastAsia="Courier New" w:cs="" w:asciiTheme="minorHAnsi" w:cstheme="minorBidi" w:hAnsiTheme="minorHAnsi"/>
      <w:color w:val="auto"/>
      <w:spacing w:val="-3"/>
      <w:kern w:val="2"/>
      <w:sz w:val="24"/>
      <w:szCs w:val="22"/>
      <w:lang w:val="eu-ES" w:eastAsia="zh-CN" w:bidi="ar-SA"/>
      <w14:ligatures w14:val="standardContextual"/>
    </w:rPr>
  </w:style>
  <w:style w:type="numbering" w:styleId="NoList" w:default="1">
    <w:name w:val="No List"/>
    <w:uiPriority w:val="99"/>
    <w:semiHidden/>
    <w:unhideWhenUsed/>
    <w:qFormat/>
  </w:style>
  <w:style w:type="numbering" w:styleId="Unekozerrenda1" w:customStyle="1">
    <w:name w:val="Uneko zerrenda1"/>
    <w:uiPriority w:val="99"/>
    <w:qFormat/>
    <w:rsid w:val="004f4756"/>
  </w:style>
  <w:style w:type="table" w:default="1" w:styleId="Taulanormala">
    <w:name w:val="Normal Table"/>
    <w:uiPriority w:val="99"/>
    <w:semiHidden/>
    <w:unhideWhenUsed/>
    <w:tblPr>
      <w:tblCellMar>
        <w:top w:w="0" w:type="dxa"/>
        <w:left w:w="108" w:type="dxa"/>
        <w:bottom w:w="0" w:type="dxa"/>
        <w:right w:w="108" w:type="dxa"/>
      </w:tblCellMar>
    </w:tblPr>
  </w:style>
  <w:style w:type="table" w:styleId="Saretaduntaula">
    <w:name w:val="Table Grid"/>
    <w:basedOn w:val="Taulanormala"/>
    <w:uiPriority w:val="39"/>
    <w:rsid w:val="001c65d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uzt.gipuzkoa.eus/WAS/AYTO/USCServicioCiudadanoVer15WEB/home.do?De=EU07112885" TargetMode="External"/><Relationship Id="rId3" Type="http://schemas.openxmlformats.org/officeDocument/2006/relationships/hyperlink" Target="https://uzt.gipuzkoa.eus/WAS/AYTO/USCServicioCiudadanoVer15WEB/home.do?De=CA07112885" TargetMode="External"/><Relationship Id="rId4" Type="http://schemas.openxmlformats.org/officeDocument/2006/relationships/hyperlink" Target="https://uzt.gipuzkoa.eus/WAS/AYTO/USCServicioCiudadanoVer15WEB/home.do?De=EU07112885" TargetMode="External"/><Relationship Id="rId5" Type="http://schemas.openxmlformats.org/officeDocument/2006/relationships/hyperlink" Target="https://uzt.gipuzkoa.eus/WAS/AYTO/USCServicioCiudadanoVer15WEB/home.do?De=CA07112885"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hyperlink" Target="mailto:udate@tolosa.eus" TargetMode="External"/><Relationship Id="rId2" Type="http://schemas.openxmlformats.org/officeDocument/2006/relationships/hyperlink" Target="http://udala.tolosa.eus/eu" TargetMode="Externa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3A9D6-44F7-4EBB-9DB2-1CC636C62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Application>LibreOffice/7.4.0.3$Windows_X86_64 LibreOffice_project/f85e47c08ddd19c015c0114a68350214f7066f5a</Application>
  <AppVersion>15.0000</AppVersion>
  <Pages>11</Pages>
  <Words>10468</Words>
  <Characters>66494</Characters>
  <CharactersWithSpaces>76625</CharactersWithSpaces>
  <Paragraphs>485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2025-03-24T11:49:00Z</dcterms:created>
  <dc:creator>Oihana Ibarburu Flores</dc:creator>
  <dc:description/>
  <dc:language>eu-ES</dc:language>
  <cp:lastModifiedBy/>
  <cp:lastPrinted>2025-03-22T13:17:00Z</cp:lastPrinted>
  <dcterms:modified xsi:type="dcterms:W3CDTF">2025-04-03T07:38:35Z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file>