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1ED15" w14:textId="77777777" w:rsidR="00BF3A36" w:rsidRPr="00BF3A36" w:rsidRDefault="00BF3A36" w:rsidP="00BF3A36">
      <w:pPr>
        <w:spacing w:after="593" w:line="265" w:lineRule="auto"/>
        <w:ind w:left="12" w:right="43" w:hanging="10"/>
        <w:jc w:val="both"/>
        <w:rPr>
          <w:rFonts w:ascii="Arial" w:eastAsia="Arial" w:hAnsi="Arial" w:cs="Arial"/>
          <w:color w:val="000000"/>
          <w:sz w:val="22"/>
          <w:lang w:val="ca-ES" w:eastAsia="es-ES"/>
        </w:rPr>
      </w:pPr>
      <w:r w:rsidRPr="00BF3A36">
        <w:rPr>
          <w:rFonts w:ascii="Arial" w:eastAsia="Arial" w:hAnsi="Arial" w:cs="Arial"/>
          <w:b/>
          <w:color w:val="000000"/>
          <w:sz w:val="22"/>
          <w:lang w:val="ca-ES" w:eastAsia="es-ES"/>
        </w:rPr>
        <w:t>CONVOCATÒRIA ESPECÍFICA DE SUBVENCIONS DESTINADES A AJUTS INDIVIDUALS DE TRANSPORT ESCOLAR COL·LECTIU PER A NECESSITATS SOCIOECONÒMIQUES I GEOGRÀFIQUES PER AL CURS ESCOLAR 2025/2026</w:t>
      </w:r>
    </w:p>
    <w:p w14:paraId="25D14700"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1. Bases reguladores</w:t>
      </w:r>
    </w:p>
    <w:p w14:paraId="689D94F4"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Aquestes subvencions es regiran per allò fixat en la present convocatòria i per les bases reguladores de la mateixa.</w:t>
      </w:r>
    </w:p>
    <w:p w14:paraId="00683933"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La disposició addicional primera del Decret 161/1996, pel qual es regula el servei de transport escolar, determina que es podran concedir ajuts destinats a l'alumnat d'educació obligatòria que s'hagi de desplaçar a centres docents del mateix municipi però distants del seu lloc de residència. </w:t>
      </w:r>
    </w:p>
    <w:p w14:paraId="396703DD"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L’Acord de Govern GOV/128/2021, de delegació de competències als consells comarcals i a l'Àrea Metropolitana de Barcelona en matèria d'educació, modificat per l’Acord GOV/80/2023 de 4 d’abril de 2023, publicat en el DOGC en data 6 d’abril del 2023, inclou la gestió del transport escolar </w:t>
      </w:r>
      <w:proofErr w:type="spellStart"/>
      <w:r w:rsidRPr="00BF3A36">
        <w:rPr>
          <w:rFonts w:ascii="Arial" w:eastAsia="Arial" w:hAnsi="Arial" w:cs="Arial"/>
          <w:color w:val="000000"/>
          <w:sz w:val="22"/>
          <w:lang w:val="ca-ES" w:eastAsia="es-ES"/>
        </w:rPr>
        <w:t>col·lectiui</w:t>
      </w:r>
      <w:proofErr w:type="spellEnd"/>
      <w:r w:rsidRPr="00BF3A36">
        <w:rPr>
          <w:rFonts w:ascii="Arial" w:eastAsia="Arial" w:hAnsi="Arial" w:cs="Arial"/>
          <w:color w:val="000000"/>
          <w:sz w:val="22"/>
          <w:lang w:val="ca-ES" w:eastAsia="es-ES"/>
        </w:rPr>
        <w:t xml:space="preserve"> a la comarca de la Selva</w:t>
      </w:r>
    </w:p>
    <w:p w14:paraId="400C00D1"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Tal com es fa anualment, des del Departament d’Educació s’han revisat els criteris per a l’assignació d’aquests ajuts de cara al curs 2025/26, a partir de les aportacions d’un grup treball constituït per representants dels Consells Comarcals, de l’Associació Catalana de Municipis, de la Federació de Municipis de Catalunya i del mateix Departament.</w:t>
      </w:r>
    </w:p>
    <w:p w14:paraId="27881763"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2. Crèdits pressupostaris</w:t>
      </w:r>
    </w:p>
    <w:p w14:paraId="2AF5F30E"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Els crèdits pressupostaris als quals s’imputa la subvenció són els següents:</w:t>
      </w:r>
    </w:p>
    <w:tbl>
      <w:tblPr>
        <w:tblStyle w:val="TableGrid"/>
        <w:tblW w:w="7099" w:type="dxa"/>
        <w:tblInd w:w="895" w:type="dxa"/>
        <w:tblCellMar>
          <w:top w:w="0" w:type="dxa"/>
          <w:left w:w="106" w:type="dxa"/>
          <w:bottom w:w="0" w:type="dxa"/>
          <w:right w:w="106" w:type="dxa"/>
        </w:tblCellMar>
        <w:tblLook w:val="04A0" w:firstRow="1" w:lastRow="0" w:firstColumn="1" w:lastColumn="0" w:noHBand="0" w:noVBand="1"/>
      </w:tblPr>
      <w:tblGrid>
        <w:gridCol w:w="1473"/>
        <w:gridCol w:w="3528"/>
        <w:gridCol w:w="2098"/>
      </w:tblGrid>
      <w:tr w:rsidR="00BF3A36" w:rsidRPr="00BF3A36" w14:paraId="0D2152E9" w14:textId="77777777" w:rsidTr="00520721">
        <w:trPr>
          <w:trHeight w:val="526"/>
        </w:trPr>
        <w:tc>
          <w:tcPr>
            <w:tcW w:w="1473"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387A1B81" w14:textId="77777777" w:rsidR="00BF3A36" w:rsidRPr="00BF3A36" w:rsidRDefault="00BF3A36" w:rsidP="00BF3A36">
            <w:pPr>
              <w:spacing w:line="259" w:lineRule="auto"/>
              <w:jc w:val="both"/>
              <w:rPr>
                <w:rFonts w:ascii="Arial" w:eastAsia="Arial" w:hAnsi="Arial" w:cs="Arial"/>
                <w:color w:val="000000"/>
                <w:sz w:val="22"/>
                <w:lang w:val="ca-ES"/>
              </w:rPr>
            </w:pPr>
            <w:r w:rsidRPr="00BF3A36">
              <w:rPr>
                <w:rFonts w:ascii="Arial" w:eastAsia="Arial" w:hAnsi="Arial" w:cs="Arial"/>
                <w:b/>
                <w:color w:val="000000"/>
                <w:sz w:val="22"/>
                <w:lang w:val="ca-ES"/>
              </w:rPr>
              <w:t>ANUALITAT</w:t>
            </w:r>
          </w:p>
        </w:tc>
        <w:tc>
          <w:tcPr>
            <w:tcW w:w="3529"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3F7DFF47" w14:textId="77777777" w:rsidR="00BF3A36" w:rsidRPr="00BF3A36" w:rsidRDefault="00BF3A36" w:rsidP="00BF3A36">
            <w:pPr>
              <w:spacing w:line="259" w:lineRule="auto"/>
              <w:ind w:left="2"/>
              <w:jc w:val="both"/>
              <w:rPr>
                <w:rFonts w:ascii="Arial" w:eastAsia="Arial" w:hAnsi="Arial" w:cs="Arial"/>
                <w:color w:val="000000"/>
                <w:sz w:val="22"/>
                <w:lang w:val="ca-ES"/>
              </w:rPr>
            </w:pPr>
            <w:r w:rsidRPr="00BF3A36">
              <w:rPr>
                <w:rFonts w:ascii="Arial" w:eastAsia="Arial" w:hAnsi="Arial" w:cs="Arial"/>
                <w:b/>
                <w:color w:val="000000"/>
                <w:sz w:val="22"/>
                <w:lang w:val="ca-ES"/>
              </w:rPr>
              <w:t>APLICACIÓ PRESSUPOSTÀRIA</w:t>
            </w:r>
          </w:p>
        </w:tc>
        <w:tc>
          <w:tcPr>
            <w:tcW w:w="2098"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5FB71158" w14:textId="77777777" w:rsidR="00BF3A36" w:rsidRPr="00BF3A36" w:rsidRDefault="00BF3A36" w:rsidP="00BF3A36">
            <w:pPr>
              <w:spacing w:line="259" w:lineRule="auto"/>
              <w:ind w:left="3"/>
              <w:jc w:val="center"/>
              <w:rPr>
                <w:rFonts w:ascii="Arial" w:eastAsia="Arial" w:hAnsi="Arial" w:cs="Arial"/>
                <w:color w:val="000000"/>
                <w:sz w:val="22"/>
                <w:lang w:val="ca-ES"/>
              </w:rPr>
            </w:pPr>
            <w:r w:rsidRPr="00BF3A36">
              <w:rPr>
                <w:rFonts w:ascii="Arial" w:eastAsia="Arial" w:hAnsi="Arial" w:cs="Arial"/>
                <w:b/>
                <w:color w:val="000000"/>
                <w:sz w:val="22"/>
                <w:lang w:val="ca-ES"/>
              </w:rPr>
              <w:t>IMPORT</w:t>
            </w:r>
          </w:p>
        </w:tc>
      </w:tr>
      <w:tr w:rsidR="00BF3A36" w:rsidRPr="00BF3A36" w14:paraId="147AD212" w14:textId="77777777" w:rsidTr="00520721">
        <w:trPr>
          <w:trHeight w:val="534"/>
        </w:trPr>
        <w:tc>
          <w:tcPr>
            <w:tcW w:w="1473" w:type="dxa"/>
            <w:tcBorders>
              <w:top w:val="single" w:sz="4" w:space="0" w:color="999999"/>
              <w:left w:val="single" w:sz="4" w:space="0" w:color="999999"/>
              <w:bottom w:val="single" w:sz="4" w:space="0" w:color="999999"/>
              <w:right w:val="single" w:sz="4" w:space="0" w:color="999999"/>
            </w:tcBorders>
            <w:vAlign w:val="center"/>
          </w:tcPr>
          <w:p w14:paraId="52766460" w14:textId="77777777" w:rsidR="00BF3A36" w:rsidRPr="00BF3A36" w:rsidRDefault="00BF3A36" w:rsidP="00BF3A36">
            <w:pPr>
              <w:spacing w:line="259" w:lineRule="auto"/>
              <w:ind w:right="2"/>
              <w:jc w:val="center"/>
              <w:rPr>
                <w:rFonts w:ascii="Arial" w:eastAsia="Arial" w:hAnsi="Arial" w:cs="Arial"/>
                <w:color w:val="000000"/>
                <w:sz w:val="22"/>
                <w:lang w:val="ca-ES"/>
              </w:rPr>
            </w:pPr>
            <w:r w:rsidRPr="00BF3A36">
              <w:rPr>
                <w:rFonts w:ascii="Arial" w:eastAsia="Arial" w:hAnsi="Arial" w:cs="Arial"/>
                <w:color w:val="000000"/>
                <w:sz w:val="22"/>
                <w:lang w:val="ca-ES"/>
              </w:rPr>
              <w:t>2025</w:t>
            </w:r>
          </w:p>
        </w:tc>
        <w:tc>
          <w:tcPr>
            <w:tcW w:w="3529" w:type="dxa"/>
            <w:tcBorders>
              <w:top w:val="single" w:sz="4" w:space="0" w:color="999999"/>
              <w:left w:val="single" w:sz="4" w:space="0" w:color="999999"/>
              <w:bottom w:val="single" w:sz="4" w:space="0" w:color="999999"/>
              <w:right w:val="single" w:sz="4" w:space="0" w:color="999999"/>
            </w:tcBorders>
            <w:vAlign w:val="center"/>
          </w:tcPr>
          <w:p w14:paraId="22F58567" w14:textId="77777777" w:rsidR="00BF3A36" w:rsidRPr="00BF3A36" w:rsidRDefault="00BF3A36" w:rsidP="00BF3A36">
            <w:pPr>
              <w:spacing w:line="259" w:lineRule="auto"/>
              <w:jc w:val="center"/>
              <w:rPr>
                <w:rFonts w:ascii="Arial" w:eastAsia="Arial" w:hAnsi="Arial" w:cs="Arial"/>
                <w:color w:val="000000"/>
                <w:sz w:val="22"/>
                <w:lang w:val="ca-ES"/>
              </w:rPr>
            </w:pPr>
            <w:r w:rsidRPr="00BF3A36">
              <w:rPr>
                <w:rFonts w:ascii="Arial" w:eastAsia="Arial" w:hAnsi="Arial" w:cs="Arial"/>
                <w:color w:val="000000"/>
                <w:sz w:val="22"/>
                <w:lang w:val="ca-ES"/>
              </w:rPr>
              <w:t>54.3203.48000</w:t>
            </w:r>
          </w:p>
        </w:tc>
        <w:tc>
          <w:tcPr>
            <w:tcW w:w="2098" w:type="dxa"/>
            <w:tcBorders>
              <w:top w:val="single" w:sz="4" w:space="0" w:color="999999"/>
              <w:left w:val="single" w:sz="4" w:space="0" w:color="999999"/>
              <w:bottom w:val="single" w:sz="4" w:space="0" w:color="999999"/>
              <w:right w:val="single" w:sz="4" w:space="0" w:color="999999"/>
            </w:tcBorders>
            <w:vAlign w:val="center"/>
          </w:tcPr>
          <w:p w14:paraId="400B81AE" w14:textId="77777777" w:rsidR="00BF3A36" w:rsidRPr="00BF3A36" w:rsidRDefault="00BF3A36" w:rsidP="00BF3A36">
            <w:pPr>
              <w:spacing w:line="259" w:lineRule="auto"/>
              <w:ind w:left="3"/>
              <w:jc w:val="center"/>
              <w:rPr>
                <w:rFonts w:ascii="Arial" w:eastAsia="Arial" w:hAnsi="Arial" w:cs="Arial"/>
                <w:color w:val="000000"/>
                <w:sz w:val="22"/>
                <w:lang w:val="ca-ES"/>
              </w:rPr>
            </w:pPr>
            <w:r w:rsidRPr="00BF3A36">
              <w:rPr>
                <w:rFonts w:ascii="Arial" w:eastAsia="Arial" w:hAnsi="Arial" w:cs="Arial"/>
                <w:color w:val="000000"/>
                <w:sz w:val="22"/>
                <w:lang w:val="ca-ES"/>
              </w:rPr>
              <w:t>40.000,00 euros</w:t>
            </w:r>
          </w:p>
        </w:tc>
      </w:tr>
      <w:tr w:rsidR="00BF3A36" w:rsidRPr="00BF3A36" w14:paraId="053882CC" w14:textId="77777777" w:rsidTr="00520721">
        <w:trPr>
          <w:trHeight w:val="532"/>
        </w:trPr>
        <w:tc>
          <w:tcPr>
            <w:tcW w:w="1473" w:type="dxa"/>
            <w:tcBorders>
              <w:top w:val="single" w:sz="4" w:space="0" w:color="999999"/>
              <w:left w:val="single" w:sz="4" w:space="0" w:color="999999"/>
              <w:bottom w:val="single" w:sz="4" w:space="0" w:color="999999"/>
              <w:right w:val="single" w:sz="4" w:space="0" w:color="999999"/>
            </w:tcBorders>
            <w:vAlign w:val="center"/>
          </w:tcPr>
          <w:p w14:paraId="46D9B88E" w14:textId="77777777" w:rsidR="00BF3A36" w:rsidRPr="00BF3A36" w:rsidRDefault="00BF3A36" w:rsidP="00BF3A36">
            <w:pPr>
              <w:spacing w:line="259" w:lineRule="auto"/>
              <w:ind w:right="2"/>
              <w:jc w:val="center"/>
              <w:rPr>
                <w:rFonts w:ascii="Arial" w:eastAsia="Arial" w:hAnsi="Arial" w:cs="Arial"/>
                <w:color w:val="000000"/>
                <w:sz w:val="22"/>
                <w:lang w:val="ca-ES"/>
              </w:rPr>
            </w:pPr>
            <w:r w:rsidRPr="00BF3A36">
              <w:rPr>
                <w:rFonts w:ascii="Arial" w:eastAsia="Arial" w:hAnsi="Arial" w:cs="Arial"/>
                <w:color w:val="000000"/>
                <w:sz w:val="22"/>
                <w:lang w:val="ca-ES"/>
              </w:rPr>
              <w:t>2026</w:t>
            </w:r>
          </w:p>
        </w:tc>
        <w:tc>
          <w:tcPr>
            <w:tcW w:w="3529" w:type="dxa"/>
            <w:tcBorders>
              <w:top w:val="single" w:sz="4" w:space="0" w:color="999999"/>
              <w:left w:val="single" w:sz="4" w:space="0" w:color="999999"/>
              <w:bottom w:val="single" w:sz="4" w:space="0" w:color="999999"/>
              <w:right w:val="single" w:sz="4" w:space="0" w:color="999999"/>
            </w:tcBorders>
            <w:vAlign w:val="center"/>
          </w:tcPr>
          <w:p w14:paraId="298A0C62" w14:textId="77777777" w:rsidR="00BF3A36" w:rsidRPr="00BF3A36" w:rsidRDefault="00BF3A36" w:rsidP="00BF3A36">
            <w:pPr>
              <w:spacing w:line="259" w:lineRule="auto"/>
              <w:jc w:val="center"/>
              <w:rPr>
                <w:rFonts w:ascii="Arial" w:eastAsia="Arial" w:hAnsi="Arial" w:cs="Arial"/>
                <w:color w:val="000000"/>
                <w:sz w:val="22"/>
                <w:lang w:val="ca-ES"/>
              </w:rPr>
            </w:pPr>
            <w:r w:rsidRPr="00BF3A36">
              <w:rPr>
                <w:rFonts w:ascii="Arial" w:eastAsia="Arial" w:hAnsi="Arial" w:cs="Arial"/>
                <w:color w:val="000000"/>
                <w:sz w:val="22"/>
                <w:lang w:val="ca-ES"/>
              </w:rPr>
              <w:t>54.3203.48000</w:t>
            </w:r>
          </w:p>
        </w:tc>
        <w:tc>
          <w:tcPr>
            <w:tcW w:w="2098" w:type="dxa"/>
            <w:tcBorders>
              <w:top w:val="single" w:sz="4" w:space="0" w:color="999999"/>
              <w:left w:val="single" w:sz="4" w:space="0" w:color="999999"/>
              <w:bottom w:val="single" w:sz="4" w:space="0" w:color="999999"/>
              <w:right w:val="single" w:sz="4" w:space="0" w:color="999999"/>
            </w:tcBorders>
            <w:vAlign w:val="center"/>
          </w:tcPr>
          <w:p w14:paraId="3009DB8D" w14:textId="77777777" w:rsidR="00BF3A36" w:rsidRPr="00BF3A36" w:rsidRDefault="00BF3A36" w:rsidP="00BF3A36">
            <w:pPr>
              <w:spacing w:line="259" w:lineRule="auto"/>
              <w:ind w:left="2"/>
              <w:rPr>
                <w:rFonts w:ascii="Arial" w:eastAsia="Arial" w:hAnsi="Arial" w:cs="Arial"/>
                <w:color w:val="000000"/>
                <w:sz w:val="22"/>
                <w:lang w:val="ca-ES"/>
              </w:rPr>
            </w:pPr>
            <w:r w:rsidRPr="00BF3A36">
              <w:rPr>
                <w:rFonts w:ascii="Arial" w:eastAsia="Arial" w:hAnsi="Arial" w:cs="Arial"/>
                <w:color w:val="000000"/>
                <w:sz w:val="22"/>
                <w:lang w:val="ca-ES"/>
              </w:rPr>
              <w:t>60.000,00 euros (*)</w:t>
            </w:r>
          </w:p>
        </w:tc>
      </w:tr>
    </w:tbl>
    <w:p w14:paraId="63FE8607" w14:textId="77777777" w:rsidR="00BF3A36" w:rsidRPr="00BF3A36" w:rsidRDefault="00BF3A36" w:rsidP="00BF3A36">
      <w:pPr>
        <w:spacing w:after="329" w:line="276" w:lineRule="auto"/>
        <w:ind w:left="7" w:right="43" w:hanging="20"/>
        <w:jc w:val="both"/>
        <w:rPr>
          <w:rFonts w:ascii="Arial" w:eastAsia="Arial" w:hAnsi="Arial" w:cs="Arial"/>
          <w:color w:val="000000"/>
          <w:sz w:val="22"/>
          <w:lang w:val="ca-ES" w:eastAsia="es-ES"/>
        </w:rPr>
      </w:pPr>
      <w:r w:rsidRPr="00BF3A36">
        <w:rPr>
          <w:rFonts w:ascii="Arial" w:eastAsia="Arial" w:hAnsi="Arial" w:cs="Arial"/>
          <w:color w:val="000000"/>
          <w:sz w:val="20"/>
          <w:lang w:val="ca-ES" w:eastAsia="es-ES"/>
        </w:rPr>
        <w:t>(*) De conformitat amb l’article 174 Reial Decret Legislatiu 2/2004, de 5 de març, pel qual s’aprova el Text refós de la Llei Reguladora de les Hisendes Locals, l’autorització o realització de les despeses de caràcter plurianual quedaran subordinades al crèdit que per a cada exercici autoritzin els respectius pressupostos. La quantia total màxima que figuri en la convocatòria tindrà caràcter estimat pel que haurà de fer-se constar expressament en aquesta que la concessió de les subvencions queda condicionada a l'existència de crèdit adequat i suficient al moment de la resolució de concessió</w:t>
      </w:r>
    </w:p>
    <w:p w14:paraId="3668A40B"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3. Objecte</w:t>
      </w:r>
    </w:p>
    <w:p w14:paraId="676A0A3E"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L’objecte d’aquesta convocatòria és la concessió d’ajuts individuals de transport escolar col·lectiu per a necessitats socioeconòmiques i geogràfiques, d’acord amb la disposició pressupostària, per als alumnes d’educació infantil de segon cicle, educació primària i </w:t>
      </w:r>
      <w:r w:rsidRPr="00BF3A36">
        <w:rPr>
          <w:rFonts w:ascii="Arial" w:eastAsia="Arial" w:hAnsi="Arial" w:cs="Arial"/>
          <w:color w:val="000000"/>
          <w:sz w:val="22"/>
          <w:lang w:val="ca-ES" w:eastAsia="es-ES"/>
        </w:rPr>
        <w:lastRenderedPageBreak/>
        <w:t>educació secundària de la comarca de la Selva, per garantir el principi d’igualtat d’oportunitats en la població escolar i promoure accions de caràcter compensatori en relació amb les persones que es troben en situacions socioeconòmiques desfavorables.</w:t>
      </w:r>
    </w:p>
    <w:p w14:paraId="6A17DAF7"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4. Beneficiaris i requisits</w:t>
      </w:r>
    </w:p>
    <w:p w14:paraId="30382BE5" w14:textId="77777777" w:rsidR="00BF3A36" w:rsidRPr="00BF3A36" w:rsidRDefault="00BF3A36" w:rsidP="00BF3A36">
      <w:pPr>
        <w:spacing w:after="127"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4.1. Els beneficiaris d'ajut de transport escolar són els alumnes que reuneixin els requisits següents:</w:t>
      </w:r>
    </w:p>
    <w:p w14:paraId="75F8B4D3" w14:textId="77777777" w:rsidR="00BF3A36" w:rsidRPr="00BF3A36" w:rsidRDefault="00BF3A36" w:rsidP="00BF3A36">
      <w:pPr>
        <w:numPr>
          <w:ilvl w:val="0"/>
          <w:numId w:val="1"/>
        </w:numPr>
        <w:spacing w:after="127"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Estar matriculat en un centre educatiu de la comarca de la Selva sostingut amb fons públics de Catalunya (cursos segon i tercer dels ensenyaments de primer cicle d’infantil, en aquelles escoles de titularitat de la Generalitat on s’hagi implantat, i qualsevol dels cursos del ensenyaments de segon cicle d’educació infantil i d’ensenyaments obligatoris), que siguin usuaris del servei de transport escolar col·lectiu durant el curs 2025/26 i no els correspongui la gratuïtat del servei.</w:t>
      </w:r>
    </w:p>
    <w:p w14:paraId="613DEB2D" w14:textId="77777777" w:rsidR="00BF3A36" w:rsidRPr="00BF3A36" w:rsidRDefault="00BF3A36" w:rsidP="00BF3A36">
      <w:pPr>
        <w:numPr>
          <w:ilvl w:val="0"/>
          <w:numId w:val="1"/>
        </w:numPr>
        <w:spacing w:after="127"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Està matriculat en un centre seguint el mapa escolar i/o centre d’adscripció, que estableix el Departament d’Educació i Formació Professional.</w:t>
      </w:r>
    </w:p>
    <w:p w14:paraId="1F74062D" w14:textId="77777777" w:rsidR="00BF3A36" w:rsidRPr="00BF3A36" w:rsidRDefault="00BF3A36" w:rsidP="00BF3A36">
      <w:pPr>
        <w:numPr>
          <w:ilvl w:val="0"/>
          <w:numId w:val="1"/>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A més, caldrà que resideixin en municipis on l’ajuntament hagi signat el conveni de col·laboració amb el Consell Comarcal de la Selva per al Transport Escolar No Obligatori (TNO), en relació al seu </w:t>
      </w:r>
      <w:proofErr w:type="spellStart"/>
      <w:r w:rsidRPr="00BF3A36">
        <w:rPr>
          <w:rFonts w:ascii="Arial" w:eastAsia="Arial" w:hAnsi="Arial" w:cs="Arial"/>
          <w:color w:val="000000"/>
          <w:sz w:val="22"/>
          <w:lang w:val="ca-ES" w:eastAsia="es-ES"/>
        </w:rPr>
        <w:t>nivel</w:t>
      </w:r>
      <w:proofErr w:type="spellEnd"/>
      <w:r w:rsidRPr="00BF3A36">
        <w:rPr>
          <w:rFonts w:ascii="Arial" w:eastAsia="Arial" w:hAnsi="Arial" w:cs="Arial"/>
          <w:color w:val="000000"/>
          <w:sz w:val="22"/>
          <w:lang w:val="ca-ES" w:eastAsia="es-ES"/>
        </w:rPr>
        <w:t xml:space="preserve"> d’estudis i/o centre educatiu.</w:t>
      </w:r>
    </w:p>
    <w:p w14:paraId="411DA43F" w14:textId="77777777" w:rsidR="00BF3A36" w:rsidRPr="00BF3A36" w:rsidRDefault="00BF3A36" w:rsidP="00BF3A36">
      <w:pPr>
        <w:spacing w:after="296" w:line="269" w:lineRule="auto"/>
        <w:ind w:left="736"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Queden exclosos d’aquesta línia d’ajuts els alumnes de qualsevol tipus d’ensenyament post-obligatori.</w:t>
      </w:r>
    </w:p>
    <w:p w14:paraId="2932CBB2" w14:textId="77777777" w:rsidR="00BF3A36" w:rsidRPr="00BF3A36" w:rsidRDefault="00BF3A36" w:rsidP="00BF3A36">
      <w:pPr>
        <w:numPr>
          <w:ilvl w:val="1"/>
          <w:numId w:val="2"/>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Els sol·licitants de l'ajut de transport són el pare, la mare, el tutor o la tutora o representant legal de l'alumne/a o alumnes.</w:t>
      </w:r>
    </w:p>
    <w:p w14:paraId="1CBD3818" w14:textId="77777777" w:rsidR="00BF3A36" w:rsidRPr="00BF3A36" w:rsidRDefault="00BF3A36" w:rsidP="00BF3A36">
      <w:pPr>
        <w:numPr>
          <w:ilvl w:val="1"/>
          <w:numId w:val="2"/>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la naturalesa de l’ajut i l’especificitat del col·lectiu, per obtenir la condició de perceptor de l’ajut no cal acreditar el compliment dels requisits establerts a l’article 13.2 de Llei 38/2003, de 17 de novembre, general de subvencions.</w:t>
      </w:r>
    </w:p>
    <w:p w14:paraId="221DAEB0" w14:textId="77777777" w:rsidR="00BF3A36" w:rsidRPr="00BF3A36" w:rsidRDefault="00BF3A36" w:rsidP="00BF3A36">
      <w:pPr>
        <w:numPr>
          <w:ilvl w:val="1"/>
          <w:numId w:val="2"/>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Els ajuts convocats són compatibles amb qualsevol altre que es pugui rebre, per a la mateixa finalitat, d’altres entitats o persones públiques o privades. En cap cas, l’import dels ajuts concurrents no pot superar el cost de la despesa realitzada.</w:t>
      </w:r>
    </w:p>
    <w:p w14:paraId="67C351BA"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5. Òrgan competent per a la instrucció i resolució del procediment</w:t>
      </w:r>
    </w:p>
    <w:p w14:paraId="4B234AD3"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L'òrgan competent per a la instrucció de l'expedient és el Cap de la Unitat d’Educació del Consell Comarcal de la Selva.</w:t>
      </w:r>
    </w:p>
    <w:p w14:paraId="23FA5CF7"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Aquest sol·licitarà quants informes estimi necessaris per resoldre, així com avaluar les sol·licituds que es presentin dintre del termini i en la forma escaient, tot això de conformitat amb l'article 24 de la Llei 38/2003, de 14 de novembre, General de Subvencions.</w:t>
      </w:r>
    </w:p>
    <w:p w14:paraId="56CD412D"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lastRenderedPageBreak/>
        <w:t>L'òrgan competent per resoldre serà la Presidència del Consell Comarcal de la Selva.</w:t>
      </w:r>
    </w:p>
    <w:p w14:paraId="1B4A4633"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6. Termini de presentació de sol·licituds</w:t>
      </w:r>
    </w:p>
    <w:p w14:paraId="0B73C6C2"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El Consell Comarcal publicarà l’edicte de convocatòria dels ajuts al Butlletí Oficial de la Província (BOP) i a </w:t>
      </w:r>
      <w:proofErr w:type="spellStart"/>
      <w:r w:rsidRPr="00BF3A36">
        <w:rPr>
          <w:rFonts w:ascii="Arial" w:eastAsia="Arial" w:hAnsi="Arial" w:cs="Arial"/>
          <w:color w:val="000000"/>
          <w:sz w:val="22"/>
          <w:lang w:val="ca-ES" w:eastAsia="es-ES"/>
        </w:rPr>
        <w:t>l’e</w:t>
      </w:r>
      <w:proofErr w:type="spellEnd"/>
      <w:r w:rsidRPr="00BF3A36">
        <w:rPr>
          <w:rFonts w:ascii="Arial" w:eastAsia="Arial" w:hAnsi="Arial" w:cs="Arial"/>
          <w:color w:val="000000"/>
          <w:sz w:val="22"/>
          <w:lang w:val="ca-ES" w:eastAsia="es-ES"/>
        </w:rPr>
        <w:t>-tauler del Consell Comarcal. El termini de presentació de sol·licituds s’iniciarà el dia 12 de maig i restarà obert tot el curs escolar.</w:t>
      </w:r>
    </w:p>
    <w:p w14:paraId="739CA4BD"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tal que els ajuts siguin d’aplicació el primer trimestre de curs, caldrà haver-los sol·licitat, com a molt tard, el dia 1 de juny (excepte en els casos d’alumnes que cursaran I3, que aquesta data s’allargarà fins el 15 de juliol, degut a què la seva matriculació és més tardana).</w:t>
      </w:r>
    </w:p>
    <w:p w14:paraId="5B68E390"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Les sol·licituds rebudes entre el 2 de juny i el 30 de novembre i siguin resoltes favorablement, s’aplicaran a partir del primer dia del segon trimestre de curs.</w:t>
      </w:r>
    </w:p>
    <w:p w14:paraId="61EF03B8"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Le sol·licituds rebudes entre el dia 1 de desembre i el 10 de març i siguin resoltes favorablement, s’aplicaran a partir del primer dia del tercer trimestre de curs.</w:t>
      </w:r>
    </w:p>
    <w:p w14:paraId="296EA614"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7. Sol·licituds i documentació</w:t>
      </w:r>
    </w:p>
    <w:p w14:paraId="14E606E3"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7.1 Documentació obligatòria:</w:t>
      </w:r>
    </w:p>
    <w:p w14:paraId="57A30017" w14:textId="77777777" w:rsidR="00BF3A36" w:rsidRPr="00BF3A36" w:rsidRDefault="00BF3A36" w:rsidP="00BF3A36">
      <w:pPr>
        <w:spacing w:after="180"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Les persones interessades en aquesta convocatòria han de presentar la documentació obligatòria següent:</w:t>
      </w:r>
    </w:p>
    <w:p w14:paraId="23475317" w14:textId="77777777" w:rsidR="00BF3A36" w:rsidRPr="00BF3A36" w:rsidRDefault="00BF3A36" w:rsidP="00BF3A36">
      <w:pPr>
        <w:numPr>
          <w:ilvl w:val="0"/>
          <w:numId w:val="3"/>
        </w:numPr>
        <w:spacing w:after="145"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Model de sol·licitud. Cada família presentarà una sol·licitud única per tots els membres de la unitat familiar. Les sol·licituds es podran presentar a través dels següents canals: </w:t>
      </w:r>
    </w:p>
    <w:p w14:paraId="024B5FF1" w14:textId="77777777" w:rsidR="00BF3A36" w:rsidRPr="00BF3A36" w:rsidRDefault="00BF3A36" w:rsidP="00BF3A36">
      <w:pPr>
        <w:numPr>
          <w:ilvl w:val="3"/>
          <w:numId w:val="4"/>
        </w:numPr>
        <w:spacing w:after="18"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Imprès normalitzat degudament imprès i signat, presentat en format paper a qualsevol oficina de registre del Consell Comarcal de la Selva o per correu postal administratiu.</w:t>
      </w:r>
    </w:p>
    <w:p w14:paraId="20AC5813" w14:textId="77777777" w:rsidR="00BF3A36" w:rsidRPr="00BF3A36" w:rsidRDefault="00BF3A36" w:rsidP="00BF3A36">
      <w:pPr>
        <w:numPr>
          <w:ilvl w:val="3"/>
          <w:numId w:val="4"/>
        </w:numPr>
        <w:spacing w:after="18"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Formulari digital signat electrònicament o tramitat a través del servei d’instància electrònica del Consell Comarcal de la Selva.</w:t>
      </w:r>
    </w:p>
    <w:p w14:paraId="0EBB9B3D" w14:textId="77777777" w:rsidR="00BF3A36" w:rsidRPr="00BF3A36" w:rsidRDefault="00BF3A36" w:rsidP="00BF3A36">
      <w:pPr>
        <w:numPr>
          <w:ilvl w:val="0"/>
          <w:numId w:val="3"/>
        </w:numPr>
        <w:spacing w:after="179"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En el cas de l’alumne s’haurà d’informar de l’IDALU (codi identificador assignat a cada alumne).</w:t>
      </w:r>
    </w:p>
    <w:p w14:paraId="4E3F1E78" w14:textId="77777777" w:rsidR="00BF3A36" w:rsidRPr="00BF3A36" w:rsidRDefault="00BF3A36" w:rsidP="00BF3A36">
      <w:pPr>
        <w:numPr>
          <w:ilvl w:val="0"/>
          <w:numId w:val="3"/>
        </w:numPr>
        <w:spacing w:after="179"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Relació de membres de la unitat familiar que conviuen en el mateix domicili, indicant nom, cognoms i NIF/NIE, si s’escau, de cadascun d’ells. </w:t>
      </w:r>
    </w:p>
    <w:p w14:paraId="6680BAFB" w14:textId="77777777" w:rsidR="00BF3A36" w:rsidRPr="00BF3A36" w:rsidRDefault="00BF3A36" w:rsidP="00BF3A36">
      <w:pPr>
        <w:numPr>
          <w:ilvl w:val="0"/>
          <w:numId w:val="3"/>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Correu electrònic i telèfon mòbil on s’informarà de la resolució dels ajuts.</w:t>
      </w:r>
    </w:p>
    <w:p w14:paraId="739223C5"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7.2 Documentació complementària: </w:t>
      </w:r>
    </w:p>
    <w:p w14:paraId="48732EAF" w14:textId="77777777" w:rsidR="00BF3A36" w:rsidRPr="00BF3A36" w:rsidRDefault="00BF3A36" w:rsidP="00BF3A36">
      <w:pPr>
        <w:spacing w:after="184" w:line="269" w:lineRule="auto"/>
        <w:ind w:left="735"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7.2.1) Acreditació de situacions específiques de la unitat familiar, si s’escau:</w:t>
      </w:r>
    </w:p>
    <w:p w14:paraId="05D2BBA1" w14:textId="77777777" w:rsidR="00BF3A36" w:rsidRPr="00BF3A36" w:rsidRDefault="00BF3A36" w:rsidP="00BF3A36">
      <w:pPr>
        <w:numPr>
          <w:ilvl w:val="0"/>
          <w:numId w:val="3"/>
        </w:numPr>
        <w:spacing w:after="179"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Infants en acolliment: s’acreditarà mitjançant la resolució d'acolliment de la Direcció General d'Atenció a la Infància i l'Adolescència.</w:t>
      </w:r>
    </w:p>
    <w:p w14:paraId="0074D0FB" w14:textId="77777777" w:rsidR="00BF3A36" w:rsidRPr="00BF3A36" w:rsidRDefault="00BF3A36" w:rsidP="00BF3A36">
      <w:pPr>
        <w:numPr>
          <w:ilvl w:val="0"/>
          <w:numId w:val="3"/>
        </w:numPr>
        <w:spacing w:after="180"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lastRenderedPageBreak/>
        <w:t>Document acreditatiu de prestacions econòmiques d’urgència social, atorgades per administracions públiques, que tinguin per finalitat atendre situacions de necessitats puntuals, urgents i bàsiques, de subsistència, com per exemple l'alimentació, el vestit i l'allotjament .</w:t>
      </w:r>
    </w:p>
    <w:p w14:paraId="1C81D739" w14:textId="77777777" w:rsidR="00BF3A36" w:rsidRPr="00BF3A36" w:rsidRDefault="00BF3A36" w:rsidP="00BF3A36">
      <w:pPr>
        <w:numPr>
          <w:ilvl w:val="0"/>
          <w:numId w:val="3"/>
        </w:numPr>
        <w:spacing w:after="207"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Conveni regulador o sentència de separació/divorci/, o l’acta final de mediació del Departament de Justícia, o autorització notarial de sortida del país i si s’escau conveni regulador (adjuntant en idioma original i la traducció jurada al català o castellà)</w:t>
      </w:r>
      <w:r w:rsidRPr="00BF3A36">
        <w:rPr>
          <w:rFonts w:ascii="Arial" w:eastAsia="Arial" w:hAnsi="Arial" w:cs="Arial"/>
          <w:color w:val="000000"/>
          <w:sz w:val="22"/>
          <w:vertAlign w:val="superscript"/>
          <w:lang w:val="ca-ES" w:eastAsia="es-ES"/>
        </w:rPr>
        <w:t>2</w:t>
      </w:r>
      <w:r w:rsidRPr="00BF3A36">
        <w:rPr>
          <w:rFonts w:ascii="Arial" w:eastAsia="Arial" w:hAnsi="Arial" w:cs="Arial"/>
          <w:color w:val="000000"/>
          <w:sz w:val="22"/>
          <w:lang w:val="ca-ES" w:eastAsia="es-ES"/>
        </w:rPr>
        <w:t>.</w:t>
      </w:r>
    </w:p>
    <w:p w14:paraId="3C2A555D" w14:textId="77777777" w:rsidR="00BF3A36" w:rsidRPr="00BF3A36" w:rsidRDefault="00BF3A36" w:rsidP="00BF3A36">
      <w:pPr>
        <w:numPr>
          <w:ilvl w:val="0"/>
          <w:numId w:val="3"/>
        </w:numPr>
        <w:spacing w:after="749"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En cas de viduïtat d’un progenitor/a, adjuntar el certificat de defunció.</w:t>
      </w:r>
    </w:p>
    <w:p w14:paraId="3F19A3D8" w14:textId="77777777" w:rsidR="00BF3A36" w:rsidRPr="00BF3A36" w:rsidRDefault="00BF3A36" w:rsidP="00BF3A36">
      <w:pPr>
        <w:spacing w:after="0" w:line="259" w:lineRule="auto"/>
        <w:ind w:right="175"/>
        <w:jc w:val="center"/>
        <w:rPr>
          <w:rFonts w:ascii="Arial" w:eastAsia="Arial" w:hAnsi="Arial" w:cs="Arial"/>
          <w:color w:val="000000"/>
          <w:sz w:val="22"/>
          <w:lang w:val="ca-ES" w:eastAsia="es-ES"/>
        </w:rPr>
      </w:pPr>
      <w:r w:rsidRPr="00BF3A36">
        <w:rPr>
          <w:rFonts w:ascii="Arial" w:eastAsia="Arial" w:hAnsi="Arial" w:cs="Arial"/>
          <w:color w:val="000000"/>
          <w:sz w:val="22"/>
          <w:lang w:val="ca-ES" w:eastAsia="es-ES"/>
        </w:rPr>
        <w:t>7.2.2) Valoració per part dels serveis socials per situació social de risc:</w:t>
      </w:r>
    </w:p>
    <w:p w14:paraId="55AF698A"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Les famílies ateses pels serveis socials hauran de declarar aquesta situació a la sol·licitud indicant per quins serveis socials són ateses.</w:t>
      </w:r>
    </w:p>
    <w:p w14:paraId="4570A554"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A l‘efecte de determinar la puntuació corresponent en aquest àmbit, es recomana tenir en compte les següents circumstàncies:</w:t>
      </w:r>
    </w:p>
    <w:p w14:paraId="0D836B53" w14:textId="77777777" w:rsidR="00BF3A36" w:rsidRPr="00BF3A36" w:rsidRDefault="00BF3A36" w:rsidP="00BF3A36">
      <w:pPr>
        <w:spacing w:after="80" w:line="269" w:lineRule="auto"/>
        <w:ind w:left="735"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1.Per situació de risc social: </w:t>
      </w:r>
    </w:p>
    <w:p w14:paraId="05B90089" w14:textId="77777777" w:rsidR="00BF3A36" w:rsidRPr="00BF3A36" w:rsidRDefault="00BF3A36" w:rsidP="00BF3A36">
      <w:pPr>
        <w:numPr>
          <w:ilvl w:val="0"/>
          <w:numId w:val="5"/>
        </w:numPr>
        <w:spacing w:after="0"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Observades en l'infant: </w:t>
      </w:r>
    </w:p>
    <w:p w14:paraId="25562FC8" w14:textId="77777777" w:rsidR="00BF3A36" w:rsidRPr="00BF3A36" w:rsidRDefault="00BF3A36" w:rsidP="00BF3A36">
      <w:pPr>
        <w:numPr>
          <w:ilvl w:val="2"/>
          <w:numId w:val="6"/>
        </w:numPr>
        <w:spacing w:after="63"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Absentisme escolar </w:t>
      </w:r>
    </w:p>
    <w:p w14:paraId="7673E558" w14:textId="77777777" w:rsidR="00BF3A36" w:rsidRPr="00BF3A36" w:rsidRDefault="00BF3A36" w:rsidP="00BF3A36">
      <w:pPr>
        <w:numPr>
          <w:ilvl w:val="2"/>
          <w:numId w:val="6"/>
        </w:numPr>
        <w:spacing w:after="49"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Hàbits de menjar: són irregulars i/o inadequats -</w:t>
      </w:r>
      <w:r w:rsidRPr="00BF3A36">
        <w:rPr>
          <w:rFonts w:ascii="Arial" w:eastAsia="Arial" w:hAnsi="Arial" w:cs="Arial"/>
          <w:color w:val="000000"/>
          <w:sz w:val="22"/>
          <w:lang w:val="ca-ES" w:eastAsia="es-ES"/>
        </w:rPr>
        <w:tab/>
        <w:t xml:space="preserve">Vestit inadequat i/o manca d'higiene. </w:t>
      </w:r>
    </w:p>
    <w:p w14:paraId="57324B11" w14:textId="77777777" w:rsidR="00BF3A36" w:rsidRPr="00BF3A36" w:rsidRDefault="00BF3A36" w:rsidP="00BF3A36">
      <w:pPr>
        <w:numPr>
          <w:ilvl w:val="2"/>
          <w:numId w:val="6"/>
        </w:numPr>
        <w:spacing w:after="44"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Dificultat d'adaptació social (retraïment, aïllament, pors, agressivitat, manifestacions conductuals) </w:t>
      </w:r>
    </w:p>
    <w:p w14:paraId="3F76ACCF" w14:textId="77777777" w:rsidR="00BF3A36" w:rsidRPr="00BF3A36" w:rsidRDefault="00BF3A36" w:rsidP="00BF3A36">
      <w:pPr>
        <w:numPr>
          <w:ilvl w:val="2"/>
          <w:numId w:val="6"/>
        </w:numPr>
        <w:spacing w:after="44"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Nens/es que des dels diferents serveis observen trastorns de l'alimentació. </w:t>
      </w:r>
    </w:p>
    <w:p w14:paraId="46D04EAD" w14:textId="77777777" w:rsidR="00BF3A36" w:rsidRPr="00BF3A36" w:rsidRDefault="00BF3A36" w:rsidP="00BF3A36">
      <w:pPr>
        <w:numPr>
          <w:ilvl w:val="2"/>
          <w:numId w:val="6"/>
        </w:numPr>
        <w:spacing w:after="384"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Trastorns emocionals i/o malaltia mental. </w:t>
      </w:r>
    </w:p>
    <w:p w14:paraId="406715A5" w14:textId="77777777" w:rsidR="00BF3A36" w:rsidRPr="00BF3A36" w:rsidRDefault="00BF3A36" w:rsidP="00BF3A36">
      <w:pPr>
        <w:numPr>
          <w:ilvl w:val="0"/>
          <w:numId w:val="5"/>
        </w:numPr>
        <w:spacing w:after="0"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Observades en la família: </w:t>
      </w:r>
    </w:p>
    <w:p w14:paraId="4DB629C4" w14:textId="77777777" w:rsidR="00BF3A36" w:rsidRPr="00BF3A36" w:rsidRDefault="00BF3A36" w:rsidP="00BF3A36">
      <w:pPr>
        <w:numPr>
          <w:ilvl w:val="1"/>
          <w:numId w:val="5"/>
        </w:numPr>
        <w:spacing w:after="63"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Trastorns emocionals i/o malaltia mental. </w:t>
      </w:r>
    </w:p>
    <w:p w14:paraId="606D2156" w14:textId="77777777" w:rsidR="00BF3A36" w:rsidRPr="00BF3A36" w:rsidRDefault="00BF3A36" w:rsidP="00BF3A36">
      <w:pPr>
        <w:numPr>
          <w:ilvl w:val="1"/>
          <w:numId w:val="5"/>
        </w:numPr>
        <w:spacing w:after="63"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Consum de tòxics. </w:t>
      </w:r>
    </w:p>
    <w:p w14:paraId="55A4D7FA" w14:textId="77777777" w:rsidR="00BF3A36" w:rsidRPr="00BF3A36" w:rsidRDefault="00BF3A36" w:rsidP="00BF3A36">
      <w:pPr>
        <w:numPr>
          <w:ilvl w:val="1"/>
          <w:numId w:val="5"/>
        </w:numPr>
        <w:spacing w:after="44"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Negligència lleu, quan l'omissió no atempta contra la dignitat física i/o psíquica del menor. </w:t>
      </w:r>
    </w:p>
    <w:p w14:paraId="2FFE75B3" w14:textId="77777777" w:rsidR="00BF3A36" w:rsidRPr="00BF3A36" w:rsidRDefault="00BF3A36" w:rsidP="00BF3A36">
      <w:pPr>
        <w:numPr>
          <w:ilvl w:val="1"/>
          <w:numId w:val="5"/>
        </w:numPr>
        <w:spacing w:after="45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Seguiment mèdic excessiu, absents o amb mancances significatives. </w:t>
      </w:r>
    </w:p>
    <w:p w14:paraId="4FF632BC" w14:textId="77777777" w:rsidR="00BF3A36" w:rsidRPr="00BF3A36" w:rsidRDefault="00BF3A36" w:rsidP="00BF3A36">
      <w:pPr>
        <w:spacing w:after="518" w:line="259" w:lineRule="auto"/>
        <w:ind w:left="24"/>
        <w:rPr>
          <w:rFonts w:ascii="Arial" w:eastAsia="Arial" w:hAnsi="Arial" w:cs="Arial"/>
          <w:color w:val="000000"/>
          <w:sz w:val="22"/>
          <w:lang w:val="ca-ES" w:eastAsia="es-ES"/>
        </w:rPr>
      </w:pPr>
      <w:r w:rsidRPr="00BF3A36">
        <w:rPr>
          <w:rFonts w:ascii="Calibri" w:eastAsia="Calibri" w:hAnsi="Calibri" w:cs="Calibri"/>
          <w:noProof/>
          <w:color w:val="000000"/>
          <w:sz w:val="22"/>
          <w:lang w:val="ca-ES" w:eastAsia="es-ES"/>
        </w:rPr>
        <mc:AlternateContent>
          <mc:Choice Requires="wpg">
            <w:drawing>
              <wp:inline distT="0" distB="0" distL="0" distR="0" wp14:anchorId="0FBB8839" wp14:editId="2865A5A9">
                <wp:extent cx="2676525" cy="6350"/>
                <wp:effectExtent l="0" t="0" r="0" b="0"/>
                <wp:docPr id="15771" name="Group 15771"/>
                <wp:cNvGraphicFramePr/>
                <a:graphic xmlns:a="http://schemas.openxmlformats.org/drawingml/2006/main">
                  <a:graphicData uri="http://schemas.microsoft.com/office/word/2010/wordprocessingGroup">
                    <wpg:wgp>
                      <wpg:cNvGrpSpPr/>
                      <wpg:grpSpPr>
                        <a:xfrm>
                          <a:off x="0" y="0"/>
                          <a:ext cx="2676525" cy="6350"/>
                          <a:chOff x="0" y="0"/>
                          <a:chExt cx="2676525" cy="6350"/>
                        </a:xfrm>
                      </wpg:grpSpPr>
                      <wps:wsp>
                        <wps:cNvPr id="496" name="Shape 496"/>
                        <wps:cNvSpPr/>
                        <wps:spPr>
                          <a:xfrm>
                            <a:off x="0" y="0"/>
                            <a:ext cx="2676525" cy="0"/>
                          </a:xfrm>
                          <a:custGeom>
                            <a:avLst/>
                            <a:gdLst/>
                            <a:ahLst/>
                            <a:cxnLst/>
                            <a:rect l="0" t="0" r="0" b="0"/>
                            <a:pathLst>
                              <a:path w="2676525">
                                <a:moveTo>
                                  <a:pt x="0" y="0"/>
                                </a:moveTo>
                                <a:lnTo>
                                  <a:pt x="2676525" y="0"/>
                                </a:lnTo>
                              </a:path>
                            </a:pathLst>
                          </a:custGeom>
                          <a:noFill/>
                          <a:ln w="6350" cap="flat" cmpd="sng" algn="ctr">
                            <a:solidFill>
                              <a:srgbClr val="4472C4"/>
                            </a:solidFill>
                            <a:prstDash val="solid"/>
                            <a:miter lim="127000"/>
                          </a:ln>
                          <a:effectLst/>
                        </wps:spPr>
                        <wps:bodyPr/>
                      </wps:wsp>
                    </wpg:wgp>
                  </a:graphicData>
                </a:graphic>
              </wp:inline>
            </w:drawing>
          </mc:Choice>
          <mc:Fallback>
            <w:pict>
              <v:group w14:anchorId="7E6F62EC" id="Group 15771" o:spid="_x0000_s1026" style="width:210.75pt;height:.5pt;mso-position-horizontal-relative:char;mso-position-vertical-relative:line" coordsize="2676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">
                <v:shape id="Shape 496" o:spid="_x0000_s1027" style="position:absolute;width:26765;height:0;visibility:visible;mso-wrap-style:square;v-text-anchor:top" coordsize="2676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" path="m,l2676525,e" filled="f" strokecolor="#4472c4" strokeweight=".5pt">
                  <v:stroke miterlimit="83231f" joinstyle="miter"/>
                  <v:path arrowok="t" textboxrect="0,0,2676525,0"/>
                </v:shape>
                <w10:anchorlock/>
              </v:group>
            </w:pict>
          </mc:Fallback>
        </mc:AlternateContent>
      </w:r>
    </w:p>
    <w:p w14:paraId="330546EA" w14:textId="77777777" w:rsidR="00BF3A36" w:rsidRPr="00BF3A36" w:rsidRDefault="00BF3A36" w:rsidP="00BF3A36">
      <w:pPr>
        <w:spacing w:after="933" w:line="292" w:lineRule="auto"/>
        <w:ind w:left="17" w:right="59"/>
        <w:jc w:val="both"/>
        <w:rPr>
          <w:rFonts w:ascii="Arial" w:eastAsia="Arial" w:hAnsi="Arial" w:cs="Arial"/>
          <w:color w:val="000000"/>
          <w:sz w:val="22"/>
          <w:lang w:val="ca-ES" w:eastAsia="es-ES"/>
        </w:rPr>
      </w:pPr>
      <w:r w:rsidRPr="00BF3A36">
        <w:rPr>
          <w:rFonts w:ascii="Arial" w:eastAsia="Arial" w:hAnsi="Arial" w:cs="Arial"/>
          <w:color w:val="000000"/>
          <w:sz w:val="16"/>
          <w:vertAlign w:val="superscript"/>
          <w:lang w:val="ca-ES" w:eastAsia="es-ES"/>
        </w:rPr>
        <w:t xml:space="preserve">2 </w:t>
      </w:r>
      <w:r w:rsidRPr="00BF3A36">
        <w:rPr>
          <w:rFonts w:ascii="Arial" w:eastAsia="Arial" w:hAnsi="Arial" w:cs="Arial"/>
          <w:color w:val="000000"/>
          <w:sz w:val="16"/>
          <w:lang w:val="ca-ES" w:eastAsia="es-ES"/>
        </w:rPr>
        <w:t>Si s’escau en cas d’impagament cal acreditar amb la demanda executiva de compliment dels acords o per sentència  del divorci o separació. I en els casos d’actes finals de mediació, caldrà presentar la demanda de regulació de mesures civils en relació als menors en comú.</w:t>
      </w:r>
    </w:p>
    <w:p w14:paraId="6C7E5912" w14:textId="77777777" w:rsidR="00BF3A36" w:rsidRPr="00BF3A36" w:rsidRDefault="00BF3A36" w:rsidP="00BF3A36">
      <w:pPr>
        <w:numPr>
          <w:ilvl w:val="3"/>
          <w:numId w:val="7"/>
        </w:numPr>
        <w:spacing w:after="44"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lastRenderedPageBreak/>
        <w:t xml:space="preserve">Problemes d'habitatge: manca, desnonament, amuntegament, estada en centre d'acollida, etc. </w:t>
      </w:r>
    </w:p>
    <w:p w14:paraId="462BEE1E" w14:textId="77777777" w:rsidR="00BF3A36" w:rsidRPr="00BF3A36" w:rsidRDefault="00BF3A36" w:rsidP="00BF3A36">
      <w:pPr>
        <w:numPr>
          <w:ilvl w:val="3"/>
          <w:numId w:val="7"/>
        </w:numPr>
        <w:spacing w:after="63"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Família monoparental amb poc o nul suport de família extensa. </w:t>
      </w:r>
    </w:p>
    <w:p w14:paraId="1E5AC201" w14:textId="77777777" w:rsidR="00BF3A36" w:rsidRPr="00BF3A36" w:rsidRDefault="00BF3A36" w:rsidP="00BF3A36">
      <w:pPr>
        <w:numPr>
          <w:ilvl w:val="3"/>
          <w:numId w:val="7"/>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Sospites de l'existència de maltractament (físic, psicològic o emocional) </w:t>
      </w:r>
    </w:p>
    <w:p w14:paraId="1AD15052" w14:textId="77777777" w:rsidR="00BF3A36" w:rsidRPr="00BF3A36" w:rsidRDefault="00BF3A36" w:rsidP="00BF3A36">
      <w:pPr>
        <w:tabs>
          <w:tab w:val="center" w:pos="960"/>
          <w:tab w:val="center" w:pos="2955"/>
        </w:tabs>
        <w:spacing w:after="78" w:line="269" w:lineRule="auto"/>
        <w:rPr>
          <w:rFonts w:ascii="Arial" w:eastAsia="Arial" w:hAnsi="Arial" w:cs="Arial"/>
          <w:color w:val="000000"/>
          <w:sz w:val="22"/>
          <w:lang w:val="ca-ES" w:eastAsia="es-ES"/>
        </w:rPr>
      </w:pPr>
      <w:r w:rsidRPr="00BF3A36">
        <w:rPr>
          <w:rFonts w:ascii="Calibri" w:eastAsia="Calibri" w:hAnsi="Calibri" w:cs="Calibri"/>
          <w:color w:val="000000"/>
          <w:sz w:val="22"/>
          <w:lang w:val="ca-ES" w:eastAsia="es-ES"/>
        </w:rPr>
        <w:tab/>
      </w:r>
      <w:r w:rsidRPr="00BF3A36">
        <w:rPr>
          <w:rFonts w:ascii="Arial" w:eastAsia="Arial" w:hAnsi="Arial" w:cs="Arial"/>
          <w:color w:val="000000"/>
          <w:sz w:val="22"/>
          <w:lang w:val="ca-ES" w:eastAsia="es-ES"/>
        </w:rPr>
        <w:t>2.</w:t>
      </w:r>
      <w:r w:rsidRPr="00BF3A36">
        <w:rPr>
          <w:rFonts w:ascii="Arial" w:eastAsia="Arial" w:hAnsi="Arial" w:cs="Arial"/>
          <w:color w:val="000000"/>
          <w:sz w:val="22"/>
          <w:lang w:val="ca-ES" w:eastAsia="es-ES"/>
        </w:rPr>
        <w:tab/>
        <w:t xml:space="preserve">Per situació de risc social greu: </w:t>
      </w:r>
    </w:p>
    <w:p w14:paraId="6B0316DA" w14:textId="77777777" w:rsidR="00BF3A36" w:rsidRPr="00BF3A36" w:rsidRDefault="00BF3A36" w:rsidP="00BF3A36">
      <w:pPr>
        <w:numPr>
          <w:ilvl w:val="2"/>
          <w:numId w:val="8"/>
        </w:numPr>
        <w:spacing w:after="0" w:line="240" w:lineRule="auto"/>
        <w:ind w:left="1435" w:right="45"/>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Negligència greu. </w:t>
      </w:r>
    </w:p>
    <w:p w14:paraId="7090AAD2" w14:textId="77777777" w:rsidR="00BF3A36" w:rsidRPr="00BF3A36" w:rsidRDefault="00BF3A36" w:rsidP="00BF3A36">
      <w:pPr>
        <w:numPr>
          <w:ilvl w:val="2"/>
          <w:numId w:val="8"/>
        </w:numPr>
        <w:spacing w:after="0" w:line="240" w:lineRule="auto"/>
        <w:ind w:left="1435" w:right="45"/>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Maltractament psíquic. </w:t>
      </w:r>
    </w:p>
    <w:p w14:paraId="78F61D6B" w14:textId="77777777" w:rsidR="00BF3A36" w:rsidRPr="00BF3A36" w:rsidRDefault="00BF3A36" w:rsidP="00BF3A36">
      <w:pPr>
        <w:numPr>
          <w:ilvl w:val="2"/>
          <w:numId w:val="8"/>
        </w:numPr>
        <w:spacing w:after="0" w:line="240" w:lineRule="auto"/>
        <w:ind w:left="1435" w:right="45"/>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Maltractament físic. </w:t>
      </w:r>
    </w:p>
    <w:p w14:paraId="14D377B4" w14:textId="77777777" w:rsidR="00BF3A36" w:rsidRDefault="00BF3A36" w:rsidP="00BF3A36">
      <w:pPr>
        <w:numPr>
          <w:ilvl w:val="2"/>
          <w:numId w:val="8"/>
        </w:numPr>
        <w:spacing w:after="0" w:line="240" w:lineRule="auto"/>
        <w:ind w:left="1435" w:right="45"/>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Abús sexual. </w:t>
      </w:r>
    </w:p>
    <w:p w14:paraId="6F58ED7C" w14:textId="77777777" w:rsidR="00BF3A36" w:rsidRPr="00BF3A36" w:rsidRDefault="00BF3A36" w:rsidP="00BF3A36">
      <w:pPr>
        <w:spacing w:after="0" w:line="240" w:lineRule="auto"/>
        <w:ind w:left="1435" w:right="45"/>
        <w:jc w:val="both"/>
        <w:rPr>
          <w:rFonts w:ascii="Arial" w:eastAsia="Arial" w:hAnsi="Arial" w:cs="Arial"/>
          <w:color w:val="000000"/>
          <w:sz w:val="22"/>
          <w:lang w:val="ca-ES" w:eastAsia="es-ES"/>
        </w:rPr>
      </w:pPr>
    </w:p>
    <w:p w14:paraId="0FA3E22D"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El Consell Comarcal podrà requerir els documents complementaris que consideri necessaris per a un coneixement adequat de les circumstàncies peculiars de cada cas, als efectes de garantir la inversió correcta dels recursos pressupostaris destinats a l’atorgament dels ajuts individuals de transport escolar.</w:t>
      </w:r>
    </w:p>
    <w:p w14:paraId="1D288B27"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7.3 Autoritzacions:</w:t>
      </w:r>
    </w:p>
    <w:p w14:paraId="376F107D"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La presentació de la sol·licitud implica l’autorització, de tots i cadascun dels membres de la unitat familiar, per tal que el Consell Comarcal o el Departament d’Educació i Formació Professional puguin obtenir d’altres administracions públiques la informació que resulti necessària per a la determinació, coneixement i comprovació de totes les dades d’identificació, situacions personals, de residència, acadèmiques i familiars, altres beques i ajuts obtinguts per la mateixa finalitat, així com la renda garantida de ciutadania, ingrés mínim vital i ajuts al lloguer de l’habitatge, entre d’altres necessaris per a la resolució de la sol·licitud de beca.</w:t>
      </w:r>
    </w:p>
    <w:p w14:paraId="3AD86387"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8. Criteris per a l’atorgament dels ajuts</w:t>
      </w:r>
    </w:p>
    <w:p w14:paraId="1A6EFCE6"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S’atorgaran ajuts del 50% o de fins al 100% del cost del transport als alumnes que compleixin els requisits establerts.</w:t>
      </w:r>
    </w:p>
    <w:p w14:paraId="2EE8C8A4"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8.1 Càlcul de la renda familiar</w:t>
      </w:r>
    </w:p>
    <w:p w14:paraId="33660130"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El Departament d’Educació i Formació Professional o el Consell Comarcal calcularà la renda familiar per l’agregació de les rendes corresponents a l’exercici 2024 de cadascun dels membres computables de la família que obtingui ingressos de qualsevol naturalesa, segons s’indica en els paràgrafs següents i de conformitat amb la normativa reguladora de l’impost sobre la renda de les persones físiques.</w:t>
      </w:r>
    </w:p>
    <w:p w14:paraId="6B485E75" w14:textId="77777777" w:rsidR="00BF3A36" w:rsidRPr="00BF3A36" w:rsidRDefault="00BF3A36" w:rsidP="00BF3A36">
      <w:pPr>
        <w:spacing w:after="180"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a la determinació de la renda dels membres computables que hagin presentat declaració per l’impost sobre la renda de les persones físiques, es procedirà de la manera següent:</w:t>
      </w:r>
    </w:p>
    <w:p w14:paraId="525CAE68" w14:textId="77777777" w:rsidR="00BF3A36" w:rsidRPr="00BF3A36" w:rsidRDefault="00BF3A36" w:rsidP="00BF3A36">
      <w:pPr>
        <w:numPr>
          <w:ilvl w:val="0"/>
          <w:numId w:val="9"/>
        </w:numPr>
        <w:spacing w:after="177"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Primer: se sumarà la base imposable general amb la base imposable de l’estalvi, excloent-ne els saldos nets negatius de guanys i pèrdues patrimonials </w:t>
      </w:r>
      <w:r w:rsidRPr="00BF3A36">
        <w:rPr>
          <w:rFonts w:ascii="Arial" w:eastAsia="Arial" w:hAnsi="Arial" w:cs="Arial"/>
          <w:color w:val="000000"/>
          <w:sz w:val="22"/>
          <w:lang w:val="ca-ES" w:eastAsia="es-ES"/>
        </w:rPr>
        <w:lastRenderedPageBreak/>
        <w:t xml:space="preserve">corresponents de 2020 a 2023, i el saldo net negatiu de rendiments de capital mobiliari de 2020 a 2023 a integrar a la base imposable de l’estalvi. </w:t>
      </w:r>
    </w:p>
    <w:p w14:paraId="489BA805" w14:textId="77777777" w:rsidR="00BF3A36" w:rsidRPr="00BF3A36" w:rsidRDefault="00BF3A36" w:rsidP="00BF3A36">
      <w:pPr>
        <w:numPr>
          <w:ilvl w:val="0"/>
          <w:numId w:val="9"/>
        </w:numPr>
        <w:spacing w:after="132"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Segon: a aquest resultat es restarà la quota resultant de l’autoliquidació. </w:t>
      </w:r>
    </w:p>
    <w:p w14:paraId="1689924C" w14:textId="77777777" w:rsidR="00BF3A36" w:rsidRPr="00BF3A36" w:rsidRDefault="00BF3A36" w:rsidP="00BF3A36">
      <w:pPr>
        <w:spacing w:after="330" w:line="269" w:lineRule="auto"/>
        <w:ind w:left="747"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p>
    <w:p w14:paraId="36BE3637" w14:textId="77777777" w:rsidR="00BF3A36" w:rsidRPr="00BF3A36" w:rsidRDefault="00BF3A36" w:rsidP="00BF3A36">
      <w:pPr>
        <w:spacing w:after="296" w:line="269" w:lineRule="auto"/>
        <w:ind w:left="737" w:right="44" w:hanging="360"/>
        <w:jc w:val="both"/>
        <w:rPr>
          <w:rFonts w:ascii="Arial" w:eastAsia="Arial" w:hAnsi="Arial" w:cs="Arial"/>
          <w:color w:val="000000"/>
          <w:sz w:val="22"/>
          <w:lang w:val="ca-ES" w:eastAsia="es-ES"/>
        </w:rPr>
      </w:pPr>
      <w:r w:rsidRPr="00BF3A36">
        <w:rPr>
          <w:rFonts w:ascii="Segoe UI Symbol" w:eastAsia="Segoe UI Symbol" w:hAnsi="Segoe UI Symbol" w:cs="Segoe UI Symbol"/>
          <w:color w:val="000000"/>
          <w:sz w:val="22"/>
          <w:lang w:val="ca-ES" w:eastAsia="es-ES"/>
        </w:rPr>
        <w:t xml:space="preserve"> </w:t>
      </w:r>
      <w:r w:rsidRPr="00BF3A36">
        <w:rPr>
          <w:rFonts w:ascii="Arial" w:eastAsia="Arial" w:hAnsi="Arial" w:cs="Arial"/>
          <w:color w:val="000000"/>
          <w:sz w:val="22"/>
          <w:lang w:val="ca-ES" w:eastAsia="es-ES"/>
        </w:rPr>
        <w:t xml:space="preserve">Tercer: Als rendiments obtinguts per les altres dues vies, se’ls hi sumaran tots aquells altres que obtinguts o facilitat corresponents a rendiment no </w:t>
      </w:r>
      <w:proofErr w:type="spellStart"/>
      <w:r w:rsidRPr="00BF3A36">
        <w:rPr>
          <w:rFonts w:ascii="Arial" w:eastAsia="Arial" w:hAnsi="Arial" w:cs="Arial"/>
          <w:color w:val="000000"/>
          <w:sz w:val="22"/>
          <w:lang w:val="ca-ES" w:eastAsia="es-ES"/>
        </w:rPr>
        <w:t>tributables</w:t>
      </w:r>
      <w:proofErr w:type="spellEnd"/>
      <w:r w:rsidRPr="00BF3A36">
        <w:rPr>
          <w:rFonts w:ascii="Arial" w:eastAsia="Arial" w:hAnsi="Arial" w:cs="Arial"/>
          <w:color w:val="000000"/>
          <w:sz w:val="22"/>
          <w:lang w:val="ca-ES" w:eastAsia="es-ES"/>
        </w:rPr>
        <w:t xml:space="preserve"> o exempts</w:t>
      </w:r>
    </w:p>
    <w:p w14:paraId="3A32B632" w14:textId="77777777" w:rsidR="00BF3A36" w:rsidRPr="00BF3A36" w:rsidRDefault="00BF3A36" w:rsidP="00BF3A36">
      <w:pPr>
        <w:spacing w:after="37" w:line="269" w:lineRule="auto"/>
        <w:ind w:left="747"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En els casos que algun dels membres de la unitat familiar rebi qualsevol tipus d’ingrés corresponent a rendiments no </w:t>
      </w:r>
      <w:proofErr w:type="spellStart"/>
      <w:r w:rsidRPr="00BF3A36">
        <w:rPr>
          <w:rFonts w:ascii="Arial" w:eastAsia="Arial" w:hAnsi="Arial" w:cs="Arial"/>
          <w:color w:val="000000"/>
          <w:sz w:val="22"/>
          <w:lang w:val="ca-ES" w:eastAsia="es-ES"/>
        </w:rPr>
        <w:t>tributables</w:t>
      </w:r>
      <w:proofErr w:type="spellEnd"/>
      <w:r w:rsidRPr="00BF3A36">
        <w:rPr>
          <w:rFonts w:ascii="Arial" w:eastAsia="Arial" w:hAnsi="Arial" w:cs="Arial"/>
          <w:color w:val="000000"/>
          <w:sz w:val="22"/>
          <w:lang w:val="ca-ES" w:eastAsia="es-ES"/>
        </w:rPr>
        <w:t xml:space="preserve"> o exempts, caldrà aportar la següent documentació, en funció de la font o fonts d’ingressos, com pot ser:</w:t>
      </w:r>
    </w:p>
    <w:p w14:paraId="46846A50" w14:textId="77777777" w:rsidR="00BF3A36" w:rsidRPr="00BF3A36" w:rsidRDefault="00BF3A36" w:rsidP="00BF3A36">
      <w:pPr>
        <w:numPr>
          <w:ilvl w:val="1"/>
          <w:numId w:val="10"/>
        </w:numPr>
        <w:spacing w:after="31"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Original i fotocòpia de l'informe de vida laboral actualitzat, emès per la Seguretat Social.</w:t>
      </w:r>
    </w:p>
    <w:p w14:paraId="60EF6A35" w14:textId="77777777" w:rsidR="00BF3A36" w:rsidRPr="00BF3A36" w:rsidRDefault="00BF3A36" w:rsidP="00BF3A36">
      <w:pPr>
        <w:numPr>
          <w:ilvl w:val="1"/>
          <w:numId w:val="10"/>
        </w:numPr>
        <w:spacing w:after="9"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Les persones que estiguin donades d’alta al sistema especial de treballadors de la llar de la Seguretat Social, caldrà aportar el certificat de cotitzacions corresponent a l’any 2024.</w:t>
      </w:r>
    </w:p>
    <w:p w14:paraId="5BCA69B7" w14:textId="77777777" w:rsidR="00BF3A36" w:rsidRPr="00BF3A36" w:rsidRDefault="00BF3A36" w:rsidP="00BF3A36">
      <w:pPr>
        <w:spacing w:after="157" w:line="269" w:lineRule="auto"/>
        <w:ind w:left="735"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En la resta de situacions no previstes anteriorment el nivell de renda s’haurà d’acreditar mitjançant qualsevol altra documentació fefaent que serà valorada per la Comissió d’adjudicació.</w:t>
      </w:r>
    </w:p>
    <w:p w14:paraId="7F4671FC"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8.2 Deduccions de la renda familiar</w:t>
      </w:r>
    </w:p>
    <w:p w14:paraId="4C8FCEF3"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A l’efecte de la determinació de la renda a què es refereixen els paràgrafs anteriors, un cop calculada la renda familiar a efectes de l’ajut, s’aplicaran les següents deduccions</w:t>
      </w:r>
      <w:r w:rsidRPr="00BF3A36">
        <w:rPr>
          <w:rFonts w:ascii="Arial" w:eastAsia="Arial" w:hAnsi="Arial" w:cs="Arial"/>
          <w:b/>
          <w:color w:val="000000"/>
          <w:sz w:val="22"/>
          <w:lang w:val="ca-ES" w:eastAsia="es-ES"/>
        </w:rPr>
        <w:t>:</w:t>
      </w:r>
    </w:p>
    <w:p w14:paraId="44032A9A" w14:textId="77777777" w:rsidR="00BF3A36" w:rsidRPr="00BF3A36" w:rsidRDefault="00BF3A36" w:rsidP="00BF3A36">
      <w:pPr>
        <w:numPr>
          <w:ilvl w:val="1"/>
          <w:numId w:val="12"/>
        </w:numPr>
        <w:spacing w:after="17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El cinquanta per cent dels ingressos aportats per qualsevol dels membres computables de la família diferents dels sustentadors principals.</w:t>
      </w:r>
    </w:p>
    <w:p w14:paraId="4886261E" w14:textId="77777777" w:rsidR="00BF3A36" w:rsidRPr="00BF3A36" w:rsidRDefault="00BF3A36" w:rsidP="00BF3A36">
      <w:pPr>
        <w:numPr>
          <w:ilvl w:val="1"/>
          <w:numId w:val="12"/>
        </w:numPr>
        <w:spacing w:after="452"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La quantitat de 500,00 € per motius de durada del desplaçament i distància, quan concorrin les situacions següents:</w:t>
      </w:r>
    </w:p>
    <w:p w14:paraId="5D71345F" w14:textId="77777777" w:rsidR="00BF3A36" w:rsidRPr="00BF3A36" w:rsidRDefault="00BF3A36" w:rsidP="00BF3A36">
      <w:pPr>
        <w:numPr>
          <w:ilvl w:val="1"/>
          <w:numId w:val="12"/>
        </w:numPr>
        <w:spacing w:after="18"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Que l’alumne es desplaci en vehicle un mínim de 3 km o el desplaçament tingui una durada superior a 25 minuts des del seu domicili familiar i on té la seva residència habitual fins al centre on està escolaritzat.</w:t>
      </w:r>
    </w:p>
    <w:p w14:paraId="5AF31ACB" w14:textId="77777777" w:rsidR="00BF3A36" w:rsidRPr="00BF3A36" w:rsidRDefault="00BF3A36" w:rsidP="00BF3A36">
      <w:pPr>
        <w:numPr>
          <w:ilvl w:val="1"/>
          <w:numId w:val="12"/>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Que l’alumne estigui escolaritzat en el centre determinat pel Departament d’Educació o el més proper al seu domicili familiar. En aquest sentit, en el cas de l’educació infantil de segon cicle i primària es consideraran centres proposats pel Departament els inclosos en l’àrea d’influència determinada i pel que fa a l’educació secundària obligatòria, es considerarà com a centre proposat, aquell que li correspon, per la Resolució d’adscripció. En cas que el Departament hagi derivat l’alumne a un centre diferent, per manca d’oferta educativa, també s’entendrà que aquest centre és el proposat pel Departament.</w:t>
      </w:r>
    </w:p>
    <w:p w14:paraId="3B57C85F" w14:textId="77777777" w:rsidR="00BF3A36" w:rsidRPr="00BF3A36" w:rsidRDefault="00BF3A36" w:rsidP="00BF3A36">
      <w:pPr>
        <w:numPr>
          <w:ilvl w:val="1"/>
          <w:numId w:val="12"/>
        </w:numPr>
        <w:spacing w:after="452"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lastRenderedPageBreak/>
        <w:t>No tenir el servei de transport escolar col·lectiu amb caràcter preceptiu i, per tant gratuït.</w:t>
      </w:r>
    </w:p>
    <w:p w14:paraId="31AEAA32" w14:textId="77777777" w:rsidR="00BF3A36" w:rsidRPr="00BF3A36" w:rsidRDefault="00BF3A36" w:rsidP="00BF3A36">
      <w:pPr>
        <w:numPr>
          <w:ilvl w:val="1"/>
          <w:numId w:val="12"/>
        </w:numPr>
        <w:spacing w:after="177"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La quantitat de 1.200,00 € per cada germà o germana, incloent-hi la persona sol·licitant que convisqui en el domicili familiar, quan acrediti la condició de família monoparental</w:t>
      </w:r>
    </w:p>
    <w:p w14:paraId="14C41729" w14:textId="77777777" w:rsidR="00BF3A36" w:rsidRPr="00BF3A36" w:rsidRDefault="00BF3A36" w:rsidP="00BF3A36">
      <w:pPr>
        <w:numPr>
          <w:ilvl w:val="1"/>
          <w:numId w:val="12"/>
        </w:numPr>
        <w:spacing w:after="17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La quantitat de 800,00 €, quan acreditin l’existència d’infants en acolliment en la unitat familiar extensa o aliena. </w:t>
      </w:r>
    </w:p>
    <w:p w14:paraId="41B92EF3" w14:textId="77777777" w:rsidR="00BF3A36" w:rsidRPr="00BF3A36" w:rsidRDefault="00BF3A36" w:rsidP="00BF3A36">
      <w:pPr>
        <w:numPr>
          <w:ilvl w:val="1"/>
          <w:numId w:val="12"/>
        </w:numPr>
        <w:spacing w:after="17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La quantitat de 500,00 € per cada germà o germana, incloent-hi la persona sol·licitant que convisqui en el domicili familiar, quan s’acrediti la condició de família nombrosa.</w:t>
      </w:r>
    </w:p>
    <w:p w14:paraId="784AFCD0" w14:textId="77777777" w:rsidR="00BF3A36" w:rsidRPr="00BF3A36" w:rsidRDefault="00BF3A36" w:rsidP="00BF3A36">
      <w:pPr>
        <w:numPr>
          <w:ilvl w:val="1"/>
          <w:numId w:val="12"/>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La quantitat de 3.000,00 € per cada germà o germana, incloent-hi la persona sol·licitant que convisqui en el domicili familiar, quan la persona sol·licitant acrediti la condició de discapacitat d’igual o més d’un 33%.</w:t>
      </w:r>
    </w:p>
    <w:p w14:paraId="6FD19DE9"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En cas que no s’obtingui la corresponent autorització per realitzar els creuaments caldrà que tots els membres de la unitat familiar aportin la documentació necessària, expedida pels organismes competents, per tal de determinar la renda familiar, els rendiments patrimonials i el volum de negoci.</w:t>
      </w:r>
    </w:p>
    <w:p w14:paraId="57A3F8A4"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En el cas d’unitats familiars que mitjançant els creuaments no s’hagi obtingut ingressos o que cap dels membres tenen un identificador, serà necessari disposar del corresponent informe de serveis socials en el qual haurà de fer constar aquells ingressos que puguin tenir aquestes unitats i la valoració per situació social de risc, d’acord amb el que s’estableix en el punt 7.2.2) d’aquests criteris.</w:t>
      </w:r>
    </w:p>
    <w:p w14:paraId="4886954D"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8.3 Valoració de situacions específiques de la unitat familiar</w:t>
      </w:r>
    </w:p>
    <w:p w14:paraId="6E1A9020" w14:textId="77777777" w:rsidR="00BF3A36" w:rsidRPr="00BF3A36" w:rsidRDefault="00BF3A36" w:rsidP="00BF3A36">
      <w:pPr>
        <w:spacing w:after="351"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aquest concepte, s’estableix un barem màxim de fins a 15 punts, que es calcularà per l’agregació dels punts obtinguts, de tots els membres de la unitat familiar, pels diferents conceptes que es relacionen a continuació, els quals s’hauran d’acreditar fefaentment, mitjançant certificació de l’organisme competent.</w:t>
      </w:r>
    </w:p>
    <w:p w14:paraId="0C17FDB6" w14:textId="77777777" w:rsidR="00BF3A36" w:rsidRPr="00BF3A36" w:rsidRDefault="00BF3A36" w:rsidP="00BF3A36">
      <w:pPr>
        <w:numPr>
          <w:ilvl w:val="1"/>
          <w:numId w:val="13"/>
        </w:numPr>
        <w:spacing w:after="32"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Qualificació de família nombrosa general, li correspon 1,5 punts.</w:t>
      </w:r>
    </w:p>
    <w:p w14:paraId="0F6CD9C1" w14:textId="77777777" w:rsidR="00BF3A36" w:rsidRPr="00BF3A36" w:rsidRDefault="00BF3A36" w:rsidP="00BF3A36">
      <w:pPr>
        <w:numPr>
          <w:ilvl w:val="1"/>
          <w:numId w:val="13"/>
        </w:numPr>
        <w:spacing w:after="32"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Qualificació de família nombrosa especial, li correspon 3 punts.</w:t>
      </w:r>
    </w:p>
    <w:p w14:paraId="5DEA8226" w14:textId="77777777" w:rsidR="00BF3A36" w:rsidRPr="00BF3A36" w:rsidRDefault="00BF3A36" w:rsidP="00BF3A36">
      <w:pPr>
        <w:numPr>
          <w:ilvl w:val="1"/>
          <w:numId w:val="13"/>
        </w:numPr>
        <w:spacing w:after="32"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Condició de </w:t>
      </w:r>
      <w:proofErr w:type="spellStart"/>
      <w:r w:rsidRPr="00BF3A36">
        <w:rPr>
          <w:rFonts w:ascii="Arial" w:eastAsia="Arial" w:hAnsi="Arial" w:cs="Arial"/>
          <w:color w:val="000000"/>
          <w:sz w:val="22"/>
          <w:lang w:val="ca-ES" w:eastAsia="es-ES"/>
        </w:rPr>
        <w:t>monoparentalitat</w:t>
      </w:r>
      <w:proofErr w:type="spellEnd"/>
      <w:r w:rsidRPr="00BF3A36">
        <w:rPr>
          <w:rFonts w:ascii="Arial" w:eastAsia="Arial" w:hAnsi="Arial" w:cs="Arial"/>
          <w:color w:val="000000"/>
          <w:sz w:val="22"/>
          <w:lang w:val="ca-ES" w:eastAsia="es-ES"/>
        </w:rPr>
        <w:t xml:space="preserve"> general, li correspon 1,5 punts.</w:t>
      </w:r>
    </w:p>
    <w:p w14:paraId="088FDF1F" w14:textId="77777777" w:rsidR="00BF3A36" w:rsidRPr="00BF3A36" w:rsidRDefault="00BF3A36" w:rsidP="00BF3A36">
      <w:pPr>
        <w:numPr>
          <w:ilvl w:val="1"/>
          <w:numId w:val="13"/>
        </w:numPr>
        <w:spacing w:after="32"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Condició de </w:t>
      </w:r>
      <w:proofErr w:type="spellStart"/>
      <w:r w:rsidRPr="00BF3A36">
        <w:rPr>
          <w:rFonts w:ascii="Arial" w:eastAsia="Arial" w:hAnsi="Arial" w:cs="Arial"/>
          <w:color w:val="000000"/>
          <w:sz w:val="22"/>
          <w:lang w:val="ca-ES" w:eastAsia="es-ES"/>
        </w:rPr>
        <w:t>monoparentalitat</w:t>
      </w:r>
      <w:proofErr w:type="spellEnd"/>
      <w:r w:rsidRPr="00BF3A36">
        <w:rPr>
          <w:rFonts w:ascii="Arial" w:eastAsia="Arial" w:hAnsi="Arial" w:cs="Arial"/>
          <w:color w:val="000000"/>
          <w:sz w:val="22"/>
          <w:lang w:val="ca-ES" w:eastAsia="es-ES"/>
        </w:rPr>
        <w:t xml:space="preserve"> especial, li correspon 3 punts.</w:t>
      </w:r>
    </w:p>
    <w:p w14:paraId="126F70A5" w14:textId="77777777" w:rsidR="00BF3A36" w:rsidRPr="00BF3A36" w:rsidRDefault="00BF3A36" w:rsidP="00BF3A36">
      <w:pPr>
        <w:numPr>
          <w:ilvl w:val="1"/>
          <w:numId w:val="13"/>
        </w:numPr>
        <w:spacing w:after="5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Existència d’infants en acolliment en la unitat familiar extensa o aliena, li correspon 3 punts.</w:t>
      </w:r>
    </w:p>
    <w:p w14:paraId="58412F40" w14:textId="77777777" w:rsidR="00BF3A36" w:rsidRPr="00BF3A36" w:rsidRDefault="00BF3A36" w:rsidP="00BF3A36">
      <w:pPr>
        <w:numPr>
          <w:ilvl w:val="1"/>
          <w:numId w:val="13"/>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Condició de discapacitat de l’alumne o germans de fins a un 33%, li correspon 1,5 punts.</w:t>
      </w:r>
    </w:p>
    <w:p w14:paraId="57BE84C3" w14:textId="77777777" w:rsidR="00BF3A36" w:rsidRPr="00BF3A36" w:rsidRDefault="00BF3A36" w:rsidP="00BF3A36">
      <w:pPr>
        <w:numPr>
          <w:ilvl w:val="1"/>
          <w:numId w:val="13"/>
        </w:numPr>
        <w:spacing w:after="5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Condició de discapacitat de l’alumne o germans de més d’un 33%, li correspon 3 punts.</w:t>
      </w:r>
    </w:p>
    <w:p w14:paraId="42F816DD" w14:textId="77777777" w:rsidR="00BF3A36" w:rsidRPr="00BF3A36" w:rsidRDefault="00BF3A36" w:rsidP="00BF3A36">
      <w:pPr>
        <w:numPr>
          <w:ilvl w:val="1"/>
          <w:numId w:val="13"/>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lastRenderedPageBreak/>
        <w:t>Redistribució equilibrada d’alumnat amb necessitats educatives específiques, li correspon fins a 3 punts.</w:t>
      </w:r>
    </w:p>
    <w:p w14:paraId="4291F6F3"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La puntuació que s’indica per a cada concepte és la màxima per aquell concepte, per tant, a efectes d’obtenir la puntuació és indiferent que la compleixin diversos membres de la unitat familiar.</w:t>
      </w:r>
    </w:p>
    <w:p w14:paraId="74BB99DF"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8.4 Valoració per part dels serveis socials per necessitat social</w:t>
      </w:r>
    </w:p>
    <w:p w14:paraId="5C0AF8CB" w14:textId="77777777" w:rsidR="00BF3A36" w:rsidRPr="00BF3A36" w:rsidRDefault="00BF3A36" w:rsidP="00BF3A36">
      <w:pPr>
        <w:spacing w:after="180"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aquest concepte s’estableix un barem màxim de fins a 15 punts. En aquest cas serà preceptiu que l’alumne estigui en seguiment, per part dels serveis socials, mitjançant el qual s’acreditarà l’existència d’una necessitat social d’aquesta família. És necessari que l’alumne estigui inclòs en un pla d’intervenció o de treball per risc d’exclusió social. S’acompanyarà d’un informe i s’aplicarà la següent puntuació:</w:t>
      </w:r>
    </w:p>
    <w:p w14:paraId="2BF77C75" w14:textId="77777777" w:rsidR="00BF3A36" w:rsidRPr="00BF3A36" w:rsidRDefault="00BF3A36" w:rsidP="00BF3A36">
      <w:pPr>
        <w:numPr>
          <w:ilvl w:val="1"/>
          <w:numId w:val="11"/>
        </w:numPr>
        <w:spacing w:after="152"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Situació de risc social, 10 punts.</w:t>
      </w:r>
    </w:p>
    <w:p w14:paraId="506E5FE2" w14:textId="77777777" w:rsidR="00BF3A36" w:rsidRPr="00BF3A36" w:rsidRDefault="00BF3A36" w:rsidP="00BF3A36">
      <w:pPr>
        <w:numPr>
          <w:ilvl w:val="1"/>
          <w:numId w:val="11"/>
        </w:numPr>
        <w:spacing w:after="269"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Situació de risc social greu, 15 punts.</w:t>
      </w:r>
    </w:p>
    <w:p w14:paraId="3561309A"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9. Consideració dels membres computables de la unitat familiar</w:t>
      </w:r>
    </w:p>
    <w:p w14:paraId="6C925311"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al càlcul de la renda familiar als efectes d’aquests ajuts, són membres computables els progenitors, si escau, el/la tutor/a o persona encarregada de la guarda i protecció del menor, el sol·licitant, els germans solters menors de vint-i-cinc anys i que convisquin en el domicili familiar a 31 de desembre de l’any utilitzat en el càlcul de la renda familiar o els de més edat, quan es tracti de persones amb discapacitat física, psíquica o sensorial, així com els ascendents dels pares que justifiquin la seva residència al mateix domicili que els anteriors amb el certificat municipal corresponent.</w:t>
      </w:r>
    </w:p>
    <w:p w14:paraId="4489AC2F"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En el cas de divorci o separació legal dels pares, no es considerarà membre computable aquell que no convisqui amb el sol·licitant de l’ajut. No obstant això, tindrà la consideració de membre computable, si escau, el nou cònjuge o persona unida per anàloga relació, la renda de la qual s’inclourà dins del còmput de la renda familiar.</w:t>
      </w:r>
    </w:p>
    <w:p w14:paraId="709F6E66" w14:textId="77777777" w:rsidR="00BF3A36" w:rsidRPr="00BF3A36" w:rsidRDefault="00BF3A36" w:rsidP="00BF3A36">
      <w:pPr>
        <w:spacing w:after="184"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9.1 Tractament específic de determinades situacions en relació a la unitat familiar.</w:t>
      </w:r>
    </w:p>
    <w:p w14:paraId="2F5B2B67" w14:textId="77777777" w:rsidR="00BF3A36" w:rsidRPr="00BF3A36" w:rsidRDefault="00BF3A36" w:rsidP="00BF3A36">
      <w:pPr>
        <w:numPr>
          <w:ilvl w:val="0"/>
          <w:numId w:val="14"/>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Unitats familiars amb situació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un ajut pels dies de custòdia que estableixi el conveni regulador.</w:t>
      </w:r>
    </w:p>
    <w:p w14:paraId="579CDB12" w14:textId="77777777" w:rsidR="00BF3A36" w:rsidRPr="00BF3A36" w:rsidRDefault="00BF3A36" w:rsidP="00BF3A36">
      <w:pPr>
        <w:spacing w:after="296" w:line="269" w:lineRule="auto"/>
        <w:ind w:left="741"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En el cas que posteriorment a la tramitació de l’ajut amb un sol progenitor l’altre progenitor també el vulgui sol·licitar, es farà una nova valoració </w:t>
      </w:r>
      <w:proofErr w:type="spellStart"/>
      <w:r w:rsidRPr="00BF3A36">
        <w:rPr>
          <w:rFonts w:ascii="Arial" w:eastAsia="Arial" w:hAnsi="Arial" w:cs="Arial"/>
          <w:color w:val="000000"/>
          <w:sz w:val="22"/>
          <w:lang w:val="ca-ES" w:eastAsia="es-ES"/>
        </w:rPr>
        <w:t>atenintnos</w:t>
      </w:r>
      <w:proofErr w:type="spellEnd"/>
      <w:r w:rsidRPr="00BF3A36">
        <w:rPr>
          <w:rFonts w:ascii="Arial" w:eastAsia="Arial" w:hAnsi="Arial" w:cs="Arial"/>
          <w:color w:val="000000"/>
          <w:sz w:val="22"/>
          <w:lang w:val="ca-ES" w:eastAsia="es-ES"/>
        </w:rPr>
        <w:t xml:space="preserve"> al criteri inicial, d’acord amb el que s’estableix en el paràgraf anterior. Aquesta revisió pot comportar canviar el resultat de l’ajut que s’havia obtingut amb la valoració d’un únic progenitor. </w:t>
      </w:r>
    </w:p>
    <w:p w14:paraId="378D1469" w14:textId="77777777" w:rsidR="00BF3A36" w:rsidRPr="00BF3A36" w:rsidRDefault="00BF3A36" w:rsidP="00BF3A36">
      <w:pPr>
        <w:numPr>
          <w:ilvl w:val="0"/>
          <w:numId w:val="14"/>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lastRenderedPageBreak/>
        <w:t xml:space="preserve">Unitats familiar amb situació de violència de gènere En aquest casos caldrà actuar atenent al que s’estableixen en els articles 33, en relació a la identificació de les situacions de violència masclista, i 48, en relació al tractament d’ajuts escolars, de la Llei 5/2008, del 24 d’abril, del dret de les dones a </w:t>
      </w:r>
      <w:proofErr w:type="spellStart"/>
      <w:r w:rsidRPr="00BF3A36">
        <w:rPr>
          <w:rFonts w:ascii="Arial" w:eastAsia="Arial" w:hAnsi="Arial" w:cs="Arial"/>
          <w:color w:val="000000"/>
          <w:sz w:val="22"/>
          <w:lang w:val="ca-ES" w:eastAsia="es-ES"/>
        </w:rPr>
        <w:t>eradicar</w:t>
      </w:r>
      <w:proofErr w:type="spellEnd"/>
      <w:r w:rsidRPr="00BF3A36">
        <w:rPr>
          <w:rFonts w:ascii="Arial" w:eastAsia="Arial" w:hAnsi="Arial" w:cs="Arial"/>
          <w:color w:val="000000"/>
          <w:sz w:val="22"/>
          <w:lang w:val="ca-ES" w:eastAsia="es-ES"/>
        </w:rPr>
        <w:t xml:space="preserve"> la violència masclista (DOGC Núm. 5123 – 2.5.2008).</w:t>
      </w:r>
    </w:p>
    <w:p w14:paraId="3A54D5F0"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10. Llindars de renda, volum de negoci, capital mobiliari de patrimoni</w:t>
      </w:r>
    </w:p>
    <w:p w14:paraId="63A03133"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10.1 Llindar de renda, tram garantit d’ajut del 50%</w:t>
      </w:r>
    </w:p>
    <w:p w14:paraId="138C69A4"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El llindar es calcularà en funció dels membres computables de la unitat familiar i per l’agregació de les unitats de consum que es detallen a continuació:</w:t>
      </w:r>
    </w:p>
    <w:p w14:paraId="0680D048" w14:textId="77777777" w:rsidR="00BF3A36" w:rsidRPr="00BF3A36" w:rsidRDefault="00BF3A36" w:rsidP="00BF3A36">
      <w:pPr>
        <w:pStyle w:val="Prrafodelista"/>
        <w:numPr>
          <w:ilvl w:val="0"/>
          <w:numId w:val="18"/>
        </w:numPr>
        <w:spacing w:after="0" w:line="240" w:lineRule="auto"/>
        <w:ind w:right="45"/>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Primer adult (sustentadors principals): 13.311,20 €.</w:t>
      </w:r>
    </w:p>
    <w:p w14:paraId="5AE13B81" w14:textId="611F3D55" w:rsidR="00BF3A36" w:rsidRPr="00BF3A36" w:rsidRDefault="00BF3A36" w:rsidP="00BF3A36">
      <w:pPr>
        <w:pStyle w:val="Prrafodelista"/>
        <w:numPr>
          <w:ilvl w:val="0"/>
          <w:numId w:val="18"/>
        </w:numPr>
        <w:spacing w:after="0" w:line="240" w:lineRule="auto"/>
        <w:ind w:right="45"/>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Segon adult (sustentadors principals) i altres adults que integren la unitat familiar: 6.665.70 €.</w:t>
      </w:r>
    </w:p>
    <w:p w14:paraId="0DB4B65B" w14:textId="77777777" w:rsidR="00BF3A36" w:rsidRPr="00BF3A36" w:rsidRDefault="00BF3A36" w:rsidP="00BF3A36">
      <w:pPr>
        <w:pStyle w:val="Prrafodelista"/>
        <w:numPr>
          <w:ilvl w:val="0"/>
          <w:numId w:val="18"/>
        </w:numPr>
        <w:spacing w:after="0" w:line="240" w:lineRule="auto"/>
        <w:ind w:right="45"/>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a cada nen/a de la unitat familiar: 3.993,40 €.</w:t>
      </w:r>
    </w:p>
    <w:p w14:paraId="315EC99E" w14:textId="77777777" w:rsidR="00BF3A36" w:rsidRPr="00BF3A36" w:rsidRDefault="00BF3A36" w:rsidP="00BF3A36">
      <w:pPr>
        <w:spacing w:after="0" w:line="240" w:lineRule="auto"/>
        <w:ind w:left="2143" w:right="45"/>
        <w:jc w:val="both"/>
        <w:rPr>
          <w:rFonts w:ascii="Arial" w:eastAsia="Arial" w:hAnsi="Arial" w:cs="Arial"/>
          <w:color w:val="000000"/>
          <w:sz w:val="22"/>
          <w:lang w:val="ca-ES" w:eastAsia="es-ES"/>
        </w:rPr>
      </w:pPr>
    </w:p>
    <w:p w14:paraId="68C48983"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Si la renda familiar anual, calculada d’acord amb el que estableixen les bases, no supera aquest llindar, es concedirà un ajut de fins a un 50% del cost del servei de transport,. Cal fixar aquest llindar com a requisit d’accés a la convocatòria. Aquelles sol·licituds que estiguin per sobre d’aquest llindar, constaran com a denegades. </w:t>
      </w:r>
    </w:p>
    <w:p w14:paraId="56DC593B" w14:textId="77777777" w:rsidR="00BF3A36" w:rsidRPr="00BF3A36" w:rsidRDefault="00BF3A36" w:rsidP="00BF3A36">
      <w:pPr>
        <w:numPr>
          <w:ilvl w:val="1"/>
          <w:numId w:val="17"/>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Llindar de renda, tram garantit d’ajut del 100%:</w:t>
      </w:r>
    </w:p>
    <w:p w14:paraId="5E5802D3"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El llindar de renda és el 60% de l’establert per a l’obtenció d’un ajut del tram garantit del 50% i acreditar una puntuació superior o igual a 15 punts entre els àmbits b i c.</w:t>
      </w:r>
    </w:p>
    <w:p w14:paraId="7171430C"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Si la renda familiar anual, calculada d’acord amb el que estableixen les bases, no supera aquest llindar i s’assoleix la puntuació mínima establerta en els àmbits socials (b i c), s’atorgarà un ajut del 100% del preu del servei de transport escolar col·lectiu.</w:t>
      </w:r>
    </w:p>
    <w:p w14:paraId="212620DE" w14:textId="77777777" w:rsidR="00BF3A36" w:rsidRPr="00BF3A36" w:rsidRDefault="00BF3A36" w:rsidP="00BF3A36">
      <w:pPr>
        <w:numPr>
          <w:ilvl w:val="1"/>
          <w:numId w:val="17"/>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Llindar de renda, tram garantit d’ajut del 100% per a l’alumnat que no té la puntuació social mínima:</w:t>
      </w:r>
    </w:p>
    <w:p w14:paraId="4EC7A1B7"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El llindar de renda és el 50% de l’establert per a l’obtenció d’un ajut del tram garantit del 70%. Si la renda familiar anual, calculada d’acord amb el que estableixen les bases no supera aquest llindar, s’atorgarà un ajut del 100% del preu del servei escolar col·lectiu.</w:t>
      </w:r>
    </w:p>
    <w:p w14:paraId="5B93C4BE" w14:textId="77777777" w:rsidR="00BF3A36" w:rsidRPr="00BF3A36" w:rsidRDefault="00BF3A36" w:rsidP="00BF3A36">
      <w:pPr>
        <w:numPr>
          <w:ilvl w:val="1"/>
          <w:numId w:val="17"/>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Llindar de renda, tram garantit d’ajut del 100% per a alumnat amb una discapacitat acreditada superior o igual al 33%:</w:t>
      </w:r>
    </w:p>
    <w:p w14:paraId="4EEF9001"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El llindar de renda és de 2,5 vegades a l’establert per a l’obtenció d’un ajut del tram garantit del 50% i acreditar una discapacitat superior o igual a 33%. Si la renda familiar anual, calculada d’acord amb el que estableixen les bases no supera aquest llindar, s’atorgarà un ajut del 100% del preu del servei de transport escolar col·lectiu. Aquesta discapacitat haurà de ser acreditada mitjançant la corresponent certificació de l’òrgan competent.</w:t>
      </w:r>
    </w:p>
    <w:p w14:paraId="57744E2E" w14:textId="77777777" w:rsidR="00BF3A36" w:rsidRPr="00BF3A36" w:rsidRDefault="00BF3A36" w:rsidP="00BF3A36">
      <w:pPr>
        <w:numPr>
          <w:ilvl w:val="1"/>
          <w:numId w:val="17"/>
        </w:numPr>
        <w:spacing w:after="296" w:line="269" w:lineRule="auto"/>
        <w:ind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lastRenderedPageBreak/>
        <w:t>Llindar de volum de negoci</w:t>
      </w:r>
    </w:p>
    <w:p w14:paraId="23E8100E" w14:textId="77777777" w:rsidR="00BF3A36" w:rsidRPr="00BF3A36" w:rsidRDefault="00BF3A36" w:rsidP="00BF3A36">
      <w:pPr>
        <w:spacing w:after="311" w:line="273" w:lineRule="auto"/>
        <w:ind w:left="22" w:hanging="10"/>
        <w:rPr>
          <w:rFonts w:ascii="Arial" w:eastAsia="Arial" w:hAnsi="Arial" w:cs="Arial"/>
          <w:color w:val="000000"/>
          <w:sz w:val="22"/>
          <w:lang w:val="ca-ES" w:eastAsia="es-ES"/>
        </w:rPr>
      </w:pPr>
      <w:r w:rsidRPr="00BF3A36">
        <w:rPr>
          <w:rFonts w:ascii="Arial" w:eastAsia="Arial" w:hAnsi="Arial" w:cs="Arial"/>
          <w:color w:val="000000"/>
          <w:sz w:val="22"/>
          <w:lang w:val="ca-ES" w:eastAsia="es-ES"/>
        </w:rPr>
        <w:t>Podran optar als ajuts les unitats familiars amb uns ingressos dels tipus que s’indiquen a continuació obtinguts pels membres computables de la unitat familiar que no superin la quantia de 155.500,00 €:</w:t>
      </w:r>
    </w:p>
    <w:p w14:paraId="18BCBEA8" w14:textId="77777777" w:rsidR="00BF3A36" w:rsidRPr="00BF3A36" w:rsidRDefault="00BF3A36" w:rsidP="00BF3A36">
      <w:pPr>
        <w:numPr>
          <w:ilvl w:val="2"/>
          <w:numId w:val="16"/>
        </w:numPr>
        <w:spacing w:after="296" w:line="269" w:lineRule="auto"/>
        <w:ind w:left="1436"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Ingressos procedents d’activitats econòmiques en estimació directa o en estimació objectiva.</w:t>
      </w:r>
    </w:p>
    <w:p w14:paraId="1BEAF725" w14:textId="77777777" w:rsidR="00BF3A36" w:rsidRPr="00BF3A36" w:rsidRDefault="00BF3A36" w:rsidP="00BF3A36">
      <w:pPr>
        <w:numPr>
          <w:ilvl w:val="2"/>
          <w:numId w:val="16"/>
        </w:numPr>
        <w:spacing w:after="296" w:line="269" w:lineRule="auto"/>
        <w:ind w:left="1436" w:right="44"/>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activitats el percentatge de participació d’aquestes.</w:t>
      </w:r>
    </w:p>
    <w:p w14:paraId="2017FE31" w14:textId="77777777" w:rsidR="00BF3A36" w:rsidRPr="00BF3A36" w:rsidRDefault="00BF3A36" w:rsidP="00BF3A36">
      <w:pPr>
        <w:tabs>
          <w:tab w:val="center" w:pos="2406"/>
        </w:tabs>
        <w:spacing w:after="296" w:line="269" w:lineRule="auto"/>
        <w:rPr>
          <w:rFonts w:ascii="Arial" w:eastAsia="Arial" w:hAnsi="Arial" w:cs="Arial"/>
          <w:color w:val="000000"/>
          <w:sz w:val="22"/>
          <w:lang w:val="ca-ES" w:eastAsia="es-ES"/>
        </w:rPr>
      </w:pPr>
      <w:r w:rsidRPr="00BF3A36">
        <w:rPr>
          <w:rFonts w:ascii="Arial" w:eastAsia="Arial" w:hAnsi="Arial" w:cs="Arial"/>
          <w:color w:val="000000"/>
          <w:sz w:val="22"/>
          <w:lang w:val="ca-ES" w:eastAsia="es-ES"/>
        </w:rPr>
        <w:t>10.6</w:t>
      </w:r>
      <w:r w:rsidRPr="00BF3A36">
        <w:rPr>
          <w:rFonts w:ascii="Arial" w:eastAsia="Arial" w:hAnsi="Arial" w:cs="Arial"/>
          <w:color w:val="000000"/>
          <w:sz w:val="22"/>
          <w:lang w:val="ca-ES" w:eastAsia="es-ES"/>
        </w:rPr>
        <w:tab/>
        <w:t>Llindar de rendiments patrimonials</w:t>
      </w:r>
    </w:p>
    <w:p w14:paraId="537F56AC"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Podran optar als ajuts les unitats familiars en què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la renda bàsica d’emancipació i el bo jove cultural, no superi la quantia de 1.700,00 €.</w:t>
      </w:r>
    </w:p>
    <w:p w14:paraId="572CD927"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No es tindran en compte als efectes previstos en aquest apartat els primers 1.500,00€ dels premis, en metàl·lic o en espècie, obtinguts per la participació en jocs, concursos, rifes o combinacions aleatòries. Els guanys patrimonials derivats dels premis esmentats es computaran d'acord amb la normativa de l'impost sobre la renda de les persones físiques.</w:t>
      </w:r>
    </w:p>
    <w:p w14:paraId="6E9390BF"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 </w:t>
      </w:r>
    </w:p>
    <w:p w14:paraId="2E24D896"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Els elements indicatius de patrimoni es computaran de conformitat amb el que disposa la normativa de l’impost de la renda de les persones físiques pel seu valor a 31 de desembre de 2024.</w:t>
      </w:r>
    </w:p>
    <w:p w14:paraId="5695CD3B"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Quan siguin diversos els elements indicatius del patrimoni que disposin els membres computables de la família, s'ha de calcular el percentatge de valor de cada element respecte del llindar corresponent. Es denegaran els ajuts sol·licitats quan la suma dels percentatges esmentats superi el valor de cent.</w:t>
      </w:r>
    </w:p>
    <w:p w14:paraId="4BEF2900"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10.7 Llindar de valors cadastrals de finques urbanes</w:t>
      </w:r>
    </w:p>
    <w:p w14:paraId="3104B34D"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Podran optar als ajuts les unitats familiars en què la suma dels valors cadastrals de les finques urbanes i de les construccions ubicades en finques rústiques dels membres </w:t>
      </w:r>
      <w:r w:rsidRPr="00BF3A36">
        <w:rPr>
          <w:rFonts w:ascii="Arial" w:eastAsia="Arial" w:hAnsi="Arial" w:cs="Arial"/>
          <w:color w:val="000000"/>
          <w:sz w:val="22"/>
          <w:lang w:val="ca-ES" w:eastAsia="es-ES"/>
        </w:rPr>
        <w:lastRenderedPageBreak/>
        <w:t>computables que componen la unitat familiar, exclòs l’habitatge habitual, no superi els 42.900,00 euros. 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w:t>
      </w:r>
    </w:p>
    <w:p w14:paraId="1C5F63B2" w14:textId="77777777" w:rsidR="00BF3A36" w:rsidRPr="00BF3A36" w:rsidRDefault="00BF3A36" w:rsidP="00BF3A36">
      <w:pPr>
        <w:spacing w:after="0" w:line="240" w:lineRule="auto"/>
        <w:ind w:left="12" w:right="44" w:hanging="11"/>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0,43 els revisats el 2003.</w:t>
      </w:r>
    </w:p>
    <w:p w14:paraId="12806B86" w14:textId="77777777" w:rsidR="00BF3A36" w:rsidRPr="00BF3A36" w:rsidRDefault="00BF3A36" w:rsidP="00BF3A36">
      <w:pPr>
        <w:spacing w:after="0" w:line="240" w:lineRule="auto"/>
        <w:ind w:left="12" w:right="44" w:hanging="11"/>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Per 0,37 els revisats el 2004. </w:t>
      </w:r>
    </w:p>
    <w:p w14:paraId="63A9AE92" w14:textId="77777777" w:rsidR="00BF3A36" w:rsidRPr="00BF3A36" w:rsidRDefault="00BF3A36" w:rsidP="00BF3A36">
      <w:pPr>
        <w:spacing w:after="0" w:line="240" w:lineRule="auto"/>
        <w:ind w:left="12" w:right="44" w:hanging="11"/>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Per 0,30 els revisats el 2005. </w:t>
      </w:r>
    </w:p>
    <w:p w14:paraId="7F9B0E65" w14:textId="77777777" w:rsidR="00BF3A36" w:rsidRPr="00BF3A36" w:rsidRDefault="00BF3A36" w:rsidP="00BF3A36">
      <w:pPr>
        <w:spacing w:after="0" w:line="240" w:lineRule="auto"/>
        <w:ind w:left="12" w:right="44" w:hanging="11"/>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Per 0,26 els revisats el 2006. </w:t>
      </w:r>
    </w:p>
    <w:p w14:paraId="7A844674" w14:textId="77777777" w:rsidR="00BF3A36" w:rsidRPr="00BF3A36" w:rsidRDefault="00BF3A36" w:rsidP="00BF3A36">
      <w:pPr>
        <w:spacing w:after="0" w:line="240" w:lineRule="auto"/>
        <w:ind w:left="12" w:right="44" w:hanging="11"/>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Per 0,25 els revisats el 2007. </w:t>
      </w:r>
    </w:p>
    <w:p w14:paraId="3F8FC375" w14:textId="77777777" w:rsidR="00BF3A36" w:rsidRPr="00BF3A36" w:rsidRDefault="00BF3A36" w:rsidP="00BF3A36">
      <w:pPr>
        <w:spacing w:after="0" w:line="240" w:lineRule="auto"/>
        <w:ind w:left="12" w:right="44" w:hanging="11"/>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Per 0,25 els revisats el 2008. </w:t>
      </w:r>
    </w:p>
    <w:p w14:paraId="094A27F7" w14:textId="77777777" w:rsidR="00BF3A36" w:rsidRPr="00BF3A36" w:rsidRDefault="00BF3A36" w:rsidP="00BF3A36">
      <w:pPr>
        <w:spacing w:after="0" w:line="240" w:lineRule="auto"/>
        <w:ind w:left="22" w:right="5341" w:hanging="11"/>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0,26 els revisats el 2009. Per 0,28 els revisats el 2010 Per 0,30 els revisats el 2011.</w:t>
      </w:r>
    </w:p>
    <w:p w14:paraId="7CEBD4A4" w14:textId="77777777" w:rsidR="00BF3A36" w:rsidRPr="00BF3A36" w:rsidRDefault="00BF3A36" w:rsidP="00BF3A36">
      <w:pPr>
        <w:spacing w:after="0" w:line="240" w:lineRule="auto"/>
        <w:ind w:left="12" w:right="44" w:hanging="11"/>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0,32 els revisats el 2012.</w:t>
      </w:r>
    </w:p>
    <w:p w14:paraId="7E499455" w14:textId="77777777" w:rsidR="00BF3A36" w:rsidRPr="00BF3A36" w:rsidRDefault="00BF3A36" w:rsidP="00BF3A36">
      <w:pPr>
        <w:spacing w:after="0" w:line="240" w:lineRule="auto"/>
        <w:ind w:left="12" w:right="44" w:hanging="11"/>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0,34 els revisats el 2013.</w:t>
      </w:r>
    </w:p>
    <w:p w14:paraId="67CC6B5A" w14:textId="77777777" w:rsidR="00BF3A36" w:rsidRPr="00BF3A36" w:rsidRDefault="00BF3A36" w:rsidP="00BF3A36">
      <w:pPr>
        <w:spacing w:after="0" w:line="240" w:lineRule="auto"/>
        <w:ind w:left="12" w:right="44" w:hanging="11"/>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0,36 els revistats entre el 2014 i 2021, ambdós inclosos</w:t>
      </w:r>
    </w:p>
    <w:p w14:paraId="283F39E2" w14:textId="77777777" w:rsidR="00BF3A36" w:rsidRDefault="00BF3A36" w:rsidP="00BF3A36">
      <w:pPr>
        <w:spacing w:after="0" w:line="240" w:lineRule="auto"/>
        <w:ind w:left="22" w:right="5403" w:hanging="11"/>
        <w:rPr>
          <w:rFonts w:ascii="Arial" w:eastAsia="Arial" w:hAnsi="Arial" w:cs="Arial"/>
          <w:color w:val="000000"/>
          <w:sz w:val="22"/>
          <w:lang w:val="ca-ES" w:eastAsia="es-ES"/>
        </w:rPr>
      </w:pPr>
      <w:r w:rsidRPr="00BF3A36">
        <w:rPr>
          <w:rFonts w:ascii="Arial" w:eastAsia="Arial" w:hAnsi="Arial" w:cs="Arial"/>
          <w:color w:val="000000"/>
          <w:sz w:val="22"/>
          <w:lang w:val="ca-ES" w:eastAsia="es-ES"/>
        </w:rPr>
        <w:t>Per 0,35 els revisats el 2022 Per 0,34 els revisats el 2023 Per 0,33 els revisats el 2024</w:t>
      </w:r>
    </w:p>
    <w:p w14:paraId="3B258F3A" w14:textId="77777777" w:rsidR="00BF3A36" w:rsidRPr="00BF3A36" w:rsidRDefault="00BF3A36" w:rsidP="00BF3A36">
      <w:pPr>
        <w:spacing w:after="0" w:line="240" w:lineRule="auto"/>
        <w:ind w:left="22" w:right="5403" w:hanging="11"/>
        <w:rPr>
          <w:rFonts w:ascii="Arial" w:eastAsia="Arial" w:hAnsi="Arial" w:cs="Arial"/>
          <w:color w:val="000000"/>
          <w:sz w:val="22"/>
          <w:lang w:val="ca-ES" w:eastAsia="es-ES"/>
        </w:rPr>
      </w:pPr>
    </w:p>
    <w:p w14:paraId="1C9C52F1"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10.8 Llindar de valors cadastrals de finques rústiques</w:t>
      </w:r>
    </w:p>
    <w:p w14:paraId="3426B81A"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Podran optar als ajuts les unitats familiars en què la suma dels valors cadastrals de les finques rústiques, exclòs l’habitatge habitual, que pertanyin als membres computables de la unitat familiar no superi la quantitat de 13.130,00 euros per cada membre computable.</w:t>
      </w:r>
    </w:p>
    <w:p w14:paraId="4C717B09"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Als efectes del còmput del valor dels elements patrimonials i valors cadastrals a què fan referència els apartats anteriors, es determinarà de conformitat amb el que disposa en la normativa aplicables de l’Impost sobre la Renda de les Persones Físiques pel seu valor a 31 de desembre de 2024 i es deduirà el 50 per cent del valor dels que pertanyin a qualsevol membre computable de la família, exclosos els sustentadors principals.</w:t>
      </w:r>
    </w:p>
    <w:p w14:paraId="3889EDF3"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11. Quantia i pagament dels ajuts</w:t>
      </w:r>
    </w:p>
    <w:p w14:paraId="1E7A496A"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11.1 De forma general, s’atorgaran ajuts del 50% del cost del transport als alumnes que compleixin els requisits establerts.</w:t>
      </w:r>
    </w:p>
    <w:p w14:paraId="545F1B95"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11.2 En situacions socials /econòmiques ben acreditades documentalment, la quantia de l’ajut pot arribar al 100% del seu cost, segons els llindars establerts en els articles 10.2, 10.3 i 10.4.</w:t>
      </w:r>
    </w:p>
    <w:p w14:paraId="5FB2062F"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11.3 El pagament dels ajuts es realitzarà automàticament mitjançant compensació amb el rebut trimestral de cada beneficiari.</w:t>
      </w:r>
    </w:p>
    <w:p w14:paraId="4BA417DC" w14:textId="77777777" w:rsidR="00BF3A36" w:rsidRDefault="00BF3A36" w:rsidP="00BF3A36">
      <w:pPr>
        <w:keepNext/>
        <w:keepLines/>
        <w:spacing w:after="0" w:line="240" w:lineRule="auto"/>
        <w:ind w:left="12" w:right="43" w:hanging="11"/>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lastRenderedPageBreak/>
        <w:t>12. Motius de denegació</w:t>
      </w:r>
    </w:p>
    <w:p w14:paraId="158B375E" w14:textId="77777777" w:rsidR="00BF3A36" w:rsidRPr="00BF3A36" w:rsidRDefault="00BF3A36" w:rsidP="00BF3A36">
      <w:pPr>
        <w:keepNext/>
        <w:keepLines/>
        <w:spacing w:after="0" w:line="240" w:lineRule="auto"/>
        <w:ind w:left="12" w:right="43" w:hanging="11"/>
        <w:jc w:val="both"/>
        <w:outlineLvl w:val="2"/>
        <w:rPr>
          <w:rFonts w:ascii="Arial" w:eastAsia="Arial" w:hAnsi="Arial" w:cs="Arial"/>
          <w:b/>
          <w:color w:val="000000"/>
          <w:sz w:val="22"/>
          <w:lang w:val="ca-ES" w:eastAsia="es-ES"/>
        </w:rPr>
      </w:pPr>
    </w:p>
    <w:p w14:paraId="7D226CC2" w14:textId="77777777" w:rsidR="00BF3A36" w:rsidRDefault="00BF3A36" w:rsidP="00BF3A36">
      <w:pPr>
        <w:spacing w:after="0" w:line="240" w:lineRule="auto"/>
        <w:ind w:left="387" w:right="2179" w:hanging="11"/>
        <w:jc w:val="both"/>
        <w:rPr>
          <w:rFonts w:ascii="Arial" w:eastAsia="Arial" w:hAnsi="Arial" w:cs="Arial"/>
          <w:color w:val="000000"/>
          <w:sz w:val="22"/>
          <w:lang w:val="ca-ES" w:eastAsia="es-ES"/>
        </w:rPr>
      </w:pPr>
      <w:r w:rsidRPr="00BF3A36">
        <w:rPr>
          <w:rFonts w:ascii="Segoe UI Symbol" w:eastAsia="Segoe UI Symbol" w:hAnsi="Segoe UI Symbol" w:cs="Segoe UI Symbol"/>
          <w:color w:val="000000"/>
          <w:sz w:val="22"/>
          <w:lang w:val="ca-ES" w:eastAsia="es-ES"/>
        </w:rPr>
        <w:t xml:space="preserve"> </w:t>
      </w:r>
      <w:r w:rsidRPr="00BF3A36">
        <w:rPr>
          <w:rFonts w:ascii="Arial" w:eastAsia="Arial" w:hAnsi="Arial" w:cs="Arial"/>
          <w:color w:val="000000"/>
          <w:sz w:val="22"/>
          <w:lang w:val="ca-ES" w:eastAsia="es-ES"/>
        </w:rPr>
        <w:t xml:space="preserve">Superar qualsevol dels llindars econòmics de concessió. </w:t>
      </w:r>
    </w:p>
    <w:p w14:paraId="71342424" w14:textId="2AF4670F" w:rsidR="00BF3A36" w:rsidRDefault="00BF3A36" w:rsidP="00BF3A36">
      <w:pPr>
        <w:spacing w:after="0" w:line="240" w:lineRule="auto"/>
        <w:ind w:left="387" w:right="2179" w:hanging="11"/>
        <w:jc w:val="both"/>
        <w:rPr>
          <w:rFonts w:ascii="Arial" w:eastAsia="Arial" w:hAnsi="Arial" w:cs="Arial"/>
          <w:color w:val="000000"/>
          <w:sz w:val="22"/>
          <w:lang w:val="ca-ES" w:eastAsia="es-ES"/>
        </w:rPr>
      </w:pPr>
      <w:r w:rsidRPr="00BF3A36">
        <w:rPr>
          <w:rFonts w:ascii="Segoe UI Symbol" w:eastAsia="Segoe UI Symbol" w:hAnsi="Segoe UI Symbol" w:cs="Segoe UI Symbol"/>
          <w:color w:val="000000"/>
          <w:sz w:val="22"/>
          <w:lang w:val="ca-ES" w:eastAsia="es-ES"/>
        </w:rPr>
        <w:t xml:space="preserve"> </w:t>
      </w:r>
      <w:r w:rsidRPr="00BF3A36">
        <w:rPr>
          <w:rFonts w:ascii="Arial" w:eastAsia="Arial" w:hAnsi="Arial" w:cs="Arial"/>
          <w:color w:val="000000"/>
          <w:sz w:val="22"/>
          <w:lang w:val="ca-ES" w:eastAsia="es-ES"/>
        </w:rPr>
        <w:t>Sol·licitud no ajustada a les bases de la convocatòria.</w:t>
      </w:r>
    </w:p>
    <w:p w14:paraId="280F4644" w14:textId="77777777" w:rsidR="00BF3A36" w:rsidRPr="00BF3A36" w:rsidRDefault="00BF3A36" w:rsidP="00BF3A36">
      <w:pPr>
        <w:spacing w:after="0" w:line="240" w:lineRule="auto"/>
        <w:ind w:left="387" w:right="2179" w:hanging="11"/>
        <w:jc w:val="both"/>
        <w:rPr>
          <w:rFonts w:ascii="Arial" w:eastAsia="Arial" w:hAnsi="Arial" w:cs="Arial"/>
          <w:color w:val="000000"/>
          <w:sz w:val="22"/>
          <w:lang w:val="ca-ES" w:eastAsia="es-ES"/>
        </w:rPr>
      </w:pPr>
    </w:p>
    <w:p w14:paraId="785B7562"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13. Concessió dels ajuts</w:t>
      </w:r>
    </w:p>
    <w:p w14:paraId="67B317A0"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La presidència del Consell Comarcal de la Selva té la facultat de resoldre aquesta convocatòria, previ informe de l’àrea d’Educació de l’ens, que presentarà una proposta de concessió dels ajuts, d'acord amb els barems d’aquesta convocatòria. La Resolució de Presidència resoldrà les sol·licituds atorgades amb especificació del tram d’ajut i les denegades amb la motivació corresponent.</w:t>
      </w:r>
    </w:p>
    <w:p w14:paraId="5C9E4C09"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Abans que transcorrin quinze dies des de la data d’elevació de la proposta de resolució, la presidència del Consell Comarcal dictarà resolució definitiva d’atorgament dels esmentats ajuts.</w:t>
      </w:r>
    </w:p>
    <w:p w14:paraId="3FD7D939"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conformitat amb el que disposa l’article 45.1.b) de la Llei 30/2015, d’1 d’octubre, Procediment Administratiu Comú de les Administracions Públiques.</w:t>
      </w:r>
    </w:p>
    <w:p w14:paraId="56B54562"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Els beneficiaris dels ajuts resten obligats a facilitar la informació requerida pels òrgans de control de l’Administració. </w:t>
      </w:r>
    </w:p>
    <w:p w14:paraId="0333AD1A"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14. Proposta de resolució provisional, resolució definitiva, terminis i notificació</w:t>
      </w:r>
    </w:p>
    <w:p w14:paraId="70847285"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Una vegada avaluades les sol·licituds, per l'òrgan instructor es formularà la proposta de resolució provisional, degudament motivada, que serà publicada al taulell d’anuncis del Consell Comarcal de la Selva concedint un termini de 10 dies per presentar al·legacions. </w:t>
      </w:r>
    </w:p>
    <w:p w14:paraId="242A3B60"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14:paraId="0334A161"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Després d'examinar les al·legacions si les hi hagués, es formularà la proposta de resolució definitiva, que haurà d'expressar el sol·licitant o la relació de sol·licitants pels quals es proposa la concessió de la subvenció, i la seva quantia, especificant la seva avaluació i els criteris de valoració seguits per efectuar-la.</w:t>
      </w:r>
    </w:p>
    <w:p w14:paraId="151FAF01"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Una vegada aprovada la proposta de resolució definitiva, l'òrgan competent resoldrà el procediment. La resolució, a més de contenir el sol·licitant o la relació de sol·licitants als quals es concedeix la subvenció, farà constar, en el seu cas, de manera expressa, la desestimació de la resta de les sol·licituds.</w:t>
      </w:r>
    </w:p>
    <w:p w14:paraId="7B8965A5"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lastRenderedPageBreak/>
        <w:t>Una vegada comunicada la concessió de l’ajuda, si en el termini d’un mes no es manifesta el contrari, s’entén acceptada la subvenció, així com les condicions generals i específiques fixades per a la seva aplicació.</w:t>
      </w:r>
    </w:p>
    <w:p w14:paraId="610D6932"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El termini de resolució i notificació serà de 3 mesos. </w:t>
      </w:r>
    </w:p>
    <w:p w14:paraId="5A897F8D"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El venciment del termini màxim sense haver-se notificat la resolució legitima als interessats per entendre desestimada per silenci administratiu la sol·licitud de concessió de la subvenció.</w:t>
      </w:r>
    </w:p>
    <w:p w14:paraId="67EF1CA3"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15. Reformulació de sol·licituds</w:t>
      </w:r>
    </w:p>
    <w:p w14:paraId="5B2A7FF1" w14:textId="5FB82459"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Quan la subvenció tingui per objecte el rescabalament de despeses efectuades pel sol·licitant i l'import de la subvenció de la proposta de resolució provisional sigui inferior al qual figura en la sol·licitud presentada, es podrà instar del beneficiari la reformulació de la seva sol·licitud per ajustar els compromisos i les condicions a la subvenció </w:t>
      </w:r>
      <w:r w:rsidRPr="00BF3A36">
        <w:rPr>
          <w:rFonts w:ascii="Arial" w:eastAsia="Arial" w:hAnsi="Arial" w:cs="Arial"/>
          <w:color w:val="000000"/>
          <w:sz w:val="22"/>
          <w:lang w:val="ca-ES" w:eastAsia="es-ES"/>
        </w:rPr>
        <w:t>atorgable</w:t>
      </w:r>
      <w:r w:rsidRPr="00BF3A36">
        <w:rPr>
          <w:rFonts w:ascii="Arial" w:eastAsia="Arial" w:hAnsi="Arial" w:cs="Arial"/>
          <w:color w:val="000000"/>
          <w:sz w:val="22"/>
          <w:lang w:val="ca-ES" w:eastAsia="es-ES"/>
        </w:rPr>
        <w:t>.</w:t>
      </w:r>
    </w:p>
    <w:p w14:paraId="087B1B84"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Si la sol·licitud mereix la conformitat de l'òrgan col·legiat, es remetrà amb tot l'actuat a l'òrgan competent perquè dicti la resolució. Ha de respectar, en qualsevol cas, l'objecte, condicions i la finalitat de la subvenció, així com els criteris de valoració establerts respecte de les sol·licituds o peticions.</w:t>
      </w:r>
    </w:p>
    <w:p w14:paraId="75DB5E0F"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16. Fi de la via administrativa</w:t>
      </w:r>
    </w:p>
    <w:p w14:paraId="7BB44DBF"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 xml:space="preserve">L'acte de resolució de la subvenció esgota la via administrativa. </w:t>
      </w:r>
    </w:p>
    <w:p w14:paraId="4F179298" w14:textId="77777777" w:rsidR="00BF3A36" w:rsidRPr="00BF3A36" w:rsidRDefault="00BF3A36" w:rsidP="00BF3A36">
      <w:pPr>
        <w:spacing w:after="296" w:line="269" w:lineRule="auto"/>
        <w:ind w:left="12" w:right="44" w:hanging="10"/>
        <w:jc w:val="both"/>
        <w:rPr>
          <w:rFonts w:ascii="Arial" w:eastAsia="Arial" w:hAnsi="Arial" w:cs="Arial"/>
          <w:color w:val="000000"/>
          <w:sz w:val="22"/>
          <w:lang w:val="ca-ES" w:eastAsia="es-ES"/>
        </w:rPr>
      </w:pPr>
      <w:r w:rsidRPr="00BF3A36">
        <w:rPr>
          <w:rFonts w:ascii="Arial" w:eastAsia="Arial" w:hAnsi="Arial" w:cs="Arial"/>
          <w:color w:val="000000"/>
          <w:sz w:val="22"/>
          <w:lang w:val="ca-ES" w:eastAsia="es-ES"/>
        </w:rPr>
        <w:t>D'acord amb el que disposen els articles 123 i 124 de la Llei 39/2015, d'1 d'octubre, del Procediment Administratiu Comú de les Administracions Públiques, contra aquesta resolució podrà interposar-se recurs potestatiu de reposició davant l'Alcalde d'aquest Ajuntament, en el terme d'un mes a comptar des de l'endemà de la recepció de la notificació, o bé directament recurs contenciós administratiu davant el Jutjat del Contenciós-Administratiu de Girona, en el termini de dos mesos, a comptar des de l'endemà al de la recepció de la notificació, de conformitat amb l'article 46 de la Llei 29/1998, de 13 de juliol, de la Jurisdicció Contenciós-Administrativa.</w:t>
      </w:r>
    </w:p>
    <w:p w14:paraId="565FB4F3" w14:textId="77777777" w:rsidR="00BF3A36" w:rsidRPr="00BF3A36" w:rsidRDefault="00BF3A36" w:rsidP="00BF3A36">
      <w:pPr>
        <w:keepNext/>
        <w:keepLines/>
        <w:spacing w:after="303" w:line="265" w:lineRule="auto"/>
        <w:ind w:left="12" w:right="43" w:hanging="10"/>
        <w:jc w:val="both"/>
        <w:outlineLvl w:val="2"/>
        <w:rPr>
          <w:rFonts w:ascii="Arial" w:eastAsia="Arial" w:hAnsi="Arial" w:cs="Arial"/>
          <w:b/>
          <w:color w:val="000000"/>
          <w:sz w:val="22"/>
          <w:lang w:val="ca-ES" w:eastAsia="es-ES"/>
        </w:rPr>
      </w:pPr>
      <w:r w:rsidRPr="00BF3A36">
        <w:rPr>
          <w:rFonts w:ascii="Arial" w:eastAsia="Arial" w:hAnsi="Arial" w:cs="Arial"/>
          <w:b/>
          <w:color w:val="000000"/>
          <w:sz w:val="22"/>
          <w:lang w:val="ca-ES" w:eastAsia="es-ES"/>
        </w:rPr>
        <w:t>17. Mitjans de notificació o publicació</w:t>
      </w:r>
    </w:p>
    <w:p w14:paraId="12905B18" w14:textId="30AD9F0D" w:rsidR="00BF3A36" w:rsidRPr="00BF3A36" w:rsidRDefault="00BF3A36" w:rsidP="00BF3A36">
      <w:pPr>
        <w:jc w:val="both"/>
        <w:rPr>
          <w:lang w:val="ca-ES"/>
        </w:rPr>
      </w:pPr>
      <w:r w:rsidRPr="00BF3A36">
        <w:rPr>
          <w:rFonts w:ascii="Arial" w:eastAsia="Arial" w:hAnsi="Arial" w:cs="Arial"/>
          <w:color w:val="000000"/>
          <w:sz w:val="22"/>
          <w:lang w:val="ca-ES" w:eastAsia="es-ES"/>
        </w:rPr>
        <w:t>Les notificacions es practicaran en el lloc i pel mitjà que el sol·licitant faci constar a aquest efecte en la sol·licitud, tenint en compte allò que s'ha fixat a aquests efectes en l'article 41 de la Llei 39/2015, d'1 d'octubre, del Procediment Administratiu Comú de les Administracions Públiques.</w:t>
      </w:r>
    </w:p>
    <w:sectPr w:rsidR="00BF3A36" w:rsidRPr="00BF3A3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DA9"/>
    <w:multiLevelType w:val="hybridMultilevel"/>
    <w:tmpl w:val="65EA18DC"/>
    <w:lvl w:ilvl="0" w:tplc="F0C07880">
      <w:start w:val="1"/>
      <w:numFmt w:val="bullet"/>
      <w:lvlText w:val="•"/>
      <w:lvlJc w:val="left"/>
      <w:pPr>
        <w:ind w:left="1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FEEA4A">
      <w:start w:val="1"/>
      <w:numFmt w:val="bullet"/>
      <w:lvlText w:val="-"/>
      <w:lvlJc w:val="left"/>
      <w:pPr>
        <w:ind w:left="2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12AA160">
      <w:start w:val="1"/>
      <w:numFmt w:val="bullet"/>
      <w:lvlText w:val="▪"/>
      <w:lvlJc w:val="left"/>
      <w:pPr>
        <w:ind w:left="28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BC2A7E">
      <w:start w:val="1"/>
      <w:numFmt w:val="bullet"/>
      <w:lvlText w:val="•"/>
      <w:lvlJc w:val="left"/>
      <w:pPr>
        <w:ind w:left="36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12F77E">
      <w:start w:val="1"/>
      <w:numFmt w:val="bullet"/>
      <w:lvlText w:val="o"/>
      <w:lvlJc w:val="left"/>
      <w:pPr>
        <w:ind w:left="43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C062D6A">
      <w:start w:val="1"/>
      <w:numFmt w:val="bullet"/>
      <w:lvlText w:val="▪"/>
      <w:lvlJc w:val="left"/>
      <w:pPr>
        <w:ind w:left="50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F4CBBB0">
      <w:start w:val="1"/>
      <w:numFmt w:val="bullet"/>
      <w:lvlText w:val="•"/>
      <w:lvlJc w:val="left"/>
      <w:pPr>
        <w:ind w:left="57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580C24">
      <w:start w:val="1"/>
      <w:numFmt w:val="bullet"/>
      <w:lvlText w:val="o"/>
      <w:lvlJc w:val="left"/>
      <w:pPr>
        <w:ind w:left="64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37C8EB2">
      <w:start w:val="1"/>
      <w:numFmt w:val="bullet"/>
      <w:lvlText w:val="▪"/>
      <w:lvlJc w:val="left"/>
      <w:pPr>
        <w:ind w:left="72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CA7158"/>
    <w:multiLevelType w:val="hybridMultilevel"/>
    <w:tmpl w:val="24F2CAF4"/>
    <w:lvl w:ilvl="0" w:tplc="A176B8F0">
      <w:start w:val="1"/>
      <w:numFmt w:val="bullet"/>
      <w:lvlText w:val="•"/>
      <w:lvlJc w:val="left"/>
      <w:pPr>
        <w:ind w:left="3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617C2F32">
      <w:start w:val="1"/>
      <w:numFmt w:val="bullet"/>
      <w:lvlRestart w:val="0"/>
      <w:lvlText w:val="-"/>
      <w:lvlJc w:val="left"/>
      <w:pPr>
        <w:ind w:left="143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F842A414">
      <w:start w:val="1"/>
      <w:numFmt w:val="bullet"/>
      <w:lvlText w:val="▪"/>
      <w:lvlJc w:val="left"/>
      <w:pPr>
        <w:ind w:left="217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391E99FE">
      <w:start w:val="1"/>
      <w:numFmt w:val="bullet"/>
      <w:lvlText w:val="•"/>
      <w:lvlJc w:val="left"/>
      <w:pPr>
        <w:ind w:left="289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0CF42922">
      <w:start w:val="1"/>
      <w:numFmt w:val="bullet"/>
      <w:lvlText w:val="o"/>
      <w:lvlJc w:val="left"/>
      <w:pPr>
        <w:ind w:left="361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710AE830">
      <w:start w:val="1"/>
      <w:numFmt w:val="bullet"/>
      <w:lvlText w:val="▪"/>
      <w:lvlJc w:val="left"/>
      <w:pPr>
        <w:ind w:left="433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FC305A7E">
      <w:start w:val="1"/>
      <w:numFmt w:val="bullet"/>
      <w:lvlText w:val="•"/>
      <w:lvlJc w:val="left"/>
      <w:pPr>
        <w:ind w:left="505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F49C8660">
      <w:start w:val="1"/>
      <w:numFmt w:val="bullet"/>
      <w:lvlText w:val="o"/>
      <w:lvlJc w:val="left"/>
      <w:pPr>
        <w:ind w:left="577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7E0AA564">
      <w:start w:val="1"/>
      <w:numFmt w:val="bullet"/>
      <w:lvlText w:val="▪"/>
      <w:lvlJc w:val="left"/>
      <w:pPr>
        <w:ind w:left="649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C5F462B"/>
    <w:multiLevelType w:val="multilevel"/>
    <w:tmpl w:val="278EF470"/>
    <w:lvl w:ilvl="0">
      <w:start w:val="4"/>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D50569B"/>
    <w:multiLevelType w:val="hybridMultilevel"/>
    <w:tmpl w:val="716A80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F211B87"/>
    <w:multiLevelType w:val="hybridMultilevel"/>
    <w:tmpl w:val="9C3C4E38"/>
    <w:lvl w:ilvl="0" w:tplc="31E8F63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3CD6C6">
      <w:start w:val="1"/>
      <w:numFmt w:val="bullet"/>
      <w:lvlRestart w:val="0"/>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8AEECE">
      <w:start w:val="1"/>
      <w:numFmt w:val="bullet"/>
      <w:lvlText w:val="▪"/>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69419DA">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52002A">
      <w:start w:val="1"/>
      <w:numFmt w:val="bullet"/>
      <w:lvlText w:val="o"/>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834A558">
      <w:start w:val="1"/>
      <w:numFmt w:val="bullet"/>
      <w:lvlText w:val="▪"/>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9C7590">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D683A8">
      <w:start w:val="1"/>
      <w:numFmt w:val="bullet"/>
      <w:lvlText w:val="o"/>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D6EBE8">
      <w:start w:val="1"/>
      <w:numFmt w:val="bullet"/>
      <w:lvlText w:val="▪"/>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E0905FA"/>
    <w:multiLevelType w:val="hybridMultilevel"/>
    <w:tmpl w:val="02C22A36"/>
    <w:lvl w:ilvl="0" w:tplc="A87C12F0">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10F0D0">
      <w:start w:val="1"/>
      <w:numFmt w:val="bullet"/>
      <w:lvlText w:val="o"/>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36E9776">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E48EE2">
      <w:start w:val="1"/>
      <w:numFmt w:val="bullet"/>
      <w:lvlText w:val="•"/>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82AB58">
      <w:start w:val="1"/>
      <w:numFmt w:val="bullet"/>
      <w:lvlText w:val="o"/>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19AA718">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630D48C">
      <w:start w:val="1"/>
      <w:numFmt w:val="bullet"/>
      <w:lvlText w:val="•"/>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F6A088">
      <w:start w:val="1"/>
      <w:numFmt w:val="bullet"/>
      <w:lvlText w:val="o"/>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EA496F0">
      <w:start w:val="1"/>
      <w:numFmt w:val="bullet"/>
      <w:lvlText w:val="▪"/>
      <w:lvlJc w:val="left"/>
      <w:pPr>
        <w:ind w:left="6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4AE6D8A"/>
    <w:multiLevelType w:val="hybridMultilevel"/>
    <w:tmpl w:val="2DC8DCDA"/>
    <w:lvl w:ilvl="0" w:tplc="39364752">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60E6238">
      <w:start w:val="1"/>
      <w:numFmt w:val="bullet"/>
      <w:lvlText w:val="o"/>
      <w:lvlJc w:val="left"/>
      <w:pPr>
        <w:ind w:left="8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15AE136">
      <w:start w:val="1"/>
      <w:numFmt w:val="bullet"/>
      <w:lvlText w:val="▪"/>
      <w:lvlJc w:val="left"/>
      <w:pPr>
        <w:ind w:left="1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A9AE8AA">
      <w:start w:val="1"/>
      <w:numFmt w:val="bullet"/>
      <w:lvlRestart w:val="0"/>
      <w:lvlText w:val="o"/>
      <w:lvlJc w:val="left"/>
      <w:pPr>
        <w:ind w:left="1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754E37C">
      <w:start w:val="1"/>
      <w:numFmt w:val="bullet"/>
      <w:lvlText w:val="o"/>
      <w:lvlJc w:val="left"/>
      <w:pPr>
        <w:ind w:left="25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520E16C">
      <w:start w:val="1"/>
      <w:numFmt w:val="bullet"/>
      <w:lvlText w:val="▪"/>
      <w:lvlJc w:val="left"/>
      <w:pPr>
        <w:ind w:left="32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16C1FF2">
      <w:start w:val="1"/>
      <w:numFmt w:val="bullet"/>
      <w:lvlText w:val="•"/>
      <w:lvlJc w:val="left"/>
      <w:pPr>
        <w:ind w:left="39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060B8A4">
      <w:start w:val="1"/>
      <w:numFmt w:val="bullet"/>
      <w:lvlText w:val="o"/>
      <w:lvlJc w:val="left"/>
      <w:pPr>
        <w:ind w:left="46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A904966">
      <w:start w:val="1"/>
      <w:numFmt w:val="bullet"/>
      <w:lvlText w:val="▪"/>
      <w:lvlJc w:val="left"/>
      <w:pPr>
        <w:ind w:left="54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CA852BD"/>
    <w:multiLevelType w:val="multilevel"/>
    <w:tmpl w:val="B986E08C"/>
    <w:lvl w:ilvl="0">
      <w:start w:val="10"/>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5"/>
      <w:numFmt w:val="decimal"/>
      <w:lvlText w:val="%1.%2"/>
      <w:lvlJc w:val="left"/>
      <w:pPr>
        <w:ind w:left="3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1FA13CE"/>
    <w:multiLevelType w:val="hybridMultilevel"/>
    <w:tmpl w:val="169E23FC"/>
    <w:lvl w:ilvl="0" w:tplc="01D22D4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C8B2AE">
      <w:start w:val="1"/>
      <w:numFmt w:val="bullet"/>
      <w:lvlText w:val="o"/>
      <w:lvlJc w:val="left"/>
      <w:pPr>
        <w:ind w:left="14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7DC583C">
      <w:start w:val="1"/>
      <w:numFmt w:val="bullet"/>
      <w:lvlRestart w:val="0"/>
      <w:lvlText w:val="-"/>
      <w:lvlJc w:val="left"/>
      <w:pPr>
        <w:ind w:left="28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A4CEF74">
      <w:start w:val="1"/>
      <w:numFmt w:val="bullet"/>
      <w:lvlText w:val="•"/>
      <w:lvlJc w:val="left"/>
      <w:pPr>
        <w:ind w:left="3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4A49A2">
      <w:start w:val="1"/>
      <w:numFmt w:val="bullet"/>
      <w:lvlText w:val="o"/>
      <w:lvlJc w:val="left"/>
      <w:pPr>
        <w:ind w:left="3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97CC654">
      <w:start w:val="1"/>
      <w:numFmt w:val="bullet"/>
      <w:lvlText w:val="▪"/>
      <w:lvlJc w:val="left"/>
      <w:pPr>
        <w:ind w:left="4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062FCE6">
      <w:start w:val="1"/>
      <w:numFmt w:val="bullet"/>
      <w:lvlText w:val="•"/>
      <w:lvlJc w:val="left"/>
      <w:pPr>
        <w:ind w:left="5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76826E">
      <w:start w:val="1"/>
      <w:numFmt w:val="bullet"/>
      <w:lvlText w:val="o"/>
      <w:lvlJc w:val="left"/>
      <w:pPr>
        <w:ind w:left="6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DB49C9E">
      <w:start w:val="1"/>
      <w:numFmt w:val="bullet"/>
      <w:lvlText w:val="▪"/>
      <w:lvlJc w:val="left"/>
      <w:pPr>
        <w:ind w:left="6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2BF0387"/>
    <w:multiLevelType w:val="hybridMultilevel"/>
    <w:tmpl w:val="ED9C3E04"/>
    <w:lvl w:ilvl="0" w:tplc="82B604E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B23E52">
      <w:start w:val="1"/>
      <w:numFmt w:val="bullet"/>
      <w:lvlRestart w:val="0"/>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8F66452">
      <w:start w:val="1"/>
      <w:numFmt w:val="bullet"/>
      <w:lvlText w:val="▪"/>
      <w:lvlJc w:val="left"/>
      <w:pPr>
        <w:ind w:left="1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6D4D9F2">
      <w:start w:val="1"/>
      <w:numFmt w:val="bullet"/>
      <w:lvlText w:val="•"/>
      <w:lvlJc w:val="left"/>
      <w:pPr>
        <w:ind w:left="2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5EF8EE">
      <w:start w:val="1"/>
      <w:numFmt w:val="bullet"/>
      <w:lvlText w:val="o"/>
      <w:lvlJc w:val="left"/>
      <w:pPr>
        <w:ind w:left="2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8DA69F2">
      <w:start w:val="1"/>
      <w:numFmt w:val="bullet"/>
      <w:lvlText w:val="▪"/>
      <w:lvlJc w:val="left"/>
      <w:pPr>
        <w:ind w:left="3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62ADE22">
      <w:start w:val="1"/>
      <w:numFmt w:val="bullet"/>
      <w:lvlText w:val="•"/>
      <w:lvlJc w:val="left"/>
      <w:pPr>
        <w:ind w:left="4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42EE4C">
      <w:start w:val="1"/>
      <w:numFmt w:val="bullet"/>
      <w:lvlText w:val="o"/>
      <w:lvlJc w:val="left"/>
      <w:pPr>
        <w:ind w:left="5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F8866E">
      <w:start w:val="1"/>
      <w:numFmt w:val="bullet"/>
      <w:lvlText w:val="▪"/>
      <w:lvlJc w:val="left"/>
      <w:pPr>
        <w:ind w:left="5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3963DCE"/>
    <w:multiLevelType w:val="hybridMultilevel"/>
    <w:tmpl w:val="7C5431A4"/>
    <w:lvl w:ilvl="0" w:tplc="CF0ECF2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7494BC">
      <w:start w:val="1"/>
      <w:numFmt w:val="bullet"/>
      <w:lvlRestart w:val="0"/>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60425D2">
      <w:start w:val="1"/>
      <w:numFmt w:val="bullet"/>
      <w:lvlText w:val="▪"/>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4CCD2E">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758FCC0">
      <w:start w:val="1"/>
      <w:numFmt w:val="bullet"/>
      <w:lvlText w:val="o"/>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58BA84">
      <w:start w:val="1"/>
      <w:numFmt w:val="bullet"/>
      <w:lvlText w:val="▪"/>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6949940">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50C700">
      <w:start w:val="1"/>
      <w:numFmt w:val="bullet"/>
      <w:lvlText w:val="o"/>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0F62486">
      <w:start w:val="1"/>
      <w:numFmt w:val="bullet"/>
      <w:lvlText w:val="▪"/>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F612518"/>
    <w:multiLevelType w:val="hybridMultilevel"/>
    <w:tmpl w:val="A9049DB6"/>
    <w:lvl w:ilvl="0" w:tplc="BD7CE364">
      <w:start w:val="1"/>
      <w:numFmt w:val="bullet"/>
      <w:lvlText w:val="•"/>
      <w:lvlJc w:val="left"/>
      <w:pPr>
        <w:ind w:left="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1EF07E">
      <w:start w:val="1"/>
      <w:numFmt w:val="bullet"/>
      <w:lvlText w:val="o"/>
      <w:lvlJc w:val="left"/>
      <w:pPr>
        <w:ind w:left="1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51641C0">
      <w:start w:val="1"/>
      <w:numFmt w:val="bullet"/>
      <w:lvlText w:val="▪"/>
      <w:lvlJc w:val="left"/>
      <w:pPr>
        <w:ind w:left="2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A6DAEC">
      <w:start w:val="1"/>
      <w:numFmt w:val="bullet"/>
      <w:lvlText w:val="•"/>
      <w:lvlJc w:val="left"/>
      <w:pPr>
        <w:ind w:left="3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88E44E">
      <w:start w:val="1"/>
      <w:numFmt w:val="bullet"/>
      <w:lvlText w:val="o"/>
      <w:lvlJc w:val="left"/>
      <w:pPr>
        <w:ind w:left="3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F0C7010">
      <w:start w:val="1"/>
      <w:numFmt w:val="bullet"/>
      <w:lvlText w:val="▪"/>
      <w:lvlJc w:val="left"/>
      <w:pPr>
        <w:ind w:left="4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B50A67A">
      <w:start w:val="1"/>
      <w:numFmt w:val="bullet"/>
      <w:lvlText w:val="•"/>
      <w:lvlJc w:val="left"/>
      <w:pPr>
        <w:ind w:left="5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6EB04E">
      <w:start w:val="1"/>
      <w:numFmt w:val="bullet"/>
      <w:lvlText w:val="o"/>
      <w:lvlJc w:val="left"/>
      <w:pPr>
        <w:ind w:left="6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558BE30">
      <w:start w:val="1"/>
      <w:numFmt w:val="bullet"/>
      <w:lvlText w:val="▪"/>
      <w:lvlJc w:val="left"/>
      <w:pPr>
        <w:ind w:left="6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0965BD7"/>
    <w:multiLevelType w:val="hybridMultilevel"/>
    <w:tmpl w:val="44B097E8"/>
    <w:lvl w:ilvl="0" w:tplc="2668A6E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2CBA50">
      <w:start w:val="1"/>
      <w:numFmt w:val="bullet"/>
      <w:lvlText w:val="o"/>
      <w:lvlJc w:val="left"/>
      <w:pPr>
        <w:ind w:left="9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26FF6">
      <w:start w:val="1"/>
      <w:numFmt w:val="bullet"/>
      <w:lvlRestart w:val="0"/>
      <w:lvlText w:val="•"/>
      <w:lvlJc w:val="left"/>
      <w:pPr>
        <w:ind w:left="1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1E29E28">
      <w:start w:val="1"/>
      <w:numFmt w:val="bullet"/>
      <w:lvlText w:val="•"/>
      <w:lvlJc w:val="left"/>
      <w:pPr>
        <w:ind w:left="21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765714">
      <w:start w:val="1"/>
      <w:numFmt w:val="bullet"/>
      <w:lvlText w:val="o"/>
      <w:lvlJc w:val="left"/>
      <w:pPr>
        <w:ind w:left="28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CCE22B6">
      <w:start w:val="1"/>
      <w:numFmt w:val="bullet"/>
      <w:lvlText w:val="▪"/>
      <w:lvlJc w:val="left"/>
      <w:pPr>
        <w:ind w:left="36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1C0047E">
      <w:start w:val="1"/>
      <w:numFmt w:val="bullet"/>
      <w:lvlText w:val="•"/>
      <w:lvlJc w:val="left"/>
      <w:pPr>
        <w:ind w:left="43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C7AF65C">
      <w:start w:val="1"/>
      <w:numFmt w:val="bullet"/>
      <w:lvlText w:val="o"/>
      <w:lvlJc w:val="left"/>
      <w:pPr>
        <w:ind w:left="50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06EEC06">
      <w:start w:val="1"/>
      <w:numFmt w:val="bullet"/>
      <w:lvlText w:val="▪"/>
      <w:lvlJc w:val="left"/>
      <w:pPr>
        <w:ind w:left="57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E484207"/>
    <w:multiLevelType w:val="hybridMultilevel"/>
    <w:tmpl w:val="6DA838AC"/>
    <w:lvl w:ilvl="0" w:tplc="AA26192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60FF26">
      <w:start w:val="1"/>
      <w:numFmt w:val="bullet"/>
      <w:lvlText w:val="o"/>
      <w:lvlJc w:val="left"/>
      <w:pPr>
        <w:ind w:left="9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6E01770">
      <w:start w:val="1"/>
      <w:numFmt w:val="bullet"/>
      <w:lvlText w:val="▪"/>
      <w:lvlJc w:val="left"/>
      <w:pPr>
        <w:ind w:left="15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D62E028">
      <w:start w:val="1"/>
      <w:numFmt w:val="bullet"/>
      <w:lvlRestart w:val="0"/>
      <w:lvlText w:val="-"/>
      <w:lvlJc w:val="left"/>
      <w:pPr>
        <w:ind w:left="2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782D42">
      <w:start w:val="1"/>
      <w:numFmt w:val="bullet"/>
      <w:lvlText w:val="o"/>
      <w:lvlJc w:val="left"/>
      <w:pPr>
        <w:ind w:left="28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4FE7444">
      <w:start w:val="1"/>
      <w:numFmt w:val="bullet"/>
      <w:lvlText w:val="▪"/>
      <w:lvlJc w:val="left"/>
      <w:pPr>
        <w:ind w:left="36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14E2EC">
      <w:start w:val="1"/>
      <w:numFmt w:val="bullet"/>
      <w:lvlText w:val="•"/>
      <w:lvlJc w:val="left"/>
      <w:pPr>
        <w:ind w:left="43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181A88">
      <w:start w:val="1"/>
      <w:numFmt w:val="bullet"/>
      <w:lvlText w:val="o"/>
      <w:lvlJc w:val="left"/>
      <w:pPr>
        <w:ind w:left="50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9287166">
      <w:start w:val="1"/>
      <w:numFmt w:val="bullet"/>
      <w:lvlText w:val="▪"/>
      <w:lvlJc w:val="left"/>
      <w:pPr>
        <w:ind w:left="57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8D92284"/>
    <w:multiLevelType w:val="hybridMultilevel"/>
    <w:tmpl w:val="C8BEB914"/>
    <w:lvl w:ilvl="0" w:tplc="E3749450">
      <w:start w:val="1"/>
      <w:numFmt w:val="lowerLetter"/>
      <w:lvlText w:val="%1)"/>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96EEC4">
      <w:start w:val="1"/>
      <w:numFmt w:val="lowerLetter"/>
      <w:lvlText w:val="%2"/>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268CA4">
      <w:start w:val="1"/>
      <w:numFmt w:val="lowerRoman"/>
      <w:lvlText w:val="%3"/>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F60ED0A">
      <w:start w:val="1"/>
      <w:numFmt w:val="decimal"/>
      <w:lvlText w:val="%4"/>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F042EE">
      <w:start w:val="1"/>
      <w:numFmt w:val="lowerLetter"/>
      <w:lvlText w:val="%5"/>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124188">
      <w:start w:val="1"/>
      <w:numFmt w:val="lowerRoman"/>
      <w:lvlText w:val="%6"/>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760280">
      <w:start w:val="1"/>
      <w:numFmt w:val="decimal"/>
      <w:lvlText w:val="%7"/>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F4A8EE">
      <w:start w:val="1"/>
      <w:numFmt w:val="lowerLetter"/>
      <w:lvlText w:val="%8"/>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2EF65C">
      <w:start w:val="1"/>
      <w:numFmt w:val="lowerRoman"/>
      <w:lvlText w:val="%9"/>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EF20E9F"/>
    <w:multiLevelType w:val="hybridMultilevel"/>
    <w:tmpl w:val="48208ADE"/>
    <w:lvl w:ilvl="0" w:tplc="D39A4F42">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4E0CAA">
      <w:start w:val="1"/>
      <w:numFmt w:val="bullet"/>
      <w:lvlText w:val="o"/>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7E676E6">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50DA52">
      <w:start w:val="1"/>
      <w:numFmt w:val="bullet"/>
      <w:lvlText w:val="•"/>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B2F4CE">
      <w:start w:val="1"/>
      <w:numFmt w:val="bullet"/>
      <w:lvlText w:val="o"/>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C2DA66">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DC7270">
      <w:start w:val="1"/>
      <w:numFmt w:val="bullet"/>
      <w:lvlText w:val="•"/>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D85E08">
      <w:start w:val="1"/>
      <w:numFmt w:val="bullet"/>
      <w:lvlText w:val="o"/>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4246BA4">
      <w:start w:val="1"/>
      <w:numFmt w:val="bullet"/>
      <w:lvlText w:val="▪"/>
      <w:lvlJc w:val="left"/>
      <w:pPr>
        <w:ind w:left="6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0A71400"/>
    <w:multiLevelType w:val="multilevel"/>
    <w:tmpl w:val="004CE178"/>
    <w:lvl w:ilvl="0">
      <w:start w:val="10"/>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4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9435B02"/>
    <w:multiLevelType w:val="hybridMultilevel"/>
    <w:tmpl w:val="6CF6A282"/>
    <w:lvl w:ilvl="0" w:tplc="FB92AE5E">
      <w:start w:val="1"/>
      <w:numFmt w:val="bullet"/>
      <w:lvlText w:val="•"/>
      <w:lvlJc w:val="left"/>
      <w:pPr>
        <w:ind w:left="2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CAC502">
      <w:start w:val="1"/>
      <w:numFmt w:val="bullet"/>
      <w:lvlText w:val="o"/>
      <w:lvlJc w:val="left"/>
      <w:pPr>
        <w:ind w:left="28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8A41A44">
      <w:start w:val="1"/>
      <w:numFmt w:val="bullet"/>
      <w:lvlText w:val="▪"/>
      <w:lvlJc w:val="left"/>
      <w:pPr>
        <w:ind w:left="36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105DF4">
      <w:start w:val="1"/>
      <w:numFmt w:val="bullet"/>
      <w:lvlText w:val="•"/>
      <w:lvlJc w:val="left"/>
      <w:pPr>
        <w:ind w:left="43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7C3AA2">
      <w:start w:val="1"/>
      <w:numFmt w:val="bullet"/>
      <w:lvlText w:val="o"/>
      <w:lvlJc w:val="left"/>
      <w:pPr>
        <w:ind w:left="5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092455E">
      <w:start w:val="1"/>
      <w:numFmt w:val="bullet"/>
      <w:lvlText w:val="▪"/>
      <w:lvlJc w:val="left"/>
      <w:pPr>
        <w:ind w:left="5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D88B50C">
      <w:start w:val="1"/>
      <w:numFmt w:val="bullet"/>
      <w:lvlText w:val="•"/>
      <w:lvlJc w:val="left"/>
      <w:pPr>
        <w:ind w:left="6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C48FA1C">
      <w:start w:val="1"/>
      <w:numFmt w:val="bullet"/>
      <w:lvlText w:val="o"/>
      <w:lvlJc w:val="left"/>
      <w:pPr>
        <w:ind w:left="7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3C37DC">
      <w:start w:val="1"/>
      <w:numFmt w:val="bullet"/>
      <w:lvlText w:val="▪"/>
      <w:lvlJc w:val="left"/>
      <w:pPr>
        <w:ind w:left="7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067145945">
    <w:abstractNumId w:val="14"/>
  </w:num>
  <w:num w:numId="2" w16cid:durableId="1263151073">
    <w:abstractNumId w:val="2"/>
  </w:num>
  <w:num w:numId="3" w16cid:durableId="388846008">
    <w:abstractNumId w:val="5"/>
  </w:num>
  <w:num w:numId="4" w16cid:durableId="1195581003">
    <w:abstractNumId w:val="6"/>
  </w:num>
  <w:num w:numId="5" w16cid:durableId="1894347782">
    <w:abstractNumId w:val="0"/>
  </w:num>
  <w:num w:numId="6" w16cid:durableId="406269066">
    <w:abstractNumId w:val="8"/>
  </w:num>
  <w:num w:numId="7" w16cid:durableId="185025565">
    <w:abstractNumId w:val="13"/>
  </w:num>
  <w:num w:numId="8" w16cid:durableId="739836300">
    <w:abstractNumId w:val="12"/>
  </w:num>
  <w:num w:numId="9" w16cid:durableId="2052536048">
    <w:abstractNumId w:val="15"/>
  </w:num>
  <w:num w:numId="10" w16cid:durableId="1501115619">
    <w:abstractNumId w:val="1"/>
  </w:num>
  <w:num w:numId="11" w16cid:durableId="31535886">
    <w:abstractNumId w:val="10"/>
  </w:num>
  <w:num w:numId="12" w16cid:durableId="541478179">
    <w:abstractNumId w:val="9"/>
  </w:num>
  <w:num w:numId="13" w16cid:durableId="2083216144">
    <w:abstractNumId w:val="4"/>
  </w:num>
  <w:num w:numId="14" w16cid:durableId="1692759948">
    <w:abstractNumId w:val="11"/>
  </w:num>
  <w:num w:numId="15" w16cid:durableId="968896878">
    <w:abstractNumId w:val="17"/>
  </w:num>
  <w:num w:numId="16" w16cid:durableId="1640308600">
    <w:abstractNumId w:val="7"/>
  </w:num>
  <w:num w:numId="17" w16cid:durableId="553739546">
    <w:abstractNumId w:val="16"/>
  </w:num>
  <w:num w:numId="18" w16cid:durableId="3038980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A36"/>
    <w:rsid w:val="007C4BB4"/>
    <w:rsid w:val="00BF3A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86AB0"/>
  <w15:chartTrackingRefBased/>
  <w15:docId w15:val="{C4595C3E-1C49-475A-B0E4-3FAAD8F3A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F3A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F3A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F3A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F3A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F3A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F3A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F3A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F3A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F3A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F3A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F3A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F3A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F3A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F3A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F3A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F3A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F3A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F3A36"/>
    <w:rPr>
      <w:rFonts w:eastAsiaTheme="majorEastAsia" w:cstheme="majorBidi"/>
      <w:color w:val="272727" w:themeColor="text1" w:themeTint="D8"/>
    </w:rPr>
  </w:style>
  <w:style w:type="paragraph" w:styleId="Ttulo">
    <w:name w:val="Title"/>
    <w:basedOn w:val="Normal"/>
    <w:next w:val="Normal"/>
    <w:link w:val="TtuloCar"/>
    <w:uiPriority w:val="10"/>
    <w:qFormat/>
    <w:rsid w:val="00BF3A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F3A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F3A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F3A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F3A36"/>
    <w:pPr>
      <w:spacing w:before="160"/>
      <w:jc w:val="center"/>
    </w:pPr>
    <w:rPr>
      <w:i/>
      <w:iCs/>
      <w:color w:val="404040" w:themeColor="text1" w:themeTint="BF"/>
    </w:rPr>
  </w:style>
  <w:style w:type="character" w:customStyle="1" w:styleId="CitaCar">
    <w:name w:val="Cita Car"/>
    <w:basedOn w:val="Fuentedeprrafopredeter"/>
    <w:link w:val="Cita"/>
    <w:uiPriority w:val="29"/>
    <w:rsid w:val="00BF3A36"/>
    <w:rPr>
      <w:i/>
      <w:iCs/>
      <w:color w:val="404040" w:themeColor="text1" w:themeTint="BF"/>
    </w:rPr>
  </w:style>
  <w:style w:type="paragraph" w:styleId="Prrafodelista">
    <w:name w:val="List Paragraph"/>
    <w:basedOn w:val="Normal"/>
    <w:uiPriority w:val="34"/>
    <w:qFormat/>
    <w:rsid w:val="00BF3A36"/>
    <w:pPr>
      <w:ind w:left="720"/>
      <w:contextualSpacing/>
    </w:pPr>
  </w:style>
  <w:style w:type="character" w:styleId="nfasisintenso">
    <w:name w:val="Intense Emphasis"/>
    <w:basedOn w:val="Fuentedeprrafopredeter"/>
    <w:uiPriority w:val="21"/>
    <w:qFormat/>
    <w:rsid w:val="00BF3A36"/>
    <w:rPr>
      <w:i/>
      <w:iCs/>
      <w:color w:val="2F5496" w:themeColor="accent1" w:themeShade="BF"/>
    </w:rPr>
  </w:style>
  <w:style w:type="paragraph" w:styleId="Citadestacada">
    <w:name w:val="Intense Quote"/>
    <w:basedOn w:val="Normal"/>
    <w:next w:val="Normal"/>
    <w:link w:val="CitadestacadaCar"/>
    <w:uiPriority w:val="30"/>
    <w:qFormat/>
    <w:rsid w:val="00BF3A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F3A36"/>
    <w:rPr>
      <w:i/>
      <w:iCs/>
      <w:color w:val="2F5496" w:themeColor="accent1" w:themeShade="BF"/>
    </w:rPr>
  </w:style>
  <w:style w:type="character" w:styleId="Referenciaintensa">
    <w:name w:val="Intense Reference"/>
    <w:basedOn w:val="Fuentedeprrafopredeter"/>
    <w:uiPriority w:val="32"/>
    <w:qFormat/>
    <w:rsid w:val="00BF3A36"/>
    <w:rPr>
      <w:b/>
      <w:bCs/>
      <w:smallCaps/>
      <w:color w:val="2F5496" w:themeColor="accent1" w:themeShade="BF"/>
      <w:spacing w:val="5"/>
    </w:rPr>
  </w:style>
  <w:style w:type="table" w:customStyle="1" w:styleId="TableGrid">
    <w:name w:val="TableGrid"/>
    <w:rsid w:val="00BF3A36"/>
    <w:pPr>
      <w:spacing w:after="0" w:line="240" w:lineRule="auto"/>
    </w:pPr>
    <w:rPr>
      <w:rFonts w:eastAsiaTheme="minorEastAsia"/>
      <w:lang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4792</Words>
  <Characters>26358</Characters>
  <Application>Microsoft Office Word</Application>
  <DocSecurity>0</DocSecurity>
  <Lines>219</Lines>
  <Paragraphs>62</Paragraphs>
  <ScaleCrop>false</ScaleCrop>
  <Company/>
  <LinksUpToDate>false</LinksUpToDate>
  <CharactersWithSpaces>31088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Valls</dc:creator>
  <cp:keywords/>
  <dc:description/>
  <cp:lastModifiedBy>Pilar Valls</cp:lastModifiedBy>
  <cp:revision>1</cp:revision>
  <dcterms:created xsi:type="dcterms:W3CDTF">2025-04-08T07:12:00Z</dcterms:created>
  <dcterms:modified xsi:type="dcterms:W3CDTF">2025-04-08T07:15:00Z</dcterms:modified>
</cp:coreProperties>
</file>