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816C6" w14:textId="77777777" w:rsidR="006F51BF" w:rsidRPr="00137D71" w:rsidRDefault="006F51BF" w:rsidP="00137D71">
      <w:pPr>
        <w:jc w:val="both"/>
        <w:rPr>
          <w:rFonts w:ascii="Arial" w:hAnsi="Arial" w:cs="Arial"/>
          <w:b/>
          <w:bCs/>
          <w:sz w:val="22"/>
          <w:szCs w:val="22"/>
        </w:rPr>
      </w:pPr>
      <w:r w:rsidRPr="00137D71">
        <w:rPr>
          <w:rFonts w:ascii="Arial" w:hAnsi="Arial" w:cs="Arial"/>
          <w:b/>
          <w:bCs/>
          <w:sz w:val="22"/>
          <w:szCs w:val="22"/>
        </w:rPr>
        <w:t>CONVOCATORIA ESPECÍFICA DE SUBVENCIONES DESTINADAS A AYUDAS INDIVIDUALES DE TRANSPORTE ESCOLAR COLECTIVO PARA NECESIDADES SOCIOECONÓMICAS Y GEOGRÁFICAS PARA EL CURSO ESCOLAR 2025/2026</w:t>
      </w:r>
    </w:p>
    <w:p w14:paraId="6BDE918E" w14:textId="77777777" w:rsidR="006F51BF" w:rsidRPr="00137D71" w:rsidRDefault="006F51BF" w:rsidP="00137D71">
      <w:pPr>
        <w:jc w:val="both"/>
        <w:rPr>
          <w:rFonts w:ascii="Arial" w:hAnsi="Arial" w:cs="Arial"/>
          <w:b/>
          <w:bCs/>
          <w:sz w:val="22"/>
          <w:szCs w:val="22"/>
        </w:rPr>
      </w:pPr>
      <w:r w:rsidRPr="00137D71">
        <w:rPr>
          <w:rFonts w:ascii="Arial" w:hAnsi="Arial" w:cs="Arial"/>
          <w:b/>
          <w:bCs/>
          <w:sz w:val="22"/>
          <w:szCs w:val="22"/>
        </w:rPr>
        <w:t>1. Bases reguladoras</w:t>
      </w:r>
    </w:p>
    <w:p w14:paraId="5482D671"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Estas subvenciones se regirán por lo fijado en la presente convocatoria y por las bases reguladoras de la misma.</w:t>
      </w:r>
    </w:p>
    <w:p w14:paraId="3A698F95" w14:textId="33FC633D" w:rsidR="006F51BF" w:rsidRPr="00137D71" w:rsidRDefault="006F51BF" w:rsidP="00137D71">
      <w:pPr>
        <w:jc w:val="both"/>
        <w:rPr>
          <w:rFonts w:ascii="Arial" w:hAnsi="Arial" w:cs="Arial"/>
          <w:sz w:val="22"/>
          <w:szCs w:val="22"/>
        </w:rPr>
      </w:pPr>
      <w:r w:rsidRPr="00137D71">
        <w:rPr>
          <w:rFonts w:ascii="Arial" w:hAnsi="Arial" w:cs="Arial"/>
          <w:sz w:val="22"/>
          <w:szCs w:val="22"/>
        </w:rPr>
        <w:t xml:space="preserve">La disposición adicional primera del Decreto 161/1996, por el que se regula el servicio de transporte escolar, determina que se podrán conceder ayudas destinadas al alumnado de educación obligatoria que deba desplazarse a centros docentes del mismo </w:t>
      </w:r>
      <w:r w:rsidR="00EB40A8" w:rsidRPr="00137D71">
        <w:rPr>
          <w:rFonts w:ascii="Arial" w:hAnsi="Arial" w:cs="Arial"/>
          <w:sz w:val="22"/>
          <w:szCs w:val="22"/>
        </w:rPr>
        <w:t>municipio,</w:t>
      </w:r>
      <w:r w:rsidRPr="00137D71">
        <w:rPr>
          <w:rFonts w:ascii="Arial" w:hAnsi="Arial" w:cs="Arial"/>
          <w:sz w:val="22"/>
          <w:szCs w:val="22"/>
        </w:rPr>
        <w:t xml:space="preserve"> pero distantes de su lugar de residencia. </w:t>
      </w:r>
    </w:p>
    <w:p w14:paraId="7EB61B7F" w14:textId="5782E0FF" w:rsidR="006F51BF" w:rsidRPr="00137D71" w:rsidRDefault="006F51BF" w:rsidP="00137D71">
      <w:pPr>
        <w:jc w:val="both"/>
        <w:rPr>
          <w:rFonts w:ascii="Arial" w:hAnsi="Arial" w:cs="Arial"/>
          <w:sz w:val="22"/>
          <w:szCs w:val="22"/>
        </w:rPr>
      </w:pPr>
      <w:r w:rsidRPr="00137D71">
        <w:rPr>
          <w:rFonts w:ascii="Arial" w:hAnsi="Arial" w:cs="Arial"/>
          <w:sz w:val="22"/>
          <w:szCs w:val="22"/>
        </w:rPr>
        <w:t>El Acuerdo de Gobierno GOV/128/2021, de delegación de competencias en los consejos comarcales y en el Área Metropolitana de Barcelona en materia de educación, modificado por el Acuerdo GOV/80/2023 de 4 de abril de 2023, publicado en el DOGC en fecha 6 de abril de 2023</w:t>
      </w:r>
      <w:r w:rsidR="00EB40A8">
        <w:rPr>
          <w:rFonts w:ascii="Arial" w:hAnsi="Arial" w:cs="Arial"/>
          <w:sz w:val="22"/>
          <w:szCs w:val="22"/>
        </w:rPr>
        <w:t>.</w:t>
      </w:r>
    </w:p>
    <w:p w14:paraId="613CC295" w14:textId="2B49C535" w:rsidR="006F51BF" w:rsidRPr="00137D71" w:rsidRDefault="006F51BF" w:rsidP="00137D71">
      <w:pPr>
        <w:jc w:val="both"/>
        <w:rPr>
          <w:rFonts w:ascii="Arial" w:hAnsi="Arial" w:cs="Arial"/>
          <w:sz w:val="22"/>
          <w:szCs w:val="22"/>
        </w:rPr>
      </w:pPr>
      <w:r w:rsidRPr="00137D71">
        <w:rPr>
          <w:rFonts w:ascii="Arial" w:hAnsi="Arial" w:cs="Arial"/>
          <w:sz w:val="22"/>
          <w:szCs w:val="22"/>
        </w:rPr>
        <w:t>Tal y como se hace anualmente, desde el Departamento de Educación se han revisado los criterios para la asignación de estas ayudas de cara al curso 2025/26, a partir de las aportaciones de un grupo trabajo constituido por representantes de los Consejos Comarcales, de la Asociación Catalana de Municipios, de la Federación de Municipios de Cataluña y del propio Departamento.</w:t>
      </w:r>
    </w:p>
    <w:p w14:paraId="2BFA9F14" w14:textId="77777777" w:rsidR="006F51BF" w:rsidRPr="00137D71" w:rsidRDefault="006F51BF" w:rsidP="00137D71">
      <w:pPr>
        <w:jc w:val="both"/>
        <w:rPr>
          <w:rFonts w:ascii="Arial" w:hAnsi="Arial" w:cs="Arial"/>
          <w:b/>
          <w:bCs/>
          <w:sz w:val="22"/>
          <w:szCs w:val="22"/>
        </w:rPr>
      </w:pPr>
      <w:r w:rsidRPr="00137D71">
        <w:rPr>
          <w:rFonts w:ascii="Arial" w:hAnsi="Arial" w:cs="Arial"/>
          <w:b/>
          <w:bCs/>
          <w:sz w:val="22"/>
          <w:szCs w:val="22"/>
        </w:rPr>
        <w:t>2. Créditos presupuestarios</w:t>
      </w:r>
    </w:p>
    <w:p w14:paraId="7525A182" w14:textId="48B57F55" w:rsidR="006F51BF" w:rsidRPr="00137D71" w:rsidRDefault="006F51BF" w:rsidP="00137D71">
      <w:pPr>
        <w:jc w:val="both"/>
        <w:rPr>
          <w:rFonts w:ascii="Arial" w:hAnsi="Arial" w:cs="Arial"/>
          <w:sz w:val="22"/>
          <w:szCs w:val="22"/>
        </w:rPr>
      </w:pPr>
      <w:r w:rsidRPr="00137D71">
        <w:rPr>
          <w:rFonts w:ascii="Arial" w:hAnsi="Arial" w:cs="Arial"/>
          <w:sz w:val="22"/>
          <w:szCs w:val="22"/>
        </w:rPr>
        <w:t>Los créditos presupuestarios a los que se imputa la subvención son los siguientes:</w:t>
      </w:r>
    </w:p>
    <w:tbl>
      <w:tblPr>
        <w:tblStyle w:val="TableGrid"/>
        <w:tblW w:w="7099" w:type="dxa"/>
        <w:tblInd w:w="895" w:type="dxa"/>
        <w:tblCellMar>
          <w:left w:w="106" w:type="dxa"/>
          <w:right w:w="106" w:type="dxa"/>
        </w:tblCellMar>
        <w:tblLook w:val="04A0" w:firstRow="1" w:lastRow="0" w:firstColumn="1" w:lastColumn="0" w:noHBand="0" w:noVBand="1"/>
      </w:tblPr>
      <w:tblGrid>
        <w:gridCol w:w="1520"/>
        <w:gridCol w:w="3676"/>
        <w:gridCol w:w="1903"/>
      </w:tblGrid>
      <w:tr w:rsidR="006F51BF" w:rsidRPr="00137D71" w14:paraId="2EF5735D" w14:textId="77777777" w:rsidTr="006F51BF">
        <w:trPr>
          <w:trHeight w:val="526"/>
        </w:trPr>
        <w:tc>
          <w:tcPr>
            <w:tcW w:w="1520"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5039C26B" w14:textId="1C503DD6" w:rsidR="006F51BF" w:rsidRPr="00137D71" w:rsidRDefault="006F51BF" w:rsidP="00137D71">
            <w:pPr>
              <w:spacing w:line="259" w:lineRule="auto"/>
              <w:jc w:val="both"/>
              <w:rPr>
                <w:rFonts w:ascii="Arial" w:eastAsia="Arial" w:hAnsi="Arial" w:cs="Arial"/>
                <w:color w:val="000000"/>
                <w:sz w:val="22"/>
                <w:szCs w:val="22"/>
                <w:lang w:val="ca-ES"/>
              </w:rPr>
            </w:pPr>
            <w:r w:rsidRPr="00137D71">
              <w:rPr>
                <w:rFonts w:ascii="Arial" w:eastAsia="Arial" w:hAnsi="Arial" w:cs="Arial"/>
                <w:b/>
                <w:color w:val="000000"/>
                <w:sz w:val="22"/>
                <w:szCs w:val="22"/>
                <w:lang w:val="ca-ES"/>
              </w:rPr>
              <w:t>ANUALI</w:t>
            </w:r>
            <w:r w:rsidRPr="00137D71">
              <w:rPr>
                <w:rFonts w:ascii="Arial" w:eastAsia="Arial" w:hAnsi="Arial" w:cs="Arial"/>
                <w:b/>
                <w:color w:val="000000"/>
                <w:sz w:val="22"/>
                <w:szCs w:val="22"/>
                <w:lang w:val="ca-ES"/>
              </w:rPr>
              <w:t>DAD</w:t>
            </w:r>
          </w:p>
        </w:tc>
        <w:tc>
          <w:tcPr>
            <w:tcW w:w="3676"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52E475A9" w14:textId="50A13460" w:rsidR="006F51BF" w:rsidRPr="00137D71" w:rsidRDefault="006F51BF" w:rsidP="00137D71">
            <w:pPr>
              <w:spacing w:line="259" w:lineRule="auto"/>
              <w:ind w:left="2"/>
              <w:jc w:val="both"/>
              <w:rPr>
                <w:rFonts w:ascii="Arial" w:eastAsia="Arial" w:hAnsi="Arial" w:cs="Arial"/>
                <w:color w:val="000000"/>
                <w:sz w:val="22"/>
                <w:szCs w:val="22"/>
                <w:lang w:val="ca-ES"/>
              </w:rPr>
            </w:pPr>
            <w:r w:rsidRPr="00137D71">
              <w:rPr>
                <w:rFonts w:ascii="Arial" w:eastAsia="Arial" w:hAnsi="Arial" w:cs="Arial"/>
                <w:b/>
                <w:color w:val="000000"/>
                <w:sz w:val="22"/>
                <w:szCs w:val="22"/>
                <w:lang w:val="ca-ES"/>
              </w:rPr>
              <w:t>APLICACIÓ</w:t>
            </w:r>
            <w:r w:rsidRPr="00137D71">
              <w:rPr>
                <w:rFonts w:ascii="Arial" w:eastAsia="Arial" w:hAnsi="Arial" w:cs="Arial"/>
                <w:b/>
                <w:color w:val="000000"/>
                <w:sz w:val="22"/>
                <w:szCs w:val="22"/>
                <w:lang w:val="ca-ES"/>
              </w:rPr>
              <w:t xml:space="preserve">N </w:t>
            </w:r>
            <w:r w:rsidRPr="00137D71">
              <w:rPr>
                <w:rFonts w:ascii="Arial" w:eastAsia="Arial" w:hAnsi="Arial" w:cs="Arial"/>
                <w:b/>
                <w:color w:val="000000"/>
                <w:sz w:val="22"/>
                <w:szCs w:val="22"/>
                <w:lang w:val="ca-ES"/>
              </w:rPr>
              <w:t>PRESUP</w:t>
            </w:r>
            <w:r w:rsidRPr="00137D71">
              <w:rPr>
                <w:rFonts w:ascii="Arial" w:eastAsia="Arial" w:hAnsi="Arial" w:cs="Arial"/>
                <w:b/>
                <w:color w:val="000000"/>
                <w:sz w:val="22"/>
                <w:szCs w:val="22"/>
                <w:lang w:val="ca-ES"/>
              </w:rPr>
              <w:t>UESTARIA</w:t>
            </w:r>
          </w:p>
        </w:tc>
        <w:tc>
          <w:tcPr>
            <w:tcW w:w="1903"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2182B8BA" w14:textId="4D5F7B29" w:rsidR="006F51BF" w:rsidRPr="00137D71" w:rsidRDefault="006F51BF" w:rsidP="00137D71">
            <w:pPr>
              <w:spacing w:line="259" w:lineRule="auto"/>
              <w:ind w:left="3"/>
              <w:jc w:val="both"/>
              <w:rPr>
                <w:rFonts w:ascii="Arial" w:eastAsia="Arial" w:hAnsi="Arial" w:cs="Arial"/>
                <w:color w:val="000000"/>
                <w:sz w:val="22"/>
                <w:szCs w:val="22"/>
                <w:lang w:val="ca-ES"/>
              </w:rPr>
            </w:pPr>
            <w:r w:rsidRPr="00137D71">
              <w:rPr>
                <w:rFonts w:ascii="Arial" w:eastAsia="Arial" w:hAnsi="Arial" w:cs="Arial"/>
                <w:b/>
                <w:color w:val="000000"/>
                <w:sz w:val="22"/>
                <w:szCs w:val="22"/>
                <w:lang w:val="ca-ES"/>
              </w:rPr>
              <w:t>IMPORT</w:t>
            </w:r>
            <w:r w:rsidRPr="00137D71">
              <w:rPr>
                <w:rFonts w:ascii="Arial" w:eastAsia="Arial" w:hAnsi="Arial" w:cs="Arial"/>
                <w:b/>
                <w:color w:val="000000"/>
                <w:sz w:val="22"/>
                <w:szCs w:val="22"/>
                <w:lang w:val="ca-ES"/>
              </w:rPr>
              <w:t>E</w:t>
            </w:r>
          </w:p>
        </w:tc>
      </w:tr>
      <w:tr w:rsidR="006F51BF" w:rsidRPr="00137D71" w14:paraId="1BFFE975" w14:textId="77777777" w:rsidTr="006F51BF">
        <w:trPr>
          <w:trHeight w:val="534"/>
        </w:trPr>
        <w:tc>
          <w:tcPr>
            <w:tcW w:w="1520" w:type="dxa"/>
            <w:tcBorders>
              <w:top w:val="single" w:sz="4" w:space="0" w:color="999999"/>
              <w:left w:val="single" w:sz="4" w:space="0" w:color="999999"/>
              <w:bottom w:val="single" w:sz="4" w:space="0" w:color="999999"/>
              <w:right w:val="single" w:sz="4" w:space="0" w:color="999999"/>
            </w:tcBorders>
            <w:vAlign w:val="center"/>
          </w:tcPr>
          <w:p w14:paraId="19578EAE" w14:textId="77777777" w:rsidR="006F51BF" w:rsidRPr="00137D71" w:rsidRDefault="006F51BF" w:rsidP="00137D71">
            <w:pPr>
              <w:spacing w:line="259" w:lineRule="auto"/>
              <w:ind w:right="2"/>
              <w:jc w:val="both"/>
              <w:rPr>
                <w:rFonts w:ascii="Arial" w:eastAsia="Arial" w:hAnsi="Arial" w:cs="Arial"/>
                <w:color w:val="000000"/>
                <w:sz w:val="22"/>
                <w:szCs w:val="22"/>
                <w:lang w:val="ca-ES"/>
              </w:rPr>
            </w:pPr>
            <w:r w:rsidRPr="00137D71">
              <w:rPr>
                <w:rFonts w:ascii="Arial" w:eastAsia="Arial" w:hAnsi="Arial" w:cs="Arial"/>
                <w:color w:val="000000"/>
                <w:sz w:val="22"/>
                <w:szCs w:val="22"/>
                <w:lang w:val="ca-ES"/>
              </w:rPr>
              <w:t>2025</w:t>
            </w:r>
          </w:p>
        </w:tc>
        <w:tc>
          <w:tcPr>
            <w:tcW w:w="3676" w:type="dxa"/>
            <w:tcBorders>
              <w:top w:val="single" w:sz="4" w:space="0" w:color="999999"/>
              <w:left w:val="single" w:sz="4" w:space="0" w:color="999999"/>
              <w:bottom w:val="single" w:sz="4" w:space="0" w:color="999999"/>
              <w:right w:val="single" w:sz="4" w:space="0" w:color="999999"/>
            </w:tcBorders>
            <w:vAlign w:val="center"/>
          </w:tcPr>
          <w:p w14:paraId="4F095F29" w14:textId="77777777" w:rsidR="006F51BF" w:rsidRPr="00137D71" w:rsidRDefault="006F51BF" w:rsidP="00137D71">
            <w:pPr>
              <w:spacing w:line="259" w:lineRule="auto"/>
              <w:jc w:val="both"/>
              <w:rPr>
                <w:rFonts w:ascii="Arial" w:eastAsia="Arial" w:hAnsi="Arial" w:cs="Arial"/>
                <w:color w:val="000000"/>
                <w:sz w:val="22"/>
                <w:szCs w:val="22"/>
                <w:lang w:val="ca-ES"/>
              </w:rPr>
            </w:pPr>
            <w:r w:rsidRPr="00137D71">
              <w:rPr>
                <w:rFonts w:ascii="Arial" w:eastAsia="Arial" w:hAnsi="Arial" w:cs="Arial"/>
                <w:color w:val="000000"/>
                <w:sz w:val="22"/>
                <w:szCs w:val="22"/>
                <w:lang w:val="ca-ES"/>
              </w:rPr>
              <w:t>54.3203.48000</w:t>
            </w:r>
          </w:p>
        </w:tc>
        <w:tc>
          <w:tcPr>
            <w:tcW w:w="1903" w:type="dxa"/>
            <w:tcBorders>
              <w:top w:val="single" w:sz="4" w:space="0" w:color="999999"/>
              <w:left w:val="single" w:sz="4" w:space="0" w:color="999999"/>
              <w:bottom w:val="single" w:sz="4" w:space="0" w:color="999999"/>
              <w:right w:val="single" w:sz="4" w:space="0" w:color="999999"/>
            </w:tcBorders>
            <w:vAlign w:val="center"/>
          </w:tcPr>
          <w:p w14:paraId="35947958" w14:textId="77777777" w:rsidR="006F51BF" w:rsidRPr="00137D71" w:rsidRDefault="006F51BF" w:rsidP="00137D71">
            <w:pPr>
              <w:spacing w:line="259" w:lineRule="auto"/>
              <w:ind w:left="3"/>
              <w:jc w:val="both"/>
              <w:rPr>
                <w:rFonts w:ascii="Arial" w:eastAsia="Arial" w:hAnsi="Arial" w:cs="Arial"/>
                <w:color w:val="000000"/>
                <w:sz w:val="22"/>
                <w:szCs w:val="22"/>
                <w:lang w:val="ca-ES"/>
              </w:rPr>
            </w:pPr>
            <w:r w:rsidRPr="00137D71">
              <w:rPr>
                <w:rFonts w:ascii="Arial" w:eastAsia="Arial" w:hAnsi="Arial" w:cs="Arial"/>
                <w:color w:val="000000"/>
                <w:sz w:val="22"/>
                <w:szCs w:val="22"/>
                <w:lang w:val="ca-ES"/>
              </w:rPr>
              <w:t>40.000,00 euros</w:t>
            </w:r>
          </w:p>
        </w:tc>
      </w:tr>
      <w:tr w:rsidR="006F51BF" w:rsidRPr="00137D71" w14:paraId="4428DA88" w14:textId="77777777" w:rsidTr="006F51BF">
        <w:trPr>
          <w:trHeight w:val="532"/>
        </w:trPr>
        <w:tc>
          <w:tcPr>
            <w:tcW w:w="1520" w:type="dxa"/>
            <w:tcBorders>
              <w:top w:val="single" w:sz="4" w:space="0" w:color="999999"/>
              <w:left w:val="single" w:sz="4" w:space="0" w:color="999999"/>
              <w:bottom w:val="single" w:sz="4" w:space="0" w:color="999999"/>
              <w:right w:val="single" w:sz="4" w:space="0" w:color="999999"/>
            </w:tcBorders>
            <w:vAlign w:val="center"/>
          </w:tcPr>
          <w:p w14:paraId="43ABE1BB" w14:textId="77777777" w:rsidR="006F51BF" w:rsidRPr="00137D71" w:rsidRDefault="006F51BF" w:rsidP="00137D71">
            <w:pPr>
              <w:spacing w:line="259" w:lineRule="auto"/>
              <w:ind w:right="2"/>
              <w:jc w:val="both"/>
              <w:rPr>
                <w:rFonts w:ascii="Arial" w:eastAsia="Arial" w:hAnsi="Arial" w:cs="Arial"/>
                <w:color w:val="000000"/>
                <w:sz w:val="22"/>
                <w:szCs w:val="22"/>
                <w:lang w:val="ca-ES"/>
              </w:rPr>
            </w:pPr>
            <w:r w:rsidRPr="00137D71">
              <w:rPr>
                <w:rFonts w:ascii="Arial" w:eastAsia="Arial" w:hAnsi="Arial" w:cs="Arial"/>
                <w:color w:val="000000"/>
                <w:sz w:val="22"/>
                <w:szCs w:val="22"/>
                <w:lang w:val="ca-ES"/>
              </w:rPr>
              <w:t>2026</w:t>
            </w:r>
          </w:p>
        </w:tc>
        <w:tc>
          <w:tcPr>
            <w:tcW w:w="3676" w:type="dxa"/>
            <w:tcBorders>
              <w:top w:val="single" w:sz="4" w:space="0" w:color="999999"/>
              <w:left w:val="single" w:sz="4" w:space="0" w:color="999999"/>
              <w:bottom w:val="single" w:sz="4" w:space="0" w:color="999999"/>
              <w:right w:val="single" w:sz="4" w:space="0" w:color="999999"/>
            </w:tcBorders>
            <w:vAlign w:val="center"/>
          </w:tcPr>
          <w:p w14:paraId="33FF8D90" w14:textId="77777777" w:rsidR="006F51BF" w:rsidRPr="00137D71" w:rsidRDefault="006F51BF" w:rsidP="00137D71">
            <w:pPr>
              <w:spacing w:line="259" w:lineRule="auto"/>
              <w:jc w:val="both"/>
              <w:rPr>
                <w:rFonts w:ascii="Arial" w:eastAsia="Arial" w:hAnsi="Arial" w:cs="Arial"/>
                <w:color w:val="000000"/>
                <w:sz w:val="22"/>
                <w:szCs w:val="22"/>
                <w:lang w:val="ca-ES"/>
              </w:rPr>
            </w:pPr>
            <w:r w:rsidRPr="00137D71">
              <w:rPr>
                <w:rFonts w:ascii="Arial" w:eastAsia="Arial" w:hAnsi="Arial" w:cs="Arial"/>
                <w:color w:val="000000"/>
                <w:sz w:val="22"/>
                <w:szCs w:val="22"/>
                <w:lang w:val="ca-ES"/>
              </w:rPr>
              <w:t>54.3203.48000</w:t>
            </w:r>
          </w:p>
        </w:tc>
        <w:tc>
          <w:tcPr>
            <w:tcW w:w="1903" w:type="dxa"/>
            <w:tcBorders>
              <w:top w:val="single" w:sz="4" w:space="0" w:color="999999"/>
              <w:left w:val="single" w:sz="4" w:space="0" w:color="999999"/>
              <w:bottom w:val="single" w:sz="4" w:space="0" w:color="999999"/>
              <w:right w:val="single" w:sz="4" w:space="0" w:color="999999"/>
            </w:tcBorders>
            <w:vAlign w:val="center"/>
          </w:tcPr>
          <w:p w14:paraId="6DE6A3DA" w14:textId="77777777" w:rsidR="006F51BF" w:rsidRPr="00137D71" w:rsidRDefault="006F51BF" w:rsidP="00137D71">
            <w:pPr>
              <w:spacing w:line="259" w:lineRule="auto"/>
              <w:ind w:left="2"/>
              <w:jc w:val="both"/>
              <w:rPr>
                <w:rFonts w:ascii="Arial" w:eastAsia="Arial" w:hAnsi="Arial" w:cs="Arial"/>
                <w:color w:val="000000"/>
                <w:sz w:val="22"/>
                <w:szCs w:val="22"/>
                <w:lang w:val="ca-ES"/>
              </w:rPr>
            </w:pPr>
            <w:r w:rsidRPr="00137D71">
              <w:rPr>
                <w:rFonts w:ascii="Arial" w:eastAsia="Arial" w:hAnsi="Arial" w:cs="Arial"/>
                <w:color w:val="000000"/>
                <w:sz w:val="22"/>
                <w:szCs w:val="22"/>
                <w:lang w:val="ca-ES"/>
              </w:rPr>
              <w:t>60.000,00 euros (*)</w:t>
            </w:r>
          </w:p>
        </w:tc>
      </w:tr>
    </w:tbl>
    <w:p w14:paraId="072ABE9E" w14:textId="77777777" w:rsidR="00EB40A8" w:rsidRDefault="00EB40A8" w:rsidP="00137D71">
      <w:pPr>
        <w:jc w:val="both"/>
        <w:rPr>
          <w:rFonts w:ascii="Arial" w:hAnsi="Arial" w:cs="Arial"/>
          <w:sz w:val="18"/>
          <w:szCs w:val="18"/>
        </w:rPr>
      </w:pPr>
    </w:p>
    <w:p w14:paraId="7E2D46FC" w14:textId="52FE7712" w:rsidR="006F51BF" w:rsidRPr="00EB40A8" w:rsidRDefault="006F51BF" w:rsidP="00137D71">
      <w:pPr>
        <w:jc w:val="both"/>
        <w:rPr>
          <w:rFonts w:ascii="Arial" w:hAnsi="Arial" w:cs="Arial"/>
          <w:sz w:val="18"/>
          <w:szCs w:val="18"/>
        </w:rPr>
      </w:pPr>
      <w:r w:rsidRPr="00EB40A8">
        <w:rPr>
          <w:rFonts w:ascii="Arial" w:hAnsi="Arial" w:cs="Arial"/>
          <w:sz w:val="18"/>
          <w:szCs w:val="18"/>
        </w:rPr>
        <w:t>(*) De conformidad con el artículo 174 Real Decreto Legislativo 2/2004, de 5 de marzo, por el que se aprueba el Texto refundido de la Ley Reguladora de las Haciendas Locales, la autorización o realización de los gastos de carácter plurianual quedarán subordinadas al crédito que para cada ejercicio autoricen los respectivos presupuestos. La cuantía total máxima que figure en la convocatoria tendrá carácter estimado por lo que deberá hacerse constar expresamente en ésta que la concesión de las subvenciones queda condicionada a la existencia de crédito adecuado y suficiente en el momento de la resolución de concesión</w:t>
      </w:r>
    </w:p>
    <w:p w14:paraId="2A0938A5" w14:textId="77777777" w:rsidR="006F51BF" w:rsidRPr="00137D71" w:rsidRDefault="006F51BF" w:rsidP="00137D71">
      <w:pPr>
        <w:jc w:val="both"/>
        <w:rPr>
          <w:rFonts w:ascii="Arial" w:hAnsi="Arial" w:cs="Arial"/>
          <w:b/>
          <w:bCs/>
          <w:sz w:val="22"/>
          <w:szCs w:val="22"/>
        </w:rPr>
      </w:pPr>
      <w:r w:rsidRPr="00137D71">
        <w:rPr>
          <w:rFonts w:ascii="Arial" w:hAnsi="Arial" w:cs="Arial"/>
          <w:b/>
          <w:bCs/>
          <w:sz w:val="22"/>
          <w:szCs w:val="22"/>
        </w:rPr>
        <w:t>3. Objeto</w:t>
      </w:r>
    </w:p>
    <w:p w14:paraId="7E92D6BC"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El objeto de esta convocatoria es la concesión de ayudas individuales de transporte escolar colectivo para necesidades socioeconómicas y geográficas, de acuerdo con la disposición presupuestaria, para los alumnos de educación infantil de segundo ciclo, educación primaria y</w:t>
      </w:r>
      <w:r w:rsidRPr="00137D71">
        <w:rPr>
          <w:rFonts w:ascii="Arial" w:hAnsi="Arial" w:cs="Arial"/>
          <w:sz w:val="22"/>
          <w:szCs w:val="22"/>
        </w:rPr>
        <w:t xml:space="preserve"> </w:t>
      </w:r>
      <w:r w:rsidRPr="00137D71">
        <w:rPr>
          <w:rFonts w:ascii="Arial" w:hAnsi="Arial" w:cs="Arial"/>
          <w:sz w:val="22"/>
          <w:szCs w:val="22"/>
        </w:rPr>
        <w:t>educación secundaria de la comarca de la Selva, para garantizar el principio de igualdad de oportunidades en la población escolar y promover acciones de carácter compensatorio en relación a las personas que se encuentran en situaciones socioeconómicas desfavorables.</w:t>
      </w:r>
    </w:p>
    <w:p w14:paraId="4BCE4FD3" w14:textId="77777777" w:rsidR="00EB40A8" w:rsidRDefault="00EB40A8" w:rsidP="00137D71">
      <w:pPr>
        <w:jc w:val="both"/>
        <w:rPr>
          <w:rFonts w:ascii="Arial" w:hAnsi="Arial" w:cs="Arial"/>
          <w:b/>
          <w:bCs/>
          <w:sz w:val="22"/>
          <w:szCs w:val="22"/>
        </w:rPr>
      </w:pPr>
    </w:p>
    <w:p w14:paraId="6244E88D" w14:textId="0DDF550B" w:rsidR="006F51BF" w:rsidRPr="00137D71" w:rsidRDefault="006F51BF" w:rsidP="00137D71">
      <w:pPr>
        <w:jc w:val="both"/>
        <w:rPr>
          <w:rFonts w:ascii="Arial" w:hAnsi="Arial" w:cs="Arial"/>
          <w:b/>
          <w:bCs/>
          <w:sz w:val="22"/>
          <w:szCs w:val="22"/>
        </w:rPr>
      </w:pPr>
      <w:r w:rsidRPr="00137D71">
        <w:rPr>
          <w:rFonts w:ascii="Arial" w:hAnsi="Arial" w:cs="Arial"/>
          <w:b/>
          <w:bCs/>
          <w:sz w:val="22"/>
          <w:szCs w:val="22"/>
        </w:rPr>
        <w:lastRenderedPageBreak/>
        <w:t>4. Beneficiarios y requisitos</w:t>
      </w:r>
    </w:p>
    <w:p w14:paraId="089A459D"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4.1. Los beneficiarios de ayuda de transporte escolar son los alumnos que reúnan los siguientes requisitos:</w:t>
      </w:r>
    </w:p>
    <w:p w14:paraId="16323710" w14:textId="09A94A38" w:rsidR="006F51BF" w:rsidRPr="00EB40A8" w:rsidRDefault="006F51BF" w:rsidP="00EB40A8">
      <w:pPr>
        <w:pStyle w:val="Prrafodelista"/>
        <w:numPr>
          <w:ilvl w:val="0"/>
          <w:numId w:val="1"/>
        </w:numPr>
        <w:jc w:val="both"/>
        <w:rPr>
          <w:rFonts w:ascii="Arial" w:hAnsi="Arial" w:cs="Arial"/>
          <w:sz w:val="22"/>
          <w:szCs w:val="22"/>
        </w:rPr>
      </w:pPr>
      <w:r w:rsidRPr="00EB40A8">
        <w:rPr>
          <w:rFonts w:ascii="Arial" w:hAnsi="Arial" w:cs="Arial"/>
          <w:sz w:val="22"/>
          <w:szCs w:val="22"/>
        </w:rPr>
        <w:t>Estar matriculado en un centro educativo de la comarca de la Selva sostenido con fondos públicos de Cataluña (cursos segundo y tercero de las enseñanzas de primer ciclo de infantil, en aquellas escuelas de titularidad de la Generalidad donde se haya implantado, y cualquiera de los cursos de las enseñanzas de segundo ciclo de educación infantil y de enseñanzas obligatorias durante los cursos5 escolares2 y del servicio.</w:t>
      </w:r>
    </w:p>
    <w:p w14:paraId="09E479E3" w14:textId="14FCC604" w:rsidR="006F51BF" w:rsidRPr="00EB40A8" w:rsidRDefault="006F51BF" w:rsidP="00EB40A8">
      <w:pPr>
        <w:pStyle w:val="Prrafodelista"/>
        <w:numPr>
          <w:ilvl w:val="0"/>
          <w:numId w:val="1"/>
        </w:numPr>
        <w:jc w:val="both"/>
        <w:rPr>
          <w:rFonts w:ascii="Arial" w:hAnsi="Arial" w:cs="Arial"/>
          <w:sz w:val="22"/>
          <w:szCs w:val="22"/>
        </w:rPr>
      </w:pPr>
      <w:r w:rsidRPr="00EB40A8">
        <w:rPr>
          <w:rFonts w:ascii="Arial" w:hAnsi="Arial" w:cs="Arial"/>
          <w:sz w:val="22"/>
          <w:szCs w:val="22"/>
        </w:rPr>
        <w:t>Está matriculado en un centro siguiendo el mapa escolar y/o centro de adscripción, que establece el Departamento de Educación y Formación Profesional.</w:t>
      </w:r>
    </w:p>
    <w:p w14:paraId="1D24BB7B" w14:textId="50BFAA24" w:rsidR="006F51BF" w:rsidRPr="00EB40A8" w:rsidRDefault="006F51BF" w:rsidP="00EB40A8">
      <w:pPr>
        <w:pStyle w:val="Prrafodelista"/>
        <w:numPr>
          <w:ilvl w:val="0"/>
          <w:numId w:val="1"/>
        </w:numPr>
        <w:jc w:val="both"/>
        <w:rPr>
          <w:rFonts w:ascii="Arial" w:hAnsi="Arial" w:cs="Arial"/>
          <w:sz w:val="22"/>
          <w:szCs w:val="22"/>
        </w:rPr>
      </w:pPr>
      <w:r w:rsidRPr="00EB40A8">
        <w:rPr>
          <w:rFonts w:ascii="Arial" w:hAnsi="Arial" w:cs="Arial"/>
          <w:sz w:val="22"/>
          <w:szCs w:val="22"/>
        </w:rPr>
        <w:t xml:space="preserve">Además, será necesario que residan en municipios donde el ayuntamiento haya firmado el convenio de colaboración con el </w:t>
      </w:r>
      <w:r w:rsidR="00EB40A8">
        <w:rPr>
          <w:rFonts w:ascii="Arial" w:hAnsi="Arial" w:cs="Arial"/>
          <w:sz w:val="22"/>
          <w:szCs w:val="22"/>
        </w:rPr>
        <w:t xml:space="preserve">Consell </w:t>
      </w:r>
      <w:proofErr w:type="gramStart"/>
      <w:r w:rsidR="00EB40A8">
        <w:rPr>
          <w:rFonts w:ascii="Arial" w:hAnsi="Arial" w:cs="Arial"/>
          <w:sz w:val="22"/>
          <w:szCs w:val="22"/>
        </w:rPr>
        <w:t>Comarcal  de</w:t>
      </w:r>
      <w:proofErr w:type="gramEnd"/>
      <w:r w:rsidR="00EB40A8">
        <w:rPr>
          <w:rFonts w:ascii="Arial" w:hAnsi="Arial" w:cs="Arial"/>
          <w:sz w:val="22"/>
          <w:szCs w:val="22"/>
        </w:rPr>
        <w:t xml:space="preserve"> la Selva </w:t>
      </w:r>
      <w:r w:rsidRPr="00EB40A8">
        <w:rPr>
          <w:rFonts w:ascii="Arial" w:hAnsi="Arial" w:cs="Arial"/>
          <w:sz w:val="22"/>
          <w:szCs w:val="22"/>
        </w:rPr>
        <w:t>para el Transporte Escolar No Obligatorio (TNO), en relación a su nivel de estudios y/o centro educativo.</w:t>
      </w:r>
    </w:p>
    <w:p w14:paraId="25391223"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 xml:space="preserve">Quedan excluidos de esta línea de ayudas los alumnos de cualquier tipo de enseñanza </w:t>
      </w:r>
      <w:proofErr w:type="spellStart"/>
      <w:r w:rsidRPr="00137D71">
        <w:rPr>
          <w:rFonts w:ascii="Arial" w:hAnsi="Arial" w:cs="Arial"/>
          <w:sz w:val="22"/>
          <w:szCs w:val="22"/>
        </w:rPr>
        <w:t>post-obligatoria</w:t>
      </w:r>
      <w:proofErr w:type="spellEnd"/>
      <w:r w:rsidRPr="00137D71">
        <w:rPr>
          <w:rFonts w:ascii="Arial" w:hAnsi="Arial" w:cs="Arial"/>
          <w:sz w:val="22"/>
          <w:szCs w:val="22"/>
        </w:rPr>
        <w:t>.</w:t>
      </w:r>
    </w:p>
    <w:p w14:paraId="197981E3"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4.2.</w:t>
      </w:r>
      <w:r w:rsidRPr="00137D71">
        <w:rPr>
          <w:rFonts w:ascii="Arial" w:hAnsi="Arial" w:cs="Arial"/>
          <w:sz w:val="22"/>
          <w:szCs w:val="22"/>
        </w:rPr>
        <w:tab/>
        <w:t>Los solicitantes de la ayuda de transporte son el padre, la madre, el tutor o tutora o representante legal del alumno o alumnas.</w:t>
      </w:r>
    </w:p>
    <w:p w14:paraId="6578ABA4"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4.3.</w:t>
      </w:r>
      <w:r w:rsidRPr="00137D71">
        <w:rPr>
          <w:rFonts w:ascii="Arial" w:hAnsi="Arial" w:cs="Arial"/>
          <w:sz w:val="22"/>
          <w:szCs w:val="22"/>
        </w:rPr>
        <w:tab/>
        <w:t>Por la naturaleza de la ayuda y la especificidad del colectivo, para obtener la condición de perceptor de la ayuda no es necesario acreditar el cumplimiento de los requisitos establecidos en el artículo 13.2 de Ley 38/2003, de 17 de noviembre, general de subvenciones.</w:t>
      </w:r>
    </w:p>
    <w:p w14:paraId="7BE7B1CE" w14:textId="615DAC09" w:rsidR="006F51BF" w:rsidRPr="00137D71" w:rsidRDefault="006F51BF" w:rsidP="00137D71">
      <w:pPr>
        <w:jc w:val="both"/>
        <w:rPr>
          <w:rFonts w:ascii="Arial" w:hAnsi="Arial" w:cs="Arial"/>
          <w:sz w:val="22"/>
          <w:szCs w:val="22"/>
        </w:rPr>
      </w:pPr>
      <w:r w:rsidRPr="00137D71">
        <w:rPr>
          <w:rFonts w:ascii="Arial" w:hAnsi="Arial" w:cs="Arial"/>
          <w:sz w:val="22"/>
          <w:szCs w:val="22"/>
        </w:rPr>
        <w:t>4.4.</w:t>
      </w:r>
      <w:r w:rsidRPr="00137D71">
        <w:rPr>
          <w:rFonts w:ascii="Arial" w:hAnsi="Arial" w:cs="Arial"/>
          <w:sz w:val="22"/>
          <w:szCs w:val="22"/>
        </w:rPr>
        <w:tab/>
        <w:t>Las ayudas convocadas son compatibles con cualquier otra que pueda recibirse, para la misma finalidad, de otras entidades o personas públicas o privadas. En ningún caso, el importe de las ayudas concurrentes puede superar el coste del gasto realizado.</w:t>
      </w:r>
    </w:p>
    <w:p w14:paraId="7FAE5552" w14:textId="77777777" w:rsidR="006F51BF" w:rsidRPr="00EB40A8" w:rsidRDefault="006F51BF" w:rsidP="00137D71">
      <w:pPr>
        <w:jc w:val="both"/>
        <w:rPr>
          <w:rFonts w:ascii="Arial" w:hAnsi="Arial" w:cs="Arial"/>
          <w:b/>
          <w:bCs/>
          <w:sz w:val="22"/>
          <w:szCs w:val="22"/>
        </w:rPr>
      </w:pPr>
      <w:r w:rsidRPr="00EB40A8">
        <w:rPr>
          <w:rFonts w:ascii="Arial" w:hAnsi="Arial" w:cs="Arial"/>
          <w:b/>
          <w:bCs/>
          <w:sz w:val="22"/>
          <w:szCs w:val="22"/>
        </w:rPr>
        <w:t>5. Órgano competente para la instrucción y resolución del procedimiento</w:t>
      </w:r>
    </w:p>
    <w:p w14:paraId="5E0C2944" w14:textId="5E1057F5" w:rsidR="006F51BF" w:rsidRPr="00137D71" w:rsidRDefault="006F51BF" w:rsidP="00137D71">
      <w:pPr>
        <w:jc w:val="both"/>
        <w:rPr>
          <w:rFonts w:ascii="Arial" w:hAnsi="Arial" w:cs="Arial"/>
          <w:sz w:val="22"/>
          <w:szCs w:val="22"/>
        </w:rPr>
      </w:pPr>
      <w:r w:rsidRPr="00137D71">
        <w:rPr>
          <w:rFonts w:ascii="Arial" w:hAnsi="Arial" w:cs="Arial"/>
          <w:sz w:val="22"/>
          <w:szCs w:val="22"/>
        </w:rPr>
        <w:t xml:space="preserve">El órgano competente para la instrucción del expediente es el </w:t>
      </w:r>
      <w:proofErr w:type="spellStart"/>
      <w:r w:rsidR="00EB40A8">
        <w:rPr>
          <w:rFonts w:ascii="Arial" w:hAnsi="Arial" w:cs="Arial"/>
          <w:sz w:val="22"/>
          <w:szCs w:val="22"/>
        </w:rPr>
        <w:t>Cap</w:t>
      </w:r>
      <w:proofErr w:type="spellEnd"/>
      <w:r w:rsidR="00EB40A8">
        <w:rPr>
          <w:rFonts w:ascii="Arial" w:hAnsi="Arial" w:cs="Arial"/>
          <w:sz w:val="22"/>
          <w:szCs w:val="22"/>
        </w:rPr>
        <w:t xml:space="preserve"> de la </w:t>
      </w:r>
      <w:proofErr w:type="spellStart"/>
      <w:r w:rsidR="00EB40A8">
        <w:rPr>
          <w:rFonts w:ascii="Arial" w:hAnsi="Arial" w:cs="Arial"/>
          <w:sz w:val="22"/>
          <w:szCs w:val="22"/>
        </w:rPr>
        <w:t>Unitat</w:t>
      </w:r>
      <w:proofErr w:type="spellEnd"/>
      <w:r w:rsidR="00EB40A8">
        <w:rPr>
          <w:rFonts w:ascii="Arial" w:hAnsi="Arial" w:cs="Arial"/>
          <w:sz w:val="22"/>
          <w:szCs w:val="22"/>
        </w:rPr>
        <w:t xml:space="preserve"> </w:t>
      </w:r>
      <w:proofErr w:type="spellStart"/>
      <w:r w:rsidR="00EB40A8">
        <w:rPr>
          <w:rFonts w:ascii="Arial" w:hAnsi="Arial" w:cs="Arial"/>
          <w:sz w:val="22"/>
          <w:szCs w:val="22"/>
        </w:rPr>
        <w:t>d’Educació</w:t>
      </w:r>
      <w:proofErr w:type="spellEnd"/>
      <w:r w:rsidRPr="00137D71">
        <w:rPr>
          <w:rFonts w:ascii="Arial" w:hAnsi="Arial" w:cs="Arial"/>
          <w:sz w:val="22"/>
          <w:szCs w:val="22"/>
        </w:rPr>
        <w:t xml:space="preserve"> del </w:t>
      </w:r>
      <w:r w:rsidR="00EB40A8">
        <w:rPr>
          <w:rFonts w:ascii="Arial" w:hAnsi="Arial" w:cs="Arial"/>
          <w:sz w:val="22"/>
          <w:szCs w:val="22"/>
        </w:rPr>
        <w:t>Consell Comarcal de la Selva</w:t>
      </w:r>
      <w:r w:rsidRPr="00137D71">
        <w:rPr>
          <w:rFonts w:ascii="Arial" w:hAnsi="Arial" w:cs="Arial"/>
          <w:sz w:val="22"/>
          <w:szCs w:val="22"/>
        </w:rPr>
        <w:t>.</w:t>
      </w:r>
    </w:p>
    <w:p w14:paraId="139806EC"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Éste solicitará cuantos informes estime necesarios para resolver, así como evaluar las solicitudes que se presenten dentro del plazo y en la forma adecuada, todo ello de conformidad con el artículo 24 de la Ley 38/2003, de 14 de noviembre, General de Subvenciones.</w:t>
      </w:r>
    </w:p>
    <w:p w14:paraId="7BDA59BE" w14:textId="302BE6E8" w:rsidR="006F51BF" w:rsidRPr="00137D71" w:rsidRDefault="006F51BF" w:rsidP="00137D71">
      <w:pPr>
        <w:jc w:val="both"/>
        <w:rPr>
          <w:rFonts w:ascii="Arial" w:hAnsi="Arial" w:cs="Arial"/>
          <w:sz w:val="22"/>
          <w:szCs w:val="22"/>
        </w:rPr>
      </w:pPr>
      <w:r w:rsidRPr="00137D71">
        <w:rPr>
          <w:rFonts w:ascii="Arial" w:hAnsi="Arial" w:cs="Arial"/>
          <w:sz w:val="22"/>
          <w:szCs w:val="22"/>
        </w:rPr>
        <w:t xml:space="preserve">El órgano competente para resolver será la Presidencia del </w:t>
      </w:r>
      <w:r w:rsidR="00EB40A8">
        <w:rPr>
          <w:rFonts w:ascii="Arial" w:hAnsi="Arial" w:cs="Arial"/>
          <w:sz w:val="22"/>
          <w:szCs w:val="22"/>
        </w:rPr>
        <w:t>Consell Comarcal de la Selva</w:t>
      </w:r>
      <w:r w:rsidRPr="00137D71">
        <w:rPr>
          <w:rFonts w:ascii="Arial" w:hAnsi="Arial" w:cs="Arial"/>
          <w:sz w:val="22"/>
          <w:szCs w:val="22"/>
        </w:rPr>
        <w:t>.</w:t>
      </w:r>
    </w:p>
    <w:p w14:paraId="1A4BDD6B" w14:textId="77777777" w:rsidR="006F51BF" w:rsidRPr="00EB40A8" w:rsidRDefault="006F51BF" w:rsidP="00137D71">
      <w:pPr>
        <w:jc w:val="both"/>
        <w:rPr>
          <w:rFonts w:ascii="Arial" w:hAnsi="Arial" w:cs="Arial"/>
          <w:b/>
          <w:bCs/>
          <w:sz w:val="22"/>
          <w:szCs w:val="22"/>
        </w:rPr>
      </w:pPr>
      <w:r w:rsidRPr="00EB40A8">
        <w:rPr>
          <w:rFonts w:ascii="Arial" w:hAnsi="Arial" w:cs="Arial"/>
          <w:b/>
          <w:bCs/>
          <w:sz w:val="22"/>
          <w:szCs w:val="22"/>
        </w:rPr>
        <w:t>6. Plazo de presentación de solicitudes</w:t>
      </w:r>
    </w:p>
    <w:p w14:paraId="6B7A1095" w14:textId="5E2F1FF0" w:rsidR="006F51BF" w:rsidRPr="00137D71" w:rsidRDefault="006F51BF" w:rsidP="00137D71">
      <w:pPr>
        <w:jc w:val="both"/>
        <w:rPr>
          <w:rFonts w:ascii="Arial" w:hAnsi="Arial" w:cs="Arial"/>
          <w:sz w:val="22"/>
          <w:szCs w:val="22"/>
        </w:rPr>
      </w:pPr>
      <w:r w:rsidRPr="00137D71">
        <w:rPr>
          <w:rFonts w:ascii="Arial" w:hAnsi="Arial" w:cs="Arial"/>
          <w:sz w:val="22"/>
          <w:szCs w:val="22"/>
        </w:rPr>
        <w:t xml:space="preserve">El </w:t>
      </w:r>
      <w:r w:rsidR="00EB40A8">
        <w:rPr>
          <w:rFonts w:ascii="Arial" w:hAnsi="Arial" w:cs="Arial"/>
          <w:sz w:val="22"/>
          <w:szCs w:val="22"/>
        </w:rPr>
        <w:t xml:space="preserve">Consell Comarcal </w:t>
      </w:r>
      <w:r w:rsidRPr="00137D71">
        <w:rPr>
          <w:rFonts w:ascii="Arial" w:hAnsi="Arial" w:cs="Arial"/>
          <w:sz w:val="22"/>
          <w:szCs w:val="22"/>
        </w:rPr>
        <w:t xml:space="preserve">publicará el edicto de convocatoria de las ayudas en el Boletín Oficial de la Provincia (BOP) y en el e-tablero del </w:t>
      </w:r>
      <w:r w:rsidR="00EB40A8">
        <w:rPr>
          <w:rFonts w:ascii="Arial" w:hAnsi="Arial" w:cs="Arial"/>
          <w:sz w:val="22"/>
          <w:szCs w:val="22"/>
        </w:rPr>
        <w:t>Consell Comarcal.</w:t>
      </w:r>
      <w:r w:rsidRPr="00137D71">
        <w:rPr>
          <w:rFonts w:ascii="Arial" w:hAnsi="Arial" w:cs="Arial"/>
          <w:sz w:val="22"/>
          <w:szCs w:val="22"/>
        </w:rPr>
        <w:t xml:space="preserve"> El plazo de presentación de solicitudes se iniciará el día 12 de mayo y permanecerá abierto todo el curso escolar.</w:t>
      </w:r>
    </w:p>
    <w:p w14:paraId="44DB259B"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lastRenderedPageBreak/>
        <w:t>Para que las ayudas sean de aplicación en el primer trimestre de curso, habrá que solicitarlas, a más tardar, el día 1 de junio (excepto en los casos de alumnos que cursarán I3, que esta fecha se alargará hasta el 15 de julio, debido a que su matriculación es más tardía).</w:t>
      </w:r>
    </w:p>
    <w:p w14:paraId="263E805B"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Las solicitudes recibidas entre el 2 de junio y el 30 de noviembre y resueltas favorablemente, se aplicarán a partir del primer día del segundo trimestre de curso.</w:t>
      </w:r>
    </w:p>
    <w:p w14:paraId="46CEDCC1"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Las solicitudes recibidas entre el día 1 de diciembre y el 10 de marzo y sean resueltas favorablemente, se aplicarán a partir del primer día del tercer trimestre de curso.</w:t>
      </w:r>
    </w:p>
    <w:p w14:paraId="08F7ACB6" w14:textId="77777777" w:rsidR="006F51BF" w:rsidRPr="00EB40A8" w:rsidRDefault="006F51BF" w:rsidP="00137D71">
      <w:pPr>
        <w:jc w:val="both"/>
        <w:rPr>
          <w:rFonts w:ascii="Arial" w:hAnsi="Arial" w:cs="Arial"/>
          <w:b/>
          <w:bCs/>
          <w:sz w:val="22"/>
          <w:szCs w:val="22"/>
        </w:rPr>
      </w:pPr>
      <w:r w:rsidRPr="00EB40A8">
        <w:rPr>
          <w:rFonts w:ascii="Arial" w:hAnsi="Arial" w:cs="Arial"/>
          <w:b/>
          <w:bCs/>
          <w:sz w:val="22"/>
          <w:szCs w:val="22"/>
        </w:rPr>
        <w:t>7. Solicitudes y documentación</w:t>
      </w:r>
    </w:p>
    <w:p w14:paraId="63DC4094" w14:textId="3941374D" w:rsidR="006F51BF" w:rsidRPr="00EB40A8" w:rsidRDefault="006F51BF" w:rsidP="00EB40A8">
      <w:pPr>
        <w:pStyle w:val="Prrafodelista"/>
        <w:numPr>
          <w:ilvl w:val="1"/>
          <w:numId w:val="5"/>
        </w:numPr>
        <w:jc w:val="both"/>
        <w:rPr>
          <w:rFonts w:ascii="Arial" w:hAnsi="Arial" w:cs="Arial"/>
          <w:sz w:val="22"/>
          <w:szCs w:val="22"/>
        </w:rPr>
      </w:pPr>
      <w:r w:rsidRPr="00EB40A8">
        <w:rPr>
          <w:rFonts w:ascii="Arial" w:hAnsi="Arial" w:cs="Arial"/>
          <w:sz w:val="22"/>
          <w:szCs w:val="22"/>
        </w:rPr>
        <w:t>Documentación obligatoria:</w:t>
      </w:r>
    </w:p>
    <w:p w14:paraId="258272E8"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Las personas interesadas en esta convocatoria deben presentar la siguiente documentación obligatoria:</w:t>
      </w:r>
    </w:p>
    <w:p w14:paraId="187F0341" w14:textId="0CEDF50F" w:rsidR="006F51BF" w:rsidRPr="00EB40A8" w:rsidRDefault="006F51BF" w:rsidP="00EB40A8">
      <w:pPr>
        <w:pStyle w:val="Prrafodelista"/>
        <w:numPr>
          <w:ilvl w:val="0"/>
          <w:numId w:val="6"/>
        </w:numPr>
        <w:jc w:val="both"/>
        <w:rPr>
          <w:rFonts w:ascii="Arial" w:hAnsi="Arial" w:cs="Arial"/>
          <w:sz w:val="22"/>
          <w:szCs w:val="22"/>
        </w:rPr>
      </w:pPr>
      <w:r w:rsidRPr="00EB40A8">
        <w:rPr>
          <w:rFonts w:ascii="Arial" w:hAnsi="Arial" w:cs="Arial"/>
          <w:sz w:val="22"/>
          <w:szCs w:val="22"/>
        </w:rPr>
        <w:t xml:space="preserve">Modelo de solicitud. Cada familia presentará una solicitud única por todos los miembros de la unidad familiar. Las solicitudes se podrán presentar a través de los siguientes canales: </w:t>
      </w:r>
    </w:p>
    <w:p w14:paraId="5BAC8757" w14:textId="478335E0" w:rsidR="006F51BF" w:rsidRPr="00EB40A8" w:rsidRDefault="006F51BF" w:rsidP="00EB40A8">
      <w:pPr>
        <w:pStyle w:val="Prrafodelista"/>
        <w:numPr>
          <w:ilvl w:val="0"/>
          <w:numId w:val="2"/>
        </w:numPr>
        <w:jc w:val="both"/>
        <w:rPr>
          <w:rFonts w:ascii="Arial" w:hAnsi="Arial" w:cs="Arial"/>
          <w:sz w:val="22"/>
          <w:szCs w:val="22"/>
        </w:rPr>
      </w:pPr>
      <w:r w:rsidRPr="00EB40A8">
        <w:rPr>
          <w:rFonts w:ascii="Arial" w:hAnsi="Arial" w:cs="Arial"/>
          <w:sz w:val="22"/>
          <w:szCs w:val="22"/>
        </w:rPr>
        <w:t xml:space="preserve">Impreso normalizado debidamente impreso y firmado, presentado en formato papel en cualquier oficina de registro del </w:t>
      </w:r>
      <w:r w:rsidR="00EB40A8" w:rsidRPr="00EB40A8">
        <w:rPr>
          <w:rFonts w:ascii="Arial" w:hAnsi="Arial" w:cs="Arial"/>
          <w:sz w:val="22"/>
          <w:szCs w:val="22"/>
        </w:rPr>
        <w:t xml:space="preserve">Consell Comarcal de la Selva </w:t>
      </w:r>
      <w:r w:rsidRPr="00EB40A8">
        <w:rPr>
          <w:rFonts w:ascii="Arial" w:hAnsi="Arial" w:cs="Arial"/>
          <w:sz w:val="22"/>
          <w:szCs w:val="22"/>
        </w:rPr>
        <w:t>o por correo postal administrativo.</w:t>
      </w:r>
    </w:p>
    <w:p w14:paraId="04D0ED53" w14:textId="6D4A338A" w:rsidR="006F51BF" w:rsidRPr="00EB40A8" w:rsidRDefault="006F51BF" w:rsidP="00EB40A8">
      <w:pPr>
        <w:pStyle w:val="Prrafodelista"/>
        <w:numPr>
          <w:ilvl w:val="0"/>
          <w:numId w:val="2"/>
        </w:numPr>
        <w:jc w:val="both"/>
        <w:rPr>
          <w:rFonts w:ascii="Arial" w:hAnsi="Arial" w:cs="Arial"/>
          <w:sz w:val="22"/>
          <w:szCs w:val="22"/>
        </w:rPr>
      </w:pPr>
      <w:r w:rsidRPr="00EB40A8">
        <w:rPr>
          <w:rFonts w:ascii="Arial" w:hAnsi="Arial" w:cs="Arial"/>
          <w:sz w:val="22"/>
          <w:szCs w:val="22"/>
        </w:rPr>
        <w:t xml:space="preserve">Formulario digital firmado electrónicamente o tramitado a través del servicio de instancia electrónica del </w:t>
      </w:r>
      <w:r w:rsidR="00EB40A8" w:rsidRPr="00EB40A8">
        <w:rPr>
          <w:rFonts w:ascii="Arial" w:hAnsi="Arial" w:cs="Arial"/>
          <w:sz w:val="22"/>
          <w:szCs w:val="22"/>
        </w:rPr>
        <w:t>Consell Comarcal de la Selva</w:t>
      </w:r>
      <w:r w:rsidRPr="00EB40A8">
        <w:rPr>
          <w:rFonts w:ascii="Arial" w:hAnsi="Arial" w:cs="Arial"/>
          <w:sz w:val="22"/>
          <w:szCs w:val="22"/>
        </w:rPr>
        <w:t>.</w:t>
      </w:r>
    </w:p>
    <w:p w14:paraId="5E2D3F06" w14:textId="0799ABD3" w:rsidR="006F51BF" w:rsidRPr="00EB40A8" w:rsidRDefault="006F51BF" w:rsidP="00EB40A8">
      <w:pPr>
        <w:pStyle w:val="Prrafodelista"/>
        <w:numPr>
          <w:ilvl w:val="0"/>
          <w:numId w:val="7"/>
        </w:numPr>
        <w:jc w:val="both"/>
        <w:rPr>
          <w:rFonts w:ascii="Arial" w:hAnsi="Arial" w:cs="Arial"/>
          <w:sz w:val="22"/>
          <w:szCs w:val="22"/>
        </w:rPr>
      </w:pPr>
      <w:r w:rsidRPr="00EB40A8">
        <w:rPr>
          <w:rFonts w:ascii="Arial" w:hAnsi="Arial" w:cs="Arial"/>
          <w:sz w:val="22"/>
          <w:szCs w:val="22"/>
        </w:rPr>
        <w:t>En el caso del alumno deberá informarse del IDALU (código identificador asignado a cada alumno).</w:t>
      </w:r>
    </w:p>
    <w:p w14:paraId="08D7BA06" w14:textId="111DAF8E" w:rsidR="006F51BF" w:rsidRPr="00EB40A8" w:rsidRDefault="006F51BF" w:rsidP="00EB40A8">
      <w:pPr>
        <w:pStyle w:val="Prrafodelista"/>
        <w:numPr>
          <w:ilvl w:val="0"/>
          <w:numId w:val="7"/>
        </w:numPr>
        <w:jc w:val="both"/>
        <w:rPr>
          <w:rFonts w:ascii="Arial" w:hAnsi="Arial" w:cs="Arial"/>
          <w:sz w:val="22"/>
          <w:szCs w:val="22"/>
        </w:rPr>
      </w:pPr>
      <w:r w:rsidRPr="00EB40A8">
        <w:rPr>
          <w:rFonts w:ascii="Arial" w:hAnsi="Arial" w:cs="Arial"/>
          <w:sz w:val="22"/>
          <w:szCs w:val="22"/>
        </w:rPr>
        <w:t xml:space="preserve">Relación de miembros de la unidad familiar que conviven en el mismo domicilio, indicando nombre, apellidos y NIF/NIE, en su caso, de cada uno de ellos. </w:t>
      </w:r>
    </w:p>
    <w:p w14:paraId="3B48672C" w14:textId="6FF96D26" w:rsidR="006F51BF" w:rsidRPr="00EB40A8" w:rsidRDefault="006F51BF" w:rsidP="00EB40A8">
      <w:pPr>
        <w:pStyle w:val="Prrafodelista"/>
        <w:numPr>
          <w:ilvl w:val="0"/>
          <w:numId w:val="7"/>
        </w:numPr>
        <w:jc w:val="both"/>
        <w:rPr>
          <w:rFonts w:ascii="Arial" w:hAnsi="Arial" w:cs="Arial"/>
          <w:sz w:val="22"/>
          <w:szCs w:val="22"/>
        </w:rPr>
      </w:pPr>
      <w:r w:rsidRPr="00EB40A8">
        <w:rPr>
          <w:rFonts w:ascii="Arial" w:hAnsi="Arial" w:cs="Arial"/>
          <w:sz w:val="22"/>
          <w:szCs w:val="22"/>
        </w:rPr>
        <w:t>Correo electrónico y teléfono móvil donde se informará de la resolución de las ayudas.</w:t>
      </w:r>
    </w:p>
    <w:p w14:paraId="5C6013D3"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 xml:space="preserve">7.2 Documentación complementaria: </w:t>
      </w:r>
    </w:p>
    <w:p w14:paraId="6CE55FF0"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7.2.1) Acreditación de situaciones específicas de la unidad familiar, en su caso:</w:t>
      </w:r>
    </w:p>
    <w:p w14:paraId="369E75AC"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 Niños en acogimiento: se acreditará mediante la resolución de acogimiento de la Dirección General de Atención a la Infancia y la Adolescencia.</w:t>
      </w:r>
    </w:p>
    <w:p w14:paraId="78150825"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 Documento acreditativo de prestaciones económicas de urgencia social, otorgadas por administraciones públicas, que tengan por finalidad atender situaciones de necesidades puntuales, urgentes y básicas, de subsistencia, como por ejemplo la alimentación, el vestido y el alojamiento.</w:t>
      </w:r>
    </w:p>
    <w:p w14:paraId="59E66A47"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 Convenio regulador o sentencia de separación/divorcio/, o el acta final de mediación del Departamento de Justicia, o autorización notarial de salida del país y en su caso convenio regulador (adjuntando en idioma original y la traducción jurada al catalán o castellano)2.</w:t>
      </w:r>
    </w:p>
    <w:p w14:paraId="076280F3" w14:textId="778802ED" w:rsidR="006F51BF" w:rsidRPr="00137D71" w:rsidRDefault="006F51BF" w:rsidP="00137D71">
      <w:pPr>
        <w:jc w:val="both"/>
        <w:rPr>
          <w:rFonts w:ascii="Arial" w:hAnsi="Arial" w:cs="Arial"/>
          <w:sz w:val="22"/>
          <w:szCs w:val="22"/>
        </w:rPr>
      </w:pPr>
      <w:r w:rsidRPr="00137D71">
        <w:rPr>
          <w:rFonts w:ascii="Arial" w:hAnsi="Arial" w:cs="Arial"/>
          <w:sz w:val="22"/>
          <w:szCs w:val="22"/>
        </w:rPr>
        <w:t>• En caso de viudedad de un progenitor/a, adjuntar el certificado de defunción.</w:t>
      </w:r>
    </w:p>
    <w:p w14:paraId="48DDA3B0"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7.2.2) Valoración por parte de los servicios sociales por situación social de riesgo:</w:t>
      </w:r>
    </w:p>
    <w:p w14:paraId="79DD7173"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lastRenderedPageBreak/>
        <w:t>Las familias atendidas por los servicios sociales tendrán que declarar esta situación en la solicitud indicando por qué servicios sociales son atendidas.</w:t>
      </w:r>
    </w:p>
    <w:p w14:paraId="3F5632CD"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A efectos de determinar la puntuación correspondiente en este ámbito, se recomienda tener en cuenta las siguientes circunstancias:</w:t>
      </w:r>
    </w:p>
    <w:p w14:paraId="68E7BD35" w14:textId="77777777" w:rsidR="006F51BF" w:rsidRPr="00EB40A8" w:rsidRDefault="006F51BF" w:rsidP="00137D71">
      <w:pPr>
        <w:jc w:val="both"/>
        <w:rPr>
          <w:rFonts w:ascii="Arial" w:hAnsi="Arial" w:cs="Arial"/>
          <w:b/>
          <w:bCs/>
          <w:sz w:val="22"/>
          <w:szCs w:val="22"/>
        </w:rPr>
      </w:pPr>
      <w:r w:rsidRPr="00EB40A8">
        <w:rPr>
          <w:rFonts w:ascii="Arial" w:hAnsi="Arial" w:cs="Arial"/>
          <w:b/>
          <w:bCs/>
          <w:sz w:val="22"/>
          <w:szCs w:val="22"/>
        </w:rPr>
        <w:t>1.Por situación de riesgo social:</w:t>
      </w:r>
    </w:p>
    <w:p w14:paraId="1D52992F"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 Observadas en el niño:</w:t>
      </w:r>
    </w:p>
    <w:p w14:paraId="04CB6E61" w14:textId="16DFE36B" w:rsidR="006F51BF" w:rsidRPr="00EB40A8" w:rsidRDefault="006F51BF" w:rsidP="00EB40A8">
      <w:pPr>
        <w:pStyle w:val="Prrafodelista"/>
        <w:numPr>
          <w:ilvl w:val="0"/>
          <w:numId w:val="8"/>
        </w:numPr>
        <w:spacing w:after="0" w:line="240" w:lineRule="auto"/>
        <w:jc w:val="both"/>
        <w:rPr>
          <w:rFonts w:ascii="Arial" w:hAnsi="Arial" w:cs="Arial"/>
          <w:sz w:val="22"/>
          <w:szCs w:val="22"/>
        </w:rPr>
      </w:pPr>
      <w:r w:rsidRPr="00EB40A8">
        <w:rPr>
          <w:rFonts w:ascii="Arial" w:hAnsi="Arial" w:cs="Arial"/>
          <w:sz w:val="22"/>
          <w:szCs w:val="22"/>
        </w:rPr>
        <w:t>Absentismo escolar</w:t>
      </w:r>
    </w:p>
    <w:p w14:paraId="0B562B99" w14:textId="59A9C2C6" w:rsidR="006F51BF" w:rsidRPr="00EB40A8" w:rsidRDefault="006F51BF" w:rsidP="00EB40A8">
      <w:pPr>
        <w:pStyle w:val="Prrafodelista"/>
        <w:numPr>
          <w:ilvl w:val="0"/>
          <w:numId w:val="8"/>
        </w:numPr>
        <w:spacing w:after="0" w:line="240" w:lineRule="auto"/>
        <w:jc w:val="both"/>
        <w:rPr>
          <w:rFonts w:ascii="Arial" w:hAnsi="Arial" w:cs="Arial"/>
          <w:sz w:val="22"/>
          <w:szCs w:val="22"/>
        </w:rPr>
      </w:pPr>
      <w:r w:rsidRPr="00EB40A8">
        <w:rPr>
          <w:rFonts w:ascii="Arial" w:hAnsi="Arial" w:cs="Arial"/>
          <w:sz w:val="22"/>
          <w:szCs w:val="22"/>
        </w:rPr>
        <w:t>Hábitos de comida: son irregulares y/o inadecuados. - Vestido inadecuado y/o falta de higiene.</w:t>
      </w:r>
    </w:p>
    <w:p w14:paraId="03D35471" w14:textId="23310621" w:rsidR="006F51BF" w:rsidRPr="00EB40A8" w:rsidRDefault="006F51BF" w:rsidP="00EB40A8">
      <w:pPr>
        <w:pStyle w:val="Prrafodelista"/>
        <w:numPr>
          <w:ilvl w:val="0"/>
          <w:numId w:val="8"/>
        </w:numPr>
        <w:spacing w:after="0" w:line="240" w:lineRule="auto"/>
        <w:jc w:val="both"/>
        <w:rPr>
          <w:rFonts w:ascii="Arial" w:hAnsi="Arial" w:cs="Arial"/>
          <w:sz w:val="22"/>
          <w:szCs w:val="22"/>
        </w:rPr>
      </w:pPr>
      <w:r w:rsidRPr="00EB40A8">
        <w:rPr>
          <w:rFonts w:ascii="Arial" w:hAnsi="Arial" w:cs="Arial"/>
          <w:sz w:val="22"/>
          <w:szCs w:val="22"/>
        </w:rPr>
        <w:t>Dificultad de adaptación social (retraimiento, aislamiento, miedos, agresividad, manifestaciones conductuales)</w:t>
      </w:r>
    </w:p>
    <w:p w14:paraId="5D5B2DF1" w14:textId="5BF70DA4" w:rsidR="006F51BF" w:rsidRPr="00EB40A8" w:rsidRDefault="006F51BF" w:rsidP="00EB40A8">
      <w:pPr>
        <w:pStyle w:val="Prrafodelista"/>
        <w:numPr>
          <w:ilvl w:val="0"/>
          <w:numId w:val="8"/>
        </w:numPr>
        <w:spacing w:after="0" w:line="240" w:lineRule="auto"/>
        <w:jc w:val="both"/>
        <w:rPr>
          <w:rFonts w:ascii="Arial" w:hAnsi="Arial" w:cs="Arial"/>
          <w:sz w:val="22"/>
          <w:szCs w:val="22"/>
        </w:rPr>
      </w:pPr>
      <w:r w:rsidRPr="00EB40A8">
        <w:rPr>
          <w:rFonts w:ascii="Arial" w:hAnsi="Arial" w:cs="Arial"/>
          <w:sz w:val="22"/>
          <w:szCs w:val="22"/>
        </w:rPr>
        <w:t>Niños/as que desde los diferentes servicios observan trastornos de la alimentación.</w:t>
      </w:r>
    </w:p>
    <w:p w14:paraId="0DFE6DEA" w14:textId="56E7F554" w:rsidR="006F51BF" w:rsidRDefault="006F51BF" w:rsidP="00EB40A8">
      <w:pPr>
        <w:pStyle w:val="Prrafodelista"/>
        <w:numPr>
          <w:ilvl w:val="0"/>
          <w:numId w:val="8"/>
        </w:numPr>
        <w:spacing w:after="0" w:line="240" w:lineRule="auto"/>
        <w:jc w:val="both"/>
        <w:rPr>
          <w:rFonts w:ascii="Arial" w:hAnsi="Arial" w:cs="Arial"/>
          <w:sz w:val="22"/>
          <w:szCs w:val="22"/>
        </w:rPr>
      </w:pPr>
      <w:r w:rsidRPr="00EB40A8">
        <w:rPr>
          <w:rFonts w:ascii="Arial" w:hAnsi="Arial" w:cs="Arial"/>
          <w:sz w:val="22"/>
          <w:szCs w:val="22"/>
        </w:rPr>
        <w:t>Trastornos emocionales y/o enfermedad mental.</w:t>
      </w:r>
    </w:p>
    <w:p w14:paraId="1C3D8F2C" w14:textId="77777777" w:rsidR="00EB40A8" w:rsidRPr="00EB40A8" w:rsidRDefault="00EB40A8" w:rsidP="00EB40A8">
      <w:pPr>
        <w:pStyle w:val="Prrafodelista"/>
        <w:spacing w:after="0" w:line="240" w:lineRule="auto"/>
        <w:jc w:val="both"/>
        <w:rPr>
          <w:rFonts w:ascii="Arial" w:hAnsi="Arial" w:cs="Arial"/>
          <w:sz w:val="22"/>
          <w:szCs w:val="22"/>
        </w:rPr>
      </w:pPr>
    </w:p>
    <w:p w14:paraId="74CB6B0B" w14:textId="77777777" w:rsidR="006F51BF" w:rsidRPr="00137D71" w:rsidRDefault="006F51BF" w:rsidP="00137D71">
      <w:pPr>
        <w:jc w:val="both"/>
        <w:rPr>
          <w:rFonts w:ascii="Arial" w:hAnsi="Arial" w:cs="Arial"/>
          <w:sz w:val="22"/>
          <w:szCs w:val="22"/>
        </w:rPr>
      </w:pPr>
      <w:r w:rsidRPr="00137D71">
        <w:rPr>
          <w:rFonts w:ascii="Arial" w:hAnsi="Arial" w:cs="Arial"/>
          <w:sz w:val="22"/>
          <w:szCs w:val="22"/>
        </w:rPr>
        <w:t>• Observadas en la familia:</w:t>
      </w:r>
    </w:p>
    <w:p w14:paraId="3AD67850" w14:textId="1E9281E3" w:rsidR="006F51BF" w:rsidRPr="00EB40A8" w:rsidRDefault="006F51BF" w:rsidP="00EB40A8">
      <w:pPr>
        <w:pStyle w:val="Prrafodelista"/>
        <w:numPr>
          <w:ilvl w:val="0"/>
          <w:numId w:val="9"/>
        </w:numPr>
        <w:spacing w:after="0" w:line="240" w:lineRule="auto"/>
        <w:jc w:val="both"/>
        <w:rPr>
          <w:rFonts w:ascii="Arial" w:hAnsi="Arial" w:cs="Arial"/>
          <w:sz w:val="22"/>
          <w:szCs w:val="22"/>
        </w:rPr>
      </w:pPr>
      <w:r w:rsidRPr="00EB40A8">
        <w:rPr>
          <w:rFonts w:ascii="Arial" w:hAnsi="Arial" w:cs="Arial"/>
          <w:sz w:val="22"/>
          <w:szCs w:val="22"/>
        </w:rPr>
        <w:t>Trastornos emocionales y/o enfermedad mental.</w:t>
      </w:r>
    </w:p>
    <w:p w14:paraId="50D25D84" w14:textId="5449F6B4" w:rsidR="006F51BF" w:rsidRPr="00EB40A8" w:rsidRDefault="006F51BF" w:rsidP="00EB40A8">
      <w:pPr>
        <w:pStyle w:val="Prrafodelista"/>
        <w:numPr>
          <w:ilvl w:val="0"/>
          <w:numId w:val="9"/>
        </w:numPr>
        <w:spacing w:after="0" w:line="240" w:lineRule="auto"/>
        <w:jc w:val="both"/>
        <w:rPr>
          <w:rFonts w:ascii="Arial" w:hAnsi="Arial" w:cs="Arial"/>
          <w:sz w:val="22"/>
          <w:szCs w:val="22"/>
        </w:rPr>
      </w:pPr>
      <w:r w:rsidRPr="00EB40A8">
        <w:rPr>
          <w:rFonts w:ascii="Arial" w:hAnsi="Arial" w:cs="Arial"/>
          <w:sz w:val="22"/>
          <w:szCs w:val="22"/>
        </w:rPr>
        <w:t>Consumo de tóxicos.</w:t>
      </w:r>
    </w:p>
    <w:p w14:paraId="315A8398" w14:textId="38A5C708" w:rsidR="006F51BF" w:rsidRPr="00EB40A8" w:rsidRDefault="006F51BF" w:rsidP="00EB40A8">
      <w:pPr>
        <w:pStyle w:val="Prrafodelista"/>
        <w:numPr>
          <w:ilvl w:val="0"/>
          <w:numId w:val="9"/>
        </w:numPr>
        <w:spacing w:after="0" w:line="240" w:lineRule="auto"/>
        <w:jc w:val="both"/>
        <w:rPr>
          <w:rFonts w:ascii="Arial" w:hAnsi="Arial" w:cs="Arial"/>
          <w:sz w:val="22"/>
          <w:szCs w:val="22"/>
        </w:rPr>
      </w:pPr>
      <w:r w:rsidRPr="00EB40A8">
        <w:rPr>
          <w:rFonts w:ascii="Arial" w:hAnsi="Arial" w:cs="Arial"/>
          <w:sz w:val="22"/>
          <w:szCs w:val="22"/>
        </w:rPr>
        <w:t>Negligencia leve, cuando la omisión no atenta contra la dignidad física y/o psíquica del menor.</w:t>
      </w:r>
    </w:p>
    <w:p w14:paraId="6F4F1068" w14:textId="5B79538F" w:rsidR="006F51BF" w:rsidRPr="00EB40A8" w:rsidRDefault="006F51BF" w:rsidP="00EB40A8">
      <w:pPr>
        <w:pStyle w:val="Prrafodelista"/>
        <w:numPr>
          <w:ilvl w:val="0"/>
          <w:numId w:val="9"/>
        </w:numPr>
        <w:spacing w:after="0" w:line="240" w:lineRule="auto"/>
        <w:jc w:val="both"/>
        <w:rPr>
          <w:rFonts w:ascii="Arial" w:hAnsi="Arial" w:cs="Arial"/>
          <w:sz w:val="22"/>
          <w:szCs w:val="22"/>
        </w:rPr>
      </w:pPr>
      <w:r w:rsidRPr="00EB40A8">
        <w:rPr>
          <w:rFonts w:ascii="Arial" w:hAnsi="Arial" w:cs="Arial"/>
          <w:sz w:val="22"/>
          <w:szCs w:val="22"/>
        </w:rPr>
        <w:t>Seguimiento médico excesivo, ausentes o con carencias significativas.</w:t>
      </w:r>
    </w:p>
    <w:p w14:paraId="2F7BD08B" w14:textId="5FF3FE92" w:rsidR="00137D71" w:rsidRPr="00EB40A8" w:rsidRDefault="00137D71" w:rsidP="00EB40A8">
      <w:pPr>
        <w:pStyle w:val="Prrafodelista"/>
        <w:numPr>
          <w:ilvl w:val="0"/>
          <w:numId w:val="9"/>
        </w:numPr>
        <w:spacing w:after="0" w:line="240" w:lineRule="auto"/>
        <w:jc w:val="both"/>
        <w:rPr>
          <w:rFonts w:ascii="Arial" w:hAnsi="Arial" w:cs="Arial"/>
          <w:sz w:val="22"/>
          <w:szCs w:val="22"/>
        </w:rPr>
      </w:pPr>
      <w:r w:rsidRPr="00EB40A8">
        <w:rPr>
          <w:rFonts w:ascii="Arial" w:hAnsi="Arial" w:cs="Arial"/>
          <w:sz w:val="22"/>
          <w:szCs w:val="22"/>
        </w:rPr>
        <w:t xml:space="preserve">Problemas de vivienda: carencia, desahucio, hacinamiento, estancia en centro de acogida, etc. </w:t>
      </w:r>
    </w:p>
    <w:p w14:paraId="3BFC2D7A" w14:textId="19414C42" w:rsidR="00137D71" w:rsidRPr="00EB40A8" w:rsidRDefault="00137D71" w:rsidP="00EB40A8">
      <w:pPr>
        <w:pStyle w:val="Prrafodelista"/>
        <w:numPr>
          <w:ilvl w:val="0"/>
          <w:numId w:val="9"/>
        </w:numPr>
        <w:spacing w:after="0" w:line="240" w:lineRule="auto"/>
        <w:jc w:val="both"/>
        <w:rPr>
          <w:rFonts w:ascii="Arial" w:hAnsi="Arial" w:cs="Arial"/>
          <w:sz w:val="22"/>
          <w:szCs w:val="22"/>
        </w:rPr>
      </w:pPr>
      <w:r w:rsidRPr="00EB40A8">
        <w:rPr>
          <w:rFonts w:ascii="Arial" w:hAnsi="Arial" w:cs="Arial"/>
          <w:sz w:val="22"/>
          <w:szCs w:val="22"/>
        </w:rPr>
        <w:t xml:space="preserve">Familia monoparental con poco o nulo soporte de familia extensa. </w:t>
      </w:r>
    </w:p>
    <w:p w14:paraId="54697803" w14:textId="0C23238A" w:rsidR="00137D71" w:rsidRPr="00EB40A8" w:rsidRDefault="00137D71" w:rsidP="00EB40A8">
      <w:pPr>
        <w:pStyle w:val="Prrafodelista"/>
        <w:numPr>
          <w:ilvl w:val="0"/>
          <w:numId w:val="9"/>
        </w:numPr>
        <w:spacing w:after="0" w:line="240" w:lineRule="auto"/>
        <w:jc w:val="both"/>
        <w:rPr>
          <w:rFonts w:ascii="Arial" w:hAnsi="Arial" w:cs="Arial"/>
          <w:sz w:val="22"/>
          <w:szCs w:val="22"/>
        </w:rPr>
      </w:pPr>
      <w:r w:rsidRPr="00EB40A8">
        <w:rPr>
          <w:rFonts w:ascii="Arial" w:hAnsi="Arial" w:cs="Arial"/>
          <w:sz w:val="22"/>
          <w:szCs w:val="22"/>
        </w:rPr>
        <w:t xml:space="preserve">Sospechas de la existencia de maltrato (físico, psicológico o emocional) </w:t>
      </w:r>
    </w:p>
    <w:p w14:paraId="19B4D55D" w14:textId="77777777" w:rsidR="00EB40A8" w:rsidRDefault="00EB40A8" w:rsidP="00137D71">
      <w:pPr>
        <w:jc w:val="both"/>
        <w:rPr>
          <w:rFonts w:ascii="Arial" w:hAnsi="Arial" w:cs="Arial"/>
          <w:sz w:val="22"/>
          <w:szCs w:val="22"/>
        </w:rPr>
      </w:pPr>
    </w:p>
    <w:p w14:paraId="6D2DEAFF" w14:textId="0CDD1D2C" w:rsidR="00137D71" w:rsidRPr="00EB40A8" w:rsidRDefault="00137D71" w:rsidP="00137D71">
      <w:pPr>
        <w:jc w:val="both"/>
        <w:rPr>
          <w:rFonts w:ascii="Arial" w:hAnsi="Arial" w:cs="Arial"/>
          <w:b/>
          <w:bCs/>
          <w:sz w:val="22"/>
          <w:szCs w:val="22"/>
        </w:rPr>
      </w:pPr>
      <w:r w:rsidRPr="00EB40A8">
        <w:rPr>
          <w:rFonts w:ascii="Arial" w:hAnsi="Arial" w:cs="Arial"/>
          <w:b/>
          <w:bCs/>
          <w:sz w:val="22"/>
          <w:szCs w:val="22"/>
        </w:rPr>
        <w:t xml:space="preserve">2. Por situación de riesgo social grave: </w:t>
      </w:r>
    </w:p>
    <w:p w14:paraId="159D25A9" w14:textId="5EF6870E" w:rsidR="00137D71" w:rsidRPr="0015137D" w:rsidRDefault="00137D71" w:rsidP="0015137D">
      <w:pPr>
        <w:pStyle w:val="Prrafodelista"/>
        <w:numPr>
          <w:ilvl w:val="0"/>
          <w:numId w:val="10"/>
        </w:numPr>
        <w:spacing w:after="0" w:line="240" w:lineRule="auto"/>
        <w:jc w:val="both"/>
        <w:rPr>
          <w:rFonts w:ascii="Arial" w:hAnsi="Arial" w:cs="Arial"/>
          <w:sz w:val="22"/>
          <w:szCs w:val="22"/>
        </w:rPr>
      </w:pPr>
      <w:r w:rsidRPr="0015137D">
        <w:rPr>
          <w:rFonts w:ascii="Arial" w:hAnsi="Arial" w:cs="Arial"/>
          <w:sz w:val="22"/>
          <w:szCs w:val="22"/>
        </w:rPr>
        <w:t xml:space="preserve">Negligencia grave. </w:t>
      </w:r>
    </w:p>
    <w:p w14:paraId="48BA82F6" w14:textId="73F8A56B" w:rsidR="00137D71" w:rsidRPr="0015137D" w:rsidRDefault="00137D71" w:rsidP="0015137D">
      <w:pPr>
        <w:pStyle w:val="Prrafodelista"/>
        <w:numPr>
          <w:ilvl w:val="0"/>
          <w:numId w:val="10"/>
        </w:numPr>
        <w:spacing w:after="0" w:line="240" w:lineRule="auto"/>
        <w:jc w:val="both"/>
        <w:rPr>
          <w:rFonts w:ascii="Arial" w:hAnsi="Arial" w:cs="Arial"/>
          <w:sz w:val="22"/>
          <w:szCs w:val="22"/>
        </w:rPr>
      </w:pPr>
      <w:r w:rsidRPr="0015137D">
        <w:rPr>
          <w:rFonts w:ascii="Arial" w:hAnsi="Arial" w:cs="Arial"/>
          <w:sz w:val="22"/>
          <w:szCs w:val="22"/>
        </w:rPr>
        <w:t xml:space="preserve">Maltrato psíquico. </w:t>
      </w:r>
    </w:p>
    <w:p w14:paraId="363EE48B" w14:textId="7E9AC10B" w:rsidR="00137D71" w:rsidRPr="0015137D" w:rsidRDefault="00137D71" w:rsidP="0015137D">
      <w:pPr>
        <w:pStyle w:val="Prrafodelista"/>
        <w:numPr>
          <w:ilvl w:val="0"/>
          <w:numId w:val="10"/>
        </w:numPr>
        <w:spacing w:after="0" w:line="240" w:lineRule="auto"/>
        <w:jc w:val="both"/>
        <w:rPr>
          <w:rFonts w:ascii="Arial" w:hAnsi="Arial" w:cs="Arial"/>
          <w:sz w:val="22"/>
          <w:szCs w:val="22"/>
        </w:rPr>
      </w:pPr>
      <w:r w:rsidRPr="0015137D">
        <w:rPr>
          <w:rFonts w:ascii="Arial" w:hAnsi="Arial" w:cs="Arial"/>
          <w:sz w:val="22"/>
          <w:szCs w:val="22"/>
        </w:rPr>
        <w:t xml:space="preserve">Maltrato físico. </w:t>
      </w:r>
    </w:p>
    <w:p w14:paraId="3D5C9CAE" w14:textId="4203B8F8" w:rsidR="006F51BF" w:rsidRPr="0015137D" w:rsidRDefault="00137D71" w:rsidP="0015137D">
      <w:pPr>
        <w:pStyle w:val="Prrafodelista"/>
        <w:numPr>
          <w:ilvl w:val="0"/>
          <w:numId w:val="10"/>
        </w:numPr>
        <w:spacing w:after="0" w:line="240" w:lineRule="auto"/>
        <w:jc w:val="both"/>
        <w:rPr>
          <w:rFonts w:ascii="Arial" w:hAnsi="Arial" w:cs="Arial"/>
          <w:sz w:val="22"/>
          <w:szCs w:val="22"/>
        </w:rPr>
      </w:pPr>
      <w:r w:rsidRPr="0015137D">
        <w:rPr>
          <w:rFonts w:ascii="Arial" w:hAnsi="Arial" w:cs="Arial"/>
          <w:sz w:val="22"/>
          <w:szCs w:val="22"/>
        </w:rPr>
        <w:t>Abuso sexual.</w:t>
      </w:r>
    </w:p>
    <w:p w14:paraId="6BAB6235" w14:textId="77777777" w:rsidR="0015137D" w:rsidRPr="00137D71" w:rsidRDefault="0015137D" w:rsidP="0015137D">
      <w:pPr>
        <w:spacing w:after="0" w:line="240" w:lineRule="auto"/>
        <w:jc w:val="both"/>
        <w:rPr>
          <w:rFonts w:ascii="Arial" w:hAnsi="Arial" w:cs="Arial"/>
          <w:sz w:val="22"/>
          <w:szCs w:val="22"/>
        </w:rPr>
      </w:pPr>
    </w:p>
    <w:p w14:paraId="46A6D712" w14:textId="38831D29"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El </w:t>
      </w:r>
      <w:r w:rsidR="00EB40A8">
        <w:rPr>
          <w:rFonts w:ascii="Arial" w:hAnsi="Arial" w:cs="Arial"/>
          <w:sz w:val="22"/>
          <w:szCs w:val="22"/>
        </w:rPr>
        <w:t xml:space="preserve">Consell Comarcal </w:t>
      </w:r>
      <w:r w:rsidRPr="00137D71">
        <w:rPr>
          <w:rFonts w:ascii="Arial" w:hAnsi="Arial" w:cs="Arial"/>
          <w:sz w:val="22"/>
          <w:szCs w:val="22"/>
        </w:rPr>
        <w:t>podrá requerir los documentos complementarios que considere necesarios para un conocimiento adecuado de las circunstancias peculiares de cada caso, a efectos de garantizar la correcta inversión de los recursos presupuestarios destinados al otorgamiento de las ayudas individuales de transporte escolar.</w:t>
      </w:r>
    </w:p>
    <w:p w14:paraId="09959ACB"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7.3 Autorizaciones:</w:t>
      </w:r>
    </w:p>
    <w:p w14:paraId="43B029C0" w14:textId="125FFA7D"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La presentación de la solicitud implica la autorización, de todos y cada uno de los miembros de la unidad familiar, para que el </w:t>
      </w:r>
      <w:r w:rsidR="00EB40A8">
        <w:rPr>
          <w:rFonts w:ascii="Arial" w:hAnsi="Arial" w:cs="Arial"/>
          <w:sz w:val="22"/>
          <w:szCs w:val="22"/>
        </w:rPr>
        <w:t xml:space="preserve">Consell Comarcal </w:t>
      </w:r>
      <w:r w:rsidRPr="00137D71">
        <w:rPr>
          <w:rFonts w:ascii="Arial" w:hAnsi="Arial" w:cs="Arial"/>
          <w:sz w:val="22"/>
          <w:szCs w:val="22"/>
        </w:rPr>
        <w:t>o el Departamento de Educación y Formación Profesional puedan obtener de otras administraciones públicas la información que resulte necesaria para la determinación, conocimiento y comprobación de todos los datos de identificación, situaciones personales, de residencia, académicas y familiares, otras becas y ayudas ciudadanía, ingreso mínimo vital y ayudas al alquiler de la vivienda, entre otras necesarias para la resolución de la solicitud de beca.</w:t>
      </w:r>
    </w:p>
    <w:p w14:paraId="06FEFB9D" w14:textId="77777777" w:rsidR="00137D71" w:rsidRPr="0015137D" w:rsidRDefault="00137D71" w:rsidP="00137D71">
      <w:pPr>
        <w:jc w:val="both"/>
        <w:rPr>
          <w:rFonts w:ascii="Arial" w:hAnsi="Arial" w:cs="Arial"/>
          <w:b/>
          <w:bCs/>
          <w:sz w:val="22"/>
          <w:szCs w:val="22"/>
        </w:rPr>
      </w:pPr>
      <w:r w:rsidRPr="0015137D">
        <w:rPr>
          <w:rFonts w:ascii="Arial" w:hAnsi="Arial" w:cs="Arial"/>
          <w:b/>
          <w:bCs/>
          <w:sz w:val="22"/>
          <w:szCs w:val="22"/>
        </w:rPr>
        <w:lastRenderedPageBreak/>
        <w:t>8. Criterios para el otorgamiento de las ayudas</w:t>
      </w:r>
    </w:p>
    <w:p w14:paraId="7F0757AD"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Se otorgarán ayudas del 50% o hasta el 100% del coste del transporte a los alumnos que cumplan los requisitos establecidos.</w:t>
      </w:r>
    </w:p>
    <w:p w14:paraId="57BB770A"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8.1 Cálculo de la renta familiar</w:t>
      </w:r>
    </w:p>
    <w:p w14:paraId="4DD2A9C0" w14:textId="6E9BD8FB"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El Departamento de Educación y Formación Profesional o el </w:t>
      </w:r>
      <w:r w:rsidR="00EB40A8">
        <w:rPr>
          <w:rFonts w:ascii="Arial" w:hAnsi="Arial" w:cs="Arial"/>
          <w:sz w:val="22"/>
          <w:szCs w:val="22"/>
        </w:rPr>
        <w:t xml:space="preserve">Consell Comarcal </w:t>
      </w:r>
      <w:r w:rsidRPr="00137D71">
        <w:rPr>
          <w:rFonts w:ascii="Arial" w:hAnsi="Arial" w:cs="Arial"/>
          <w:sz w:val="22"/>
          <w:szCs w:val="22"/>
        </w:rPr>
        <w:t>calculará la renta familiar por la agregación de las rentas correspondientes al ejercicio 2024 de cada uno de los miembros computables de la familia que obtenga ingresos de cualquier naturaleza, según se indica en los párrafos siguientes y de conformidad con la normativa reguladora del impuesto sobre la renta de las personas físicas.</w:t>
      </w:r>
    </w:p>
    <w:p w14:paraId="023F772D" w14:textId="25C712E7" w:rsidR="00137D71" w:rsidRPr="00137D71" w:rsidRDefault="00137D71" w:rsidP="00137D71">
      <w:pPr>
        <w:jc w:val="both"/>
        <w:rPr>
          <w:rFonts w:ascii="Arial" w:hAnsi="Arial" w:cs="Arial"/>
          <w:sz w:val="22"/>
          <w:szCs w:val="22"/>
        </w:rPr>
      </w:pPr>
      <w:r w:rsidRPr="00137D71">
        <w:rPr>
          <w:rFonts w:ascii="Arial" w:hAnsi="Arial" w:cs="Arial"/>
          <w:sz w:val="22"/>
          <w:szCs w:val="22"/>
        </w:rPr>
        <w:t>Para la determinación de la renta de los miembros computables que hayan presentado declaración por el impuesto sobre la renta de las personas físicas, se procederá de la siguiente forma:</w:t>
      </w:r>
    </w:p>
    <w:p w14:paraId="63CC24E9" w14:textId="51BAE8DB" w:rsidR="00137D71" w:rsidRPr="0015137D" w:rsidRDefault="00137D71" w:rsidP="0015137D">
      <w:pPr>
        <w:pStyle w:val="Prrafodelista"/>
        <w:numPr>
          <w:ilvl w:val="0"/>
          <w:numId w:val="11"/>
        </w:numPr>
        <w:jc w:val="both"/>
        <w:rPr>
          <w:rFonts w:ascii="Arial" w:hAnsi="Arial" w:cs="Arial"/>
          <w:sz w:val="22"/>
          <w:szCs w:val="22"/>
        </w:rPr>
      </w:pPr>
      <w:r w:rsidRPr="0015137D">
        <w:rPr>
          <w:rFonts w:ascii="Arial" w:hAnsi="Arial" w:cs="Arial"/>
          <w:sz w:val="22"/>
          <w:szCs w:val="22"/>
        </w:rPr>
        <w:t xml:space="preserve">Primero: se sumará la base imponible general con la base imponible del ahorro, excluyendo los saldos netos negativos de ganancias y pérdidas patrimoniales correspondientes de 2020 a 2023, y el saldo neto negativo de rendimientos de capital mobiliario de 2020 a 2023 a integrar en la base. </w:t>
      </w:r>
    </w:p>
    <w:p w14:paraId="29B0DFAE" w14:textId="03232179" w:rsidR="00137D71" w:rsidRPr="0015137D" w:rsidRDefault="00137D71" w:rsidP="0015137D">
      <w:pPr>
        <w:pStyle w:val="Prrafodelista"/>
        <w:numPr>
          <w:ilvl w:val="0"/>
          <w:numId w:val="11"/>
        </w:numPr>
        <w:jc w:val="both"/>
        <w:rPr>
          <w:rFonts w:ascii="Arial" w:hAnsi="Arial" w:cs="Arial"/>
          <w:sz w:val="22"/>
          <w:szCs w:val="22"/>
        </w:rPr>
      </w:pPr>
      <w:r w:rsidRPr="0015137D">
        <w:rPr>
          <w:rFonts w:ascii="Arial" w:hAnsi="Arial" w:cs="Arial"/>
          <w:sz w:val="22"/>
          <w:szCs w:val="22"/>
        </w:rPr>
        <w:t xml:space="preserve">Segundo: a este resultado se restará la cuota resultante de la autoliquidación. </w:t>
      </w:r>
    </w:p>
    <w:p w14:paraId="0181D24F"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Para la determinación de la renta de los miembros computables que obtengan ingresos propios y no hayan presentado declaración por el Impuesto sobre la Renta de las Personas Físicas, se seguirá el procedimiento descrito en el apartado primero del punto anterior, quedando del resultado obtenido los pagos a cuenta efectuados.</w:t>
      </w:r>
    </w:p>
    <w:p w14:paraId="13ACA38D" w14:textId="7C287BBB" w:rsidR="00137D71" w:rsidRPr="0015137D" w:rsidRDefault="00137D71" w:rsidP="0015137D">
      <w:pPr>
        <w:pStyle w:val="Prrafodelista"/>
        <w:numPr>
          <w:ilvl w:val="0"/>
          <w:numId w:val="12"/>
        </w:numPr>
        <w:jc w:val="both"/>
        <w:rPr>
          <w:rFonts w:ascii="Arial" w:hAnsi="Arial" w:cs="Arial"/>
          <w:sz w:val="22"/>
          <w:szCs w:val="22"/>
        </w:rPr>
      </w:pPr>
      <w:r w:rsidRPr="0015137D">
        <w:rPr>
          <w:rFonts w:ascii="Arial" w:hAnsi="Arial" w:cs="Arial"/>
          <w:sz w:val="22"/>
          <w:szCs w:val="22"/>
        </w:rPr>
        <w:t xml:space="preserve">Tercero: A los rendimientos obtenidos por las otras dos vías, se les sumarán todos aquellos otros que obtenidos o </w:t>
      </w:r>
      <w:r w:rsidR="0015137D" w:rsidRPr="0015137D">
        <w:rPr>
          <w:rFonts w:ascii="Arial" w:hAnsi="Arial" w:cs="Arial"/>
          <w:sz w:val="22"/>
          <w:szCs w:val="22"/>
        </w:rPr>
        <w:t>facilidades correspondientes</w:t>
      </w:r>
      <w:r w:rsidRPr="0015137D">
        <w:rPr>
          <w:rFonts w:ascii="Arial" w:hAnsi="Arial" w:cs="Arial"/>
          <w:sz w:val="22"/>
          <w:szCs w:val="22"/>
        </w:rPr>
        <w:t xml:space="preserve"> a rendimiento no tributables o exentos</w:t>
      </w:r>
    </w:p>
    <w:p w14:paraId="17F36107"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En los casos en que alguno de los miembros de la unidad familiar reciba cualquier tipo de ingreso correspondiente a rendimientos no tributables o exentos, deberá aportarse la siguiente documentación, en función de la fuente o fuentes de ingresos, como puede ser:</w:t>
      </w:r>
    </w:p>
    <w:p w14:paraId="6EDE10F2"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Original y fotocopia del informe de vida laboral actualizado, emitido por la Seguridad Social.</w:t>
      </w:r>
    </w:p>
    <w:p w14:paraId="583D1816"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Las personas que estén dadas de alta en el sistema especial de trabajadores del hogar de la Seguridad Social, será necesario aportar el certificado de cotizaciones correspondiente al año 2024.</w:t>
      </w:r>
    </w:p>
    <w:p w14:paraId="3AD1EDB7"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En el resto de situaciones no previstas anteriormente el nivel de renta deberá acreditarse mediante cualquier otra documentación fehaciente que será valorada por la Comisión de adjudicación.</w:t>
      </w:r>
    </w:p>
    <w:p w14:paraId="22996AA3"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8.2 Deducciones de la renta familiar</w:t>
      </w:r>
    </w:p>
    <w:p w14:paraId="729CAAEE"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A efectos de la determinación de la renta a que se refieren los párrafos anteriores, una vez calculada la renta familiar a efectos de la ayuda, se aplicarán las siguientes deducciones:</w:t>
      </w:r>
    </w:p>
    <w:p w14:paraId="7F5663BE"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lastRenderedPageBreak/>
        <w:t>• El cincuenta por ciento de los ingresos aportados por cualquiera de los miembros computables de la familia distintos de los principales sustentadores.</w:t>
      </w:r>
    </w:p>
    <w:p w14:paraId="44ADCB67" w14:textId="303D76D2" w:rsidR="00137D71" w:rsidRPr="00137D71" w:rsidRDefault="00137D71" w:rsidP="00137D71">
      <w:pPr>
        <w:jc w:val="both"/>
        <w:rPr>
          <w:rFonts w:ascii="Arial" w:hAnsi="Arial" w:cs="Arial"/>
          <w:sz w:val="22"/>
          <w:szCs w:val="22"/>
        </w:rPr>
      </w:pPr>
      <w:r w:rsidRPr="00137D71">
        <w:rPr>
          <w:rFonts w:ascii="Arial" w:hAnsi="Arial" w:cs="Arial"/>
          <w:sz w:val="22"/>
          <w:szCs w:val="22"/>
        </w:rPr>
        <w:t>• La cantidad de 500,00 € por motivos de duración del desplazamiento y distancia, cuando concurran las siguientes situaciones:</w:t>
      </w:r>
    </w:p>
    <w:p w14:paraId="6FC24211"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Que el alumno se desplace en vehículo un mínimo de 3 km o su desplazamiento tenga una duración superior a 25 minutos desde su domicilio familiar y donde tiene su residencia habitual hasta el centro donde está escolarizado.</w:t>
      </w:r>
    </w:p>
    <w:p w14:paraId="0A6D7B98"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Que el alumno esté escolarizado en el centro determinado por el Departamento de Educación o el más cercano a su domicilio familiar. En este sentido, en el caso de la educación infantil de segundo ciclo y primaria se considerarán centros propuestos por el Departamento los incluidos en el área de influencia determinada y en cuanto a la educación secundaria obligatoria, se considerará como centro propuesto, aquél que le corresponde, por la Resolución de adscripción. En caso de que el Departamento haya derivado al alumno a un centro diferente, por falta de oferta educativa, también se entenderá que este centro es el propuesto por el Departamento.</w:t>
      </w:r>
    </w:p>
    <w:p w14:paraId="252B1B9C"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 No tener el servicio de transporte escolar colectivo con carácter preceptivo y, por </w:t>
      </w:r>
      <w:proofErr w:type="gramStart"/>
      <w:r w:rsidRPr="00137D71">
        <w:rPr>
          <w:rFonts w:ascii="Arial" w:hAnsi="Arial" w:cs="Arial"/>
          <w:sz w:val="22"/>
          <w:szCs w:val="22"/>
        </w:rPr>
        <w:t>tanto</w:t>
      </w:r>
      <w:proofErr w:type="gramEnd"/>
      <w:r w:rsidRPr="00137D71">
        <w:rPr>
          <w:rFonts w:ascii="Arial" w:hAnsi="Arial" w:cs="Arial"/>
          <w:sz w:val="22"/>
          <w:szCs w:val="22"/>
        </w:rPr>
        <w:t xml:space="preserve"> gratuito.</w:t>
      </w:r>
    </w:p>
    <w:p w14:paraId="5769C2A9" w14:textId="01CEFBA7" w:rsidR="00137D71" w:rsidRPr="00137D71" w:rsidRDefault="00137D71" w:rsidP="00137D71">
      <w:pPr>
        <w:jc w:val="both"/>
        <w:rPr>
          <w:rFonts w:ascii="Arial" w:hAnsi="Arial" w:cs="Arial"/>
          <w:sz w:val="22"/>
          <w:szCs w:val="22"/>
        </w:rPr>
      </w:pPr>
      <w:r w:rsidRPr="00137D71">
        <w:rPr>
          <w:rFonts w:ascii="Arial" w:hAnsi="Arial" w:cs="Arial"/>
          <w:sz w:val="22"/>
          <w:szCs w:val="22"/>
        </w:rPr>
        <w:t>• La cantidad de 1.200,00 € por cada hermano o hermana, incluyendo a la persona solicitante que conviva en el domicilio familiar, cuando acredite la condición de familia monoparental</w:t>
      </w:r>
    </w:p>
    <w:p w14:paraId="45189772"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 La cantidad de 800,00 €, cuando acrediten la existencia de niños en acogimiento en la unidad familiar extensa o ajena. </w:t>
      </w:r>
    </w:p>
    <w:p w14:paraId="5B76C3BC"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La cantidad de 500,00 € por cada hermano o hermana, incluyendo a la persona solicitante que conviva en el domicilio familiar, cuando se acredite la condición de familia numerosa.</w:t>
      </w:r>
    </w:p>
    <w:p w14:paraId="763FDC89"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La cantidad de 3.000,00 € por cada hermano o hermana, incluyendo a la persona solicitante que conviva en el domicilio familiar, cuando la persona solicitante acredite la condición de discapacidad de igual o más de un 33%.</w:t>
      </w:r>
    </w:p>
    <w:p w14:paraId="0AFC5A6D"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14:paraId="124335F6" w14:textId="0E25B562" w:rsidR="00137D71" w:rsidRPr="00137D71" w:rsidRDefault="00137D71" w:rsidP="00137D71">
      <w:pPr>
        <w:jc w:val="both"/>
        <w:rPr>
          <w:rFonts w:ascii="Arial" w:hAnsi="Arial" w:cs="Arial"/>
          <w:sz w:val="22"/>
          <w:szCs w:val="22"/>
        </w:rPr>
      </w:pPr>
      <w:r w:rsidRPr="00137D71">
        <w:rPr>
          <w:rFonts w:ascii="Arial" w:hAnsi="Arial" w:cs="Arial"/>
          <w:sz w:val="22"/>
          <w:szCs w:val="22"/>
        </w:rPr>
        <w:t>En el caso de unidades familiares que mediante los cruces no se haya obtenido ingresos o que ninguno de los miembros tiene un identificador, será necesario disponer del correspondiente informe de servicios sociales en el que deberá hacer constar aquellos ingresos que puedan tener estas unidades y la valoración por situación social de riesgo, de acuerdo con lo que se establece en el punto 7.2.2) de estos criterios.</w:t>
      </w:r>
    </w:p>
    <w:p w14:paraId="18487B48"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8.3 Valoración de situaciones específicas de la unidad familiar</w:t>
      </w:r>
    </w:p>
    <w:p w14:paraId="2FAE26F0"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Por este concepto, se establece un baremo máximo de hasta 15 puntos, que se calculará por la agregación de los puntos obtenidos, de todos los miembros de la unidad </w:t>
      </w:r>
      <w:r w:rsidRPr="00137D71">
        <w:rPr>
          <w:rFonts w:ascii="Arial" w:hAnsi="Arial" w:cs="Arial"/>
          <w:sz w:val="22"/>
          <w:szCs w:val="22"/>
        </w:rPr>
        <w:lastRenderedPageBreak/>
        <w:t>familiar, por los diferentes conceptos que se relacionan a continuación, que deberán acreditarse fehacientemente, mediante certificación del organismo competente.</w:t>
      </w:r>
    </w:p>
    <w:p w14:paraId="47189E5A"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Calificación de familia numerosa general, le corresponde 1,5 puntos.</w:t>
      </w:r>
    </w:p>
    <w:p w14:paraId="167FC262"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Calificación de familia numerosa especial, le corresponde 3 puntos.</w:t>
      </w:r>
    </w:p>
    <w:p w14:paraId="3E50DB5B"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 Condición de </w:t>
      </w:r>
      <w:proofErr w:type="spellStart"/>
      <w:r w:rsidRPr="00137D71">
        <w:rPr>
          <w:rFonts w:ascii="Arial" w:hAnsi="Arial" w:cs="Arial"/>
          <w:sz w:val="22"/>
          <w:szCs w:val="22"/>
        </w:rPr>
        <w:t>monoparentalidad</w:t>
      </w:r>
      <w:proofErr w:type="spellEnd"/>
      <w:r w:rsidRPr="00137D71">
        <w:rPr>
          <w:rFonts w:ascii="Arial" w:hAnsi="Arial" w:cs="Arial"/>
          <w:sz w:val="22"/>
          <w:szCs w:val="22"/>
        </w:rPr>
        <w:t xml:space="preserve"> general, le corresponde 1,5 puntos.</w:t>
      </w:r>
    </w:p>
    <w:p w14:paraId="3EFBFCEA"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 Condición de </w:t>
      </w:r>
      <w:proofErr w:type="spellStart"/>
      <w:r w:rsidRPr="00137D71">
        <w:rPr>
          <w:rFonts w:ascii="Arial" w:hAnsi="Arial" w:cs="Arial"/>
          <w:sz w:val="22"/>
          <w:szCs w:val="22"/>
        </w:rPr>
        <w:t>monoparentalidad</w:t>
      </w:r>
      <w:proofErr w:type="spellEnd"/>
      <w:r w:rsidRPr="00137D71">
        <w:rPr>
          <w:rFonts w:ascii="Arial" w:hAnsi="Arial" w:cs="Arial"/>
          <w:sz w:val="22"/>
          <w:szCs w:val="22"/>
        </w:rPr>
        <w:t xml:space="preserve"> especial, le corresponde 3 puntos.</w:t>
      </w:r>
    </w:p>
    <w:p w14:paraId="64226217"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Existencia de niños en acogimiento en la unidad familiar extensa o ajena, le corresponde 3 puntos.</w:t>
      </w:r>
    </w:p>
    <w:p w14:paraId="1619F854"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Condición de discapacidad del alumno o hermanos de hasta un 33%, le corresponde 1,5 puntos.</w:t>
      </w:r>
    </w:p>
    <w:p w14:paraId="01D7061B" w14:textId="7D587E89"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Condición de discapacidad del alumno o hermanos de más de un 33%, le corresponde 3 puntos.</w:t>
      </w:r>
    </w:p>
    <w:p w14:paraId="5C8E5B44" w14:textId="77777777" w:rsid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Redistribución equilibrada de alumnado con necesidades educativas específicas, le corresponde hasta 3 puntos.</w:t>
      </w:r>
    </w:p>
    <w:p w14:paraId="54AC8018" w14:textId="77777777" w:rsidR="0015137D" w:rsidRPr="00137D71" w:rsidRDefault="0015137D" w:rsidP="0015137D">
      <w:pPr>
        <w:spacing w:after="0" w:line="240" w:lineRule="auto"/>
        <w:jc w:val="both"/>
        <w:rPr>
          <w:rFonts w:ascii="Arial" w:hAnsi="Arial" w:cs="Arial"/>
          <w:sz w:val="22"/>
          <w:szCs w:val="22"/>
        </w:rPr>
      </w:pPr>
    </w:p>
    <w:p w14:paraId="5C5026BA"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La puntuación que se indica para cada concepto es la máxima para ese concepto, por tanto, a efectos de obtener la puntuación es indiferente que la cumplan varios miembros de la unidad familiar.</w:t>
      </w:r>
    </w:p>
    <w:p w14:paraId="09EAA469"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8.4 Valoración por parte de los servicios sociales por necesidad social</w:t>
      </w:r>
    </w:p>
    <w:p w14:paraId="09B206C5"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Por este concepto se establece un baremo máximo de hasta 15 puntos. En este caso, será preceptivo que el alumno esté en seguimiento, por parte de los servicios sociales, mediante el cual se acreditará la existencia de una necesidad social de esta familia. Es necesario que el alumno esté incluido en un plan de intervención o trabajo por riesgo de exclusión social. Se acompañará de un informe y se aplicará la siguiente puntuación:</w:t>
      </w:r>
    </w:p>
    <w:p w14:paraId="0DBA7701"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Situación de riesgo social, 10 puntos.</w:t>
      </w:r>
    </w:p>
    <w:p w14:paraId="31DF9BB9" w14:textId="4574271F" w:rsidR="00137D71" w:rsidRPr="00137D71" w:rsidRDefault="00137D71" w:rsidP="00137D71">
      <w:pPr>
        <w:jc w:val="both"/>
        <w:rPr>
          <w:rFonts w:ascii="Arial" w:hAnsi="Arial" w:cs="Arial"/>
          <w:sz w:val="22"/>
          <w:szCs w:val="22"/>
        </w:rPr>
      </w:pPr>
      <w:r w:rsidRPr="00137D71">
        <w:rPr>
          <w:rFonts w:ascii="Arial" w:hAnsi="Arial" w:cs="Arial"/>
          <w:sz w:val="22"/>
          <w:szCs w:val="22"/>
        </w:rPr>
        <w:t>• Situación de riesgo social grave, 15 puntos.</w:t>
      </w:r>
    </w:p>
    <w:p w14:paraId="7E711A64" w14:textId="77777777" w:rsidR="00137D71" w:rsidRPr="0015137D" w:rsidRDefault="00137D71" w:rsidP="00137D71">
      <w:pPr>
        <w:jc w:val="both"/>
        <w:rPr>
          <w:rFonts w:ascii="Arial" w:hAnsi="Arial" w:cs="Arial"/>
          <w:b/>
          <w:bCs/>
          <w:sz w:val="22"/>
          <w:szCs w:val="22"/>
        </w:rPr>
      </w:pPr>
      <w:r w:rsidRPr="0015137D">
        <w:rPr>
          <w:rFonts w:ascii="Arial" w:hAnsi="Arial" w:cs="Arial"/>
          <w:b/>
          <w:bCs/>
          <w:sz w:val="22"/>
          <w:szCs w:val="22"/>
        </w:rPr>
        <w:t>9. Consideración de los miembros computables de la unidad familiar</w:t>
      </w:r>
    </w:p>
    <w:p w14:paraId="540E786C"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Para el cálculo de la renta familiar a efectos de estas ayudas, son miembros computables los progenitores, en su caso, el/la tutor/a o persona encargada de la guarda y protección del menor, el solicitante, los hermanos solteros menores de veinticinco años y que convivan en el domicilio familiar a los 31 de diciembre del año utilizado en el de personas con discapacidad física, psíquica o sensorial, así como los ascendientes de los padres que justifiquen su residencia en el mismo domicilio que los anteriores con el correspondiente certificado municipal.</w:t>
      </w:r>
    </w:p>
    <w:p w14:paraId="4A2E9815"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En el caso de divorcio o separación legal de los padres, no se considerará miembro computable aquél que no conviva con el solicitante de la ayuda. No obstante, tendrá la consideración de miembro computable, en su caso, el nuevo cónyuge o persona unida por análoga relación, cuya renta se incluirá dentro del cómputo de la renta familiar.</w:t>
      </w:r>
    </w:p>
    <w:p w14:paraId="6BE19200" w14:textId="788D3717" w:rsidR="00137D71" w:rsidRPr="00137D71" w:rsidRDefault="00137D71" w:rsidP="00137D71">
      <w:pPr>
        <w:jc w:val="both"/>
        <w:rPr>
          <w:rFonts w:ascii="Arial" w:hAnsi="Arial" w:cs="Arial"/>
          <w:sz w:val="22"/>
          <w:szCs w:val="22"/>
        </w:rPr>
      </w:pPr>
      <w:r w:rsidRPr="00137D71">
        <w:rPr>
          <w:rFonts w:ascii="Arial" w:hAnsi="Arial" w:cs="Arial"/>
          <w:sz w:val="22"/>
          <w:szCs w:val="22"/>
        </w:rPr>
        <w:t>9.1 Tratamiento específico de determinadas situaciones en relación con la unidad familiar.</w:t>
      </w:r>
    </w:p>
    <w:p w14:paraId="47409917"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 Unidades familiares con situación de custodia compartida: se considerarán miembros de la unidad familiar únicamente: el solicitante, sus progenitores, aunque no convivan, y los hijos comunes de éstos. En caso de que sólo lo necesite uno de los </w:t>
      </w:r>
      <w:r w:rsidRPr="00137D71">
        <w:rPr>
          <w:rFonts w:ascii="Arial" w:hAnsi="Arial" w:cs="Arial"/>
          <w:sz w:val="22"/>
          <w:szCs w:val="22"/>
        </w:rPr>
        <w:lastRenderedPageBreak/>
        <w:t>progenitores/as, se podrá valorar la renta del progenitor/a solicitante y sólo le corresponderá una ayuda por los días de custodia que establezca el convenio regulador.</w:t>
      </w:r>
    </w:p>
    <w:p w14:paraId="143DDD87"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En caso de que posteriormente a la tramitación de la ayuda con un solo progenitor el otro progenitor también quiera solicitarlo, se hará una nueva valoración atendiendo al criterio inicial, de acuerdo con lo que se establece en el párrafo anterior. Esta revisión puede comportar cambiar el resultado de la ayuda obtenida con la valoración de un único progenitor. </w:t>
      </w:r>
    </w:p>
    <w:p w14:paraId="51D0A0B7" w14:textId="2468332D" w:rsidR="00137D71" w:rsidRPr="00137D71" w:rsidRDefault="00137D71" w:rsidP="00137D71">
      <w:pPr>
        <w:jc w:val="both"/>
        <w:rPr>
          <w:rFonts w:ascii="Arial" w:hAnsi="Arial" w:cs="Arial"/>
          <w:sz w:val="22"/>
          <w:szCs w:val="22"/>
        </w:rPr>
      </w:pPr>
      <w:r w:rsidRPr="00137D71">
        <w:rPr>
          <w:rFonts w:ascii="Arial" w:hAnsi="Arial" w:cs="Arial"/>
          <w:sz w:val="22"/>
          <w:szCs w:val="22"/>
        </w:rPr>
        <w:t>• Unidades familiar con situación de violencia de género En estos casos habrá que actuar atendiendo a lo que se establecen en los artículos 33, en relación a la identificación de las situaciones de violencia machista, y 48, en relación al tratamiento de ayudas escolares, de la Ley 5/2008, de 24 de abril, del derecho de las mujeres a erradicar la violencia machista. 2.5.2008).</w:t>
      </w:r>
    </w:p>
    <w:p w14:paraId="393174B7" w14:textId="77777777" w:rsidR="00137D71" w:rsidRPr="0015137D" w:rsidRDefault="00137D71" w:rsidP="00137D71">
      <w:pPr>
        <w:jc w:val="both"/>
        <w:rPr>
          <w:rFonts w:ascii="Arial" w:hAnsi="Arial" w:cs="Arial"/>
          <w:b/>
          <w:bCs/>
          <w:sz w:val="22"/>
          <w:szCs w:val="22"/>
        </w:rPr>
      </w:pPr>
      <w:r w:rsidRPr="0015137D">
        <w:rPr>
          <w:rFonts w:ascii="Arial" w:hAnsi="Arial" w:cs="Arial"/>
          <w:b/>
          <w:bCs/>
          <w:sz w:val="22"/>
          <w:szCs w:val="22"/>
        </w:rPr>
        <w:t>10. Umbrales de renta, volumen de negocio, capital mobiliario de patrimonio</w:t>
      </w:r>
    </w:p>
    <w:p w14:paraId="39575E8E"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10.1 Umbral de renta, tramo garantizado de ayuda del 50%</w:t>
      </w:r>
    </w:p>
    <w:p w14:paraId="67D351C3"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El umbral se calculará en función de los miembros computables de la unidad familiar y por la agregación de las unidades de consumo que se detallan a continuación:</w:t>
      </w:r>
    </w:p>
    <w:p w14:paraId="30F4A06C"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Primer adulto (sustentadores principales): 13.311,20 €.</w:t>
      </w:r>
    </w:p>
    <w:p w14:paraId="33BB2F5E"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Segundo adulto (sustentadores principales) y otros adultos que integran la unidad familiar: 6.665.70 €.</w:t>
      </w:r>
    </w:p>
    <w:p w14:paraId="2F1504B6"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Para cada niño/a de la unidad familiar: 3.993,40 €.</w:t>
      </w:r>
    </w:p>
    <w:p w14:paraId="649F3200"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Si la renta familiar anual, calculada de acuerdo con lo que establecen las bases, no supera este umbral, se concederá una ayuda de hasta un 50% del coste del servicio de transporte. Es necesario fijar este umbral como requisito de acceso a la convocatoria. Aquellas solicitudes que estén por encima de este umbral, constarán como denegadas. </w:t>
      </w:r>
    </w:p>
    <w:p w14:paraId="65EC57A4" w14:textId="4A4E2734" w:rsidR="00137D71" w:rsidRPr="00137D71" w:rsidRDefault="00137D71" w:rsidP="00137D71">
      <w:pPr>
        <w:jc w:val="both"/>
        <w:rPr>
          <w:rFonts w:ascii="Arial" w:hAnsi="Arial" w:cs="Arial"/>
          <w:sz w:val="22"/>
          <w:szCs w:val="22"/>
        </w:rPr>
      </w:pPr>
      <w:r w:rsidRPr="00137D71">
        <w:rPr>
          <w:rFonts w:ascii="Arial" w:hAnsi="Arial" w:cs="Arial"/>
          <w:sz w:val="22"/>
          <w:szCs w:val="22"/>
        </w:rPr>
        <w:t>10.2 Umbral de renta, tramo garantizado de ayuda del 100%:</w:t>
      </w:r>
    </w:p>
    <w:p w14:paraId="2F884591"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El umbral de renta es el 60% de lo establecido para la obtención de una ayuda del tramo garantizado del 50% y acreditar una puntuación superior o igual a 15 puntos entre los ámbitos b y c.</w:t>
      </w:r>
    </w:p>
    <w:p w14:paraId="19E19EB3"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Si la renta familiar anual, calculada de acuerdo con lo que establecen las bases, no supera este umbral y se alcanza la puntuación mínima establecida en los ámbitos sociales (b y c), se otorgará una ayuda del 100% del precio del servicio de transporte escolar colectivo.</w:t>
      </w:r>
    </w:p>
    <w:p w14:paraId="7F91F664"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10.3 Umbral de renta, tramo garantizado de ayuda del 100% para el alumnado que no tiene la puntuación social mínima:</w:t>
      </w:r>
    </w:p>
    <w:p w14:paraId="1DA65177"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El umbral de renta es el 50% de lo establecido para la obtención de una ayuda del tramo garantizado del 70%. Si la renta familiar anual, calculada de acuerdo con lo que establecen las bases no supera este umbral, se otorgará una ayuda del 100% del precio del servicio escolar colectivo.</w:t>
      </w:r>
    </w:p>
    <w:p w14:paraId="28278814" w14:textId="109014E1" w:rsidR="00137D71" w:rsidRPr="00137D71" w:rsidRDefault="00137D71" w:rsidP="00137D71">
      <w:pPr>
        <w:jc w:val="both"/>
        <w:rPr>
          <w:rFonts w:ascii="Arial" w:hAnsi="Arial" w:cs="Arial"/>
          <w:sz w:val="22"/>
          <w:szCs w:val="22"/>
        </w:rPr>
      </w:pPr>
      <w:r w:rsidRPr="00137D71">
        <w:rPr>
          <w:rFonts w:ascii="Arial" w:hAnsi="Arial" w:cs="Arial"/>
          <w:sz w:val="22"/>
          <w:szCs w:val="22"/>
        </w:rPr>
        <w:lastRenderedPageBreak/>
        <w:t>10.4 Umbral de renta, tramo garantizado de ayuda del 100% para alumnado con una discapacidad acreditada superior o igual al 33%:</w:t>
      </w:r>
    </w:p>
    <w:p w14:paraId="46B810D5"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El umbral de renta es de 2,5 veces a lo establecido para la obtención de una ayuda del tramo garantizado del 50% y acreditar una discapacidad superior o igual a 33%. Si la renta familiar anual, calculada de acuerdo con lo que establecen las bases no supera este umbral, se otorgará una ayuda del 100% del precio del servicio de transporte escolar colectivo. Esta discapacidad deberá ser acreditada mediante la correspondiente certificación del órgano competente.</w:t>
      </w:r>
    </w:p>
    <w:p w14:paraId="1E6A8662"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10.5 Umbral de volumen de negocio</w:t>
      </w:r>
    </w:p>
    <w:p w14:paraId="77B2309E"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Podrán optar a las ayudas las unidades familiares con unos ingresos de los tipos que se indican a continuación obtenidos por los miembros computables de la unidad familiar que no superen la cuantía de 155.500,00 €:</w:t>
      </w:r>
    </w:p>
    <w:p w14:paraId="0A00277F"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10.5.1 Ingresos procedentes de actividades económicas en estimación directa o en estimación objetiva.</w:t>
      </w:r>
    </w:p>
    <w:p w14:paraId="2CBA2B81" w14:textId="42F7DD9F" w:rsidR="00137D71" w:rsidRPr="00137D71" w:rsidRDefault="00137D71" w:rsidP="00137D71">
      <w:pPr>
        <w:jc w:val="both"/>
        <w:rPr>
          <w:rFonts w:ascii="Arial" w:hAnsi="Arial" w:cs="Arial"/>
          <w:sz w:val="22"/>
          <w:szCs w:val="22"/>
        </w:rPr>
      </w:pPr>
      <w:r w:rsidRPr="00137D71">
        <w:rPr>
          <w:rFonts w:ascii="Arial" w:hAnsi="Arial" w:cs="Arial"/>
          <w:sz w:val="22"/>
          <w:szCs w:val="22"/>
        </w:rPr>
        <w:t>10.5.2 Ingresos procedentes de una participación del conjunto de los miembros computables igual o superior al cincuenta por ciento en actividades económicas desarrolladas a través de entidades sin personalidad jurídica o en cualquier otra clase de entidad jurídica, una vez aplicados a los ingresos totales de las actividades el porcentaje de participación de éstas.</w:t>
      </w:r>
    </w:p>
    <w:p w14:paraId="1B934252"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10.6 Umbral de rendimientos patrimoniales</w:t>
      </w:r>
    </w:p>
    <w:p w14:paraId="7B640A25"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la vivienda habitual, la renta básica de la buena cultura y la emancipación 1.700,00€.</w:t>
      </w:r>
    </w:p>
    <w:p w14:paraId="47E62B2C"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No se tendrán en cuenta a efectos previstos en este apartado los primeros 1.500,00€ de los premios, en metálico o en especie, obtenidos por la participación en juegos, concursos, rifas o combinaciones aleatorias. Las ganancias patrimoniales derivadas de dichos premios se computarán de acuerdo con la normativa del impuesto sobre la renta de las personas físicas.</w:t>
      </w:r>
    </w:p>
    <w:p w14:paraId="64130907"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 </w:t>
      </w:r>
    </w:p>
    <w:p w14:paraId="5EDBE443" w14:textId="494E4DC6" w:rsidR="00137D71" w:rsidRPr="00137D71" w:rsidRDefault="00137D71" w:rsidP="00137D71">
      <w:pPr>
        <w:jc w:val="both"/>
        <w:rPr>
          <w:rFonts w:ascii="Arial" w:hAnsi="Arial" w:cs="Arial"/>
          <w:sz w:val="22"/>
          <w:szCs w:val="22"/>
        </w:rPr>
      </w:pPr>
      <w:r w:rsidRPr="00137D71">
        <w:rPr>
          <w:rFonts w:ascii="Arial" w:hAnsi="Arial" w:cs="Arial"/>
          <w:sz w:val="22"/>
          <w:szCs w:val="22"/>
        </w:rPr>
        <w:t>Los elementos indicativos de patrimonio se computarán de conformidad con lo dispuesto en la normativa del impuesto de la renta de las personas físicas por su valor a 31 de diciembre de 2024.</w:t>
      </w:r>
    </w:p>
    <w:p w14:paraId="7A64BBBC"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Cuando sean varios los elementos indicativos del patrimonio que dispongan los miembros computables de la familia, se calculará el porcentaje de valor de cada </w:t>
      </w:r>
      <w:r w:rsidRPr="00137D71">
        <w:rPr>
          <w:rFonts w:ascii="Arial" w:hAnsi="Arial" w:cs="Arial"/>
          <w:sz w:val="22"/>
          <w:szCs w:val="22"/>
        </w:rPr>
        <w:lastRenderedPageBreak/>
        <w:t>elemento respecto del umbral correspondiente. Se denegarán las ayudas solicitadas cuando la suma de dichos porcentajes supere el valor de cien.</w:t>
      </w:r>
    </w:p>
    <w:p w14:paraId="058310F0"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10.7 Umbral de valores catastrales de fincas urbanas</w:t>
      </w:r>
    </w:p>
    <w:p w14:paraId="1A99D2A3" w14:textId="102D818F" w:rsidR="00137D71" w:rsidRPr="00137D71" w:rsidRDefault="00137D71" w:rsidP="00137D71">
      <w:pPr>
        <w:jc w:val="both"/>
        <w:rPr>
          <w:rFonts w:ascii="Arial" w:hAnsi="Arial" w:cs="Arial"/>
          <w:sz w:val="22"/>
          <w:szCs w:val="22"/>
        </w:rPr>
      </w:pPr>
      <w:r w:rsidRPr="00137D71">
        <w:rPr>
          <w:rFonts w:ascii="Arial" w:hAnsi="Arial" w:cs="Arial"/>
          <w:sz w:val="22"/>
          <w:szCs w:val="22"/>
        </w:rPr>
        <w:t>Podrán optar a las ayudas las unidades familiares cuya suma de los valores catastrales de las fincas urbanas y de las construcciones ubicadas en fincas rústicas de los miembros computables que componen la unidad familiar, excluida la vivienda habitual, no supere los 42.900,00 euros.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coeficientes:</w:t>
      </w:r>
    </w:p>
    <w:p w14:paraId="6A44A0E5"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Por 0,43 los revisados ​​en 2003.</w:t>
      </w:r>
    </w:p>
    <w:p w14:paraId="65DD6EEB"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Por 0,37 los revisados ​​en 2004. </w:t>
      </w:r>
    </w:p>
    <w:p w14:paraId="7AF525A1"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Por 0,30 los revisados ​​en 2005. </w:t>
      </w:r>
    </w:p>
    <w:p w14:paraId="29B17FC9"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Por 0,26 los revisados ​​en 2006. </w:t>
      </w:r>
    </w:p>
    <w:p w14:paraId="198003E2"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Por 0,25 los revisados ​​en 2007. </w:t>
      </w:r>
    </w:p>
    <w:p w14:paraId="5F21C1FA"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Por 0,25 los revisados ​​en 2008. </w:t>
      </w:r>
    </w:p>
    <w:p w14:paraId="7088962D" w14:textId="77777777" w:rsidR="0015137D"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Por 0,26 los revisados ​​en 2009. </w:t>
      </w:r>
    </w:p>
    <w:p w14:paraId="78442790" w14:textId="69AEC355" w:rsidR="0015137D"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Por 0,28 los revisados ​​en 2010 </w:t>
      </w:r>
    </w:p>
    <w:p w14:paraId="2D1B7B99" w14:textId="0CB78A5F"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Por 0,30 los revisados ​​en 2011.</w:t>
      </w:r>
    </w:p>
    <w:p w14:paraId="12616604"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Por 0,32 los revisados ​​en 2012.</w:t>
      </w:r>
    </w:p>
    <w:p w14:paraId="3D935B3B"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Por 0,34 los revisados ​​en 2013.</w:t>
      </w:r>
    </w:p>
    <w:p w14:paraId="591FAD9D" w14:textId="77777777"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Por 0,36 los revistados entre 2014 y 2021, ambos incluidos</w:t>
      </w:r>
    </w:p>
    <w:p w14:paraId="0EAE091C" w14:textId="77777777" w:rsidR="0015137D"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Por 0,35 los revisados ​​en 2022 </w:t>
      </w:r>
    </w:p>
    <w:p w14:paraId="7AC2E773" w14:textId="22360D6E" w:rsidR="0015137D" w:rsidRDefault="00137D71" w:rsidP="0015137D">
      <w:pPr>
        <w:spacing w:after="0" w:line="240" w:lineRule="auto"/>
        <w:jc w:val="both"/>
        <w:rPr>
          <w:rFonts w:ascii="Arial" w:hAnsi="Arial" w:cs="Arial"/>
          <w:sz w:val="22"/>
          <w:szCs w:val="22"/>
        </w:rPr>
      </w:pPr>
      <w:r w:rsidRPr="00137D71">
        <w:rPr>
          <w:rFonts w:ascii="Arial" w:hAnsi="Arial" w:cs="Arial"/>
          <w:sz w:val="22"/>
          <w:szCs w:val="22"/>
        </w:rPr>
        <w:t xml:space="preserve">Por 0,34 los revisados ​​en 2023 </w:t>
      </w:r>
    </w:p>
    <w:p w14:paraId="2F544F4E" w14:textId="42F637AE" w:rsidR="00137D71" w:rsidRPr="00137D71" w:rsidRDefault="00137D71" w:rsidP="0015137D">
      <w:pPr>
        <w:spacing w:after="0" w:line="240" w:lineRule="auto"/>
        <w:jc w:val="both"/>
        <w:rPr>
          <w:rFonts w:ascii="Arial" w:hAnsi="Arial" w:cs="Arial"/>
          <w:sz w:val="22"/>
          <w:szCs w:val="22"/>
        </w:rPr>
      </w:pPr>
      <w:r w:rsidRPr="00137D71">
        <w:rPr>
          <w:rFonts w:ascii="Arial" w:hAnsi="Arial" w:cs="Arial"/>
          <w:sz w:val="22"/>
          <w:szCs w:val="22"/>
        </w:rPr>
        <w:t>Por 0,33 los revisados ​​en 2024</w:t>
      </w:r>
    </w:p>
    <w:p w14:paraId="5073330F" w14:textId="77777777" w:rsidR="00137D71" w:rsidRPr="00137D71" w:rsidRDefault="00137D71" w:rsidP="00137D71">
      <w:pPr>
        <w:jc w:val="both"/>
        <w:rPr>
          <w:rFonts w:ascii="Arial" w:hAnsi="Arial" w:cs="Arial"/>
          <w:sz w:val="22"/>
          <w:szCs w:val="22"/>
        </w:rPr>
      </w:pPr>
    </w:p>
    <w:p w14:paraId="6E7AAA7A"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10.8 Umbral de valores catastrales de fincas rústicas</w:t>
      </w:r>
    </w:p>
    <w:p w14:paraId="153D6C4B" w14:textId="72EAF6F7" w:rsidR="00137D71" w:rsidRPr="00137D71" w:rsidRDefault="00137D71" w:rsidP="00137D71">
      <w:pPr>
        <w:jc w:val="both"/>
        <w:rPr>
          <w:rFonts w:ascii="Arial" w:hAnsi="Arial" w:cs="Arial"/>
          <w:sz w:val="22"/>
          <w:szCs w:val="22"/>
        </w:rPr>
      </w:pPr>
      <w:r w:rsidRPr="00137D71">
        <w:rPr>
          <w:rFonts w:ascii="Arial" w:hAnsi="Arial" w:cs="Arial"/>
          <w:sz w:val="22"/>
          <w:szCs w:val="22"/>
        </w:rPr>
        <w:t>Podrán optar a las ayudas las unidades familiares en las que la suma de los valores catastrales de las fincas rústicas, excluida la vivienda habitual, que pertenezcan a los miembros computables de la unidad familiar no supere la cantidad de 13.130,00 euros por cada miembro computable.</w:t>
      </w:r>
    </w:p>
    <w:p w14:paraId="4A8FDC78"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A efectos del cómputo del valor de los elementos patrimoniales y valores catastrales a que se refieren los apartados anteriores, se determinará de conformidad con lo dispuesto en la normativa aplicable del Impuesto sobre la Renta de las Personas Físicas por su valor a 31 de diciembre de 2024 y se deducirá el 50 por ciento del valor de los que pertenezcan a cualquier miembro.</w:t>
      </w:r>
    </w:p>
    <w:p w14:paraId="0C09C841" w14:textId="77777777" w:rsidR="00137D71" w:rsidRPr="0015137D" w:rsidRDefault="00137D71" w:rsidP="00137D71">
      <w:pPr>
        <w:jc w:val="both"/>
        <w:rPr>
          <w:rFonts w:ascii="Arial" w:hAnsi="Arial" w:cs="Arial"/>
          <w:b/>
          <w:bCs/>
          <w:sz w:val="22"/>
          <w:szCs w:val="22"/>
        </w:rPr>
      </w:pPr>
      <w:r w:rsidRPr="0015137D">
        <w:rPr>
          <w:rFonts w:ascii="Arial" w:hAnsi="Arial" w:cs="Arial"/>
          <w:b/>
          <w:bCs/>
          <w:sz w:val="22"/>
          <w:szCs w:val="22"/>
        </w:rPr>
        <w:t>11. Cuantía y pago de las ayudas</w:t>
      </w:r>
    </w:p>
    <w:p w14:paraId="6E54253A"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11.1 De forma general, se otorgarán ayudas del 50% del coste del transporte a los alumnos que cumplan los requisitos establecidos.</w:t>
      </w:r>
    </w:p>
    <w:p w14:paraId="2D250414"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11.2 En situaciones sociales/económicas bien acreditadas documentalmente, la cuantía de la ayuda puede llegar al 100% de su coste, según los umbrales establecidos en los artículos 10.2, 10.3 y 10.4.</w:t>
      </w:r>
    </w:p>
    <w:p w14:paraId="215A8871" w14:textId="001A3D39" w:rsidR="00137D71" w:rsidRPr="00137D71" w:rsidRDefault="00137D71" w:rsidP="00137D71">
      <w:pPr>
        <w:jc w:val="both"/>
        <w:rPr>
          <w:rFonts w:ascii="Arial" w:hAnsi="Arial" w:cs="Arial"/>
          <w:sz w:val="22"/>
          <w:szCs w:val="22"/>
        </w:rPr>
      </w:pPr>
      <w:r w:rsidRPr="00137D71">
        <w:rPr>
          <w:rFonts w:ascii="Arial" w:hAnsi="Arial" w:cs="Arial"/>
          <w:sz w:val="22"/>
          <w:szCs w:val="22"/>
        </w:rPr>
        <w:lastRenderedPageBreak/>
        <w:t>11.3 El pago de las ayudas se realizará automáticamente mediante compensación con el recibo trimestral de cada beneficiario.</w:t>
      </w:r>
    </w:p>
    <w:p w14:paraId="370DB916" w14:textId="77777777" w:rsidR="00137D71" w:rsidRPr="0015137D" w:rsidRDefault="00137D71" w:rsidP="00137D71">
      <w:pPr>
        <w:jc w:val="both"/>
        <w:rPr>
          <w:rFonts w:ascii="Arial" w:hAnsi="Arial" w:cs="Arial"/>
          <w:b/>
          <w:bCs/>
          <w:sz w:val="22"/>
          <w:szCs w:val="22"/>
        </w:rPr>
      </w:pPr>
      <w:r w:rsidRPr="0015137D">
        <w:rPr>
          <w:rFonts w:ascii="Arial" w:hAnsi="Arial" w:cs="Arial"/>
          <w:b/>
          <w:bCs/>
          <w:sz w:val="22"/>
          <w:szCs w:val="22"/>
        </w:rPr>
        <w:t>12. Motivos de denegación</w:t>
      </w:r>
    </w:p>
    <w:p w14:paraId="34DB51F8"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Superar cualquiera de los umbrales económicos de concesión.</w:t>
      </w:r>
    </w:p>
    <w:p w14:paraId="5CE470A2"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Solicitud no ajustada a las bases de la convocatoria.</w:t>
      </w:r>
    </w:p>
    <w:p w14:paraId="20C903F7" w14:textId="77777777" w:rsidR="00137D71" w:rsidRPr="0015137D" w:rsidRDefault="00137D71" w:rsidP="00137D71">
      <w:pPr>
        <w:jc w:val="both"/>
        <w:rPr>
          <w:rFonts w:ascii="Arial" w:hAnsi="Arial" w:cs="Arial"/>
          <w:b/>
          <w:bCs/>
          <w:sz w:val="22"/>
          <w:szCs w:val="22"/>
        </w:rPr>
      </w:pPr>
      <w:r w:rsidRPr="0015137D">
        <w:rPr>
          <w:rFonts w:ascii="Arial" w:hAnsi="Arial" w:cs="Arial"/>
          <w:b/>
          <w:bCs/>
          <w:sz w:val="22"/>
          <w:szCs w:val="22"/>
        </w:rPr>
        <w:t>13. Concesión de las ayudas</w:t>
      </w:r>
    </w:p>
    <w:p w14:paraId="5AA9E775" w14:textId="24C2EF05"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La presidencia del </w:t>
      </w:r>
      <w:r w:rsidR="00EB40A8">
        <w:rPr>
          <w:rFonts w:ascii="Arial" w:hAnsi="Arial" w:cs="Arial"/>
          <w:sz w:val="22"/>
          <w:szCs w:val="22"/>
        </w:rPr>
        <w:t xml:space="preserve">Consell </w:t>
      </w:r>
      <w:r w:rsidR="0015137D">
        <w:rPr>
          <w:rFonts w:ascii="Arial" w:hAnsi="Arial" w:cs="Arial"/>
          <w:sz w:val="22"/>
          <w:szCs w:val="22"/>
        </w:rPr>
        <w:t>Comarcal de</w:t>
      </w:r>
      <w:r w:rsidR="00EB40A8">
        <w:rPr>
          <w:rFonts w:ascii="Arial" w:hAnsi="Arial" w:cs="Arial"/>
          <w:sz w:val="22"/>
          <w:szCs w:val="22"/>
        </w:rPr>
        <w:t xml:space="preserve"> la Selva</w:t>
      </w:r>
      <w:r w:rsidR="0015137D">
        <w:rPr>
          <w:rFonts w:ascii="Arial" w:hAnsi="Arial" w:cs="Arial"/>
          <w:sz w:val="22"/>
          <w:szCs w:val="22"/>
        </w:rPr>
        <w:t xml:space="preserve"> </w:t>
      </w:r>
      <w:r w:rsidRPr="00137D71">
        <w:rPr>
          <w:rFonts w:ascii="Arial" w:hAnsi="Arial" w:cs="Arial"/>
          <w:sz w:val="22"/>
          <w:szCs w:val="22"/>
        </w:rPr>
        <w:t>tiene la facultad de resolver esta convocatoria, previo informe del área de Educación del ente, que presentará una propuesta de concesión de las ayudas, de acuerdo con los baremos de esta convocatoria. La Resolución de Presidencia resolverá las solicitudes otorgadas con especificación del tramo de ayuda y las denegadas con la motivación correspondiente.</w:t>
      </w:r>
    </w:p>
    <w:p w14:paraId="113D5542" w14:textId="6E2D44F9"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Antes de que transcurran quince días desde la fecha de elevación de la propuesta de resolución, la presidencia del </w:t>
      </w:r>
      <w:r w:rsidR="00EB40A8">
        <w:rPr>
          <w:rFonts w:ascii="Arial" w:hAnsi="Arial" w:cs="Arial"/>
          <w:sz w:val="22"/>
          <w:szCs w:val="22"/>
        </w:rPr>
        <w:t xml:space="preserve">Consell Comarcal </w:t>
      </w:r>
      <w:r w:rsidRPr="00137D71">
        <w:rPr>
          <w:rFonts w:ascii="Arial" w:hAnsi="Arial" w:cs="Arial"/>
          <w:sz w:val="22"/>
          <w:szCs w:val="22"/>
        </w:rPr>
        <w:t>dictará resolución definitiva de otorgamiento de las citadas ayudas.</w:t>
      </w:r>
    </w:p>
    <w:p w14:paraId="761E99C5" w14:textId="1D1CD85E"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La resolución del otorgamiento o denegación de la ayuda, que pondrá fin a la vía administrativa, será publicada en la sede electrónica del </w:t>
      </w:r>
      <w:r w:rsidR="00EB40A8">
        <w:rPr>
          <w:rFonts w:ascii="Arial" w:hAnsi="Arial" w:cs="Arial"/>
          <w:sz w:val="22"/>
          <w:szCs w:val="22"/>
        </w:rPr>
        <w:t xml:space="preserve">Consell Comarcal </w:t>
      </w:r>
      <w:r w:rsidRPr="00137D71">
        <w:rPr>
          <w:rFonts w:ascii="Arial" w:hAnsi="Arial" w:cs="Arial"/>
          <w:sz w:val="22"/>
          <w:szCs w:val="22"/>
        </w:rPr>
        <w:t>e informada en los correos electrónicos y/o teléfonos móviles facilitados por los peticionarios. Ésta sustituirá a la notificación individualizada, de conformidad con lo dispuesto en el artículo 45.1.b) de la Ley 30/2015, de 1 de octubre, Procedimiento Administrativo Común de las Administraciones Públicas.</w:t>
      </w:r>
    </w:p>
    <w:p w14:paraId="0EFE1AC6"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Los beneficiarios de las ayudas quedan obligadas a facilitar la información requerida por los órganos de control de la Administración. </w:t>
      </w:r>
    </w:p>
    <w:p w14:paraId="4555C950" w14:textId="77777777" w:rsidR="00137D71" w:rsidRPr="0015137D" w:rsidRDefault="00137D71" w:rsidP="00137D71">
      <w:pPr>
        <w:jc w:val="both"/>
        <w:rPr>
          <w:rFonts w:ascii="Arial" w:hAnsi="Arial" w:cs="Arial"/>
          <w:b/>
          <w:bCs/>
          <w:sz w:val="22"/>
          <w:szCs w:val="22"/>
        </w:rPr>
      </w:pPr>
      <w:r w:rsidRPr="0015137D">
        <w:rPr>
          <w:rFonts w:ascii="Arial" w:hAnsi="Arial" w:cs="Arial"/>
          <w:b/>
          <w:bCs/>
          <w:sz w:val="22"/>
          <w:szCs w:val="22"/>
        </w:rPr>
        <w:t>14. Propuesta de resolución provisional, resolución definitiva, plazos y notificación</w:t>
      </w:r>
    </w:p>
    <w:p w14:paraId="0718E26D" w14:textId="45FC22EB"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Una vez evaluadas las solicitudes, por el órgano instructor se formulará la propuesta de resolución provisional, debidamente motivada, que será publicada en el tablón de anuncios del </w:t>
      </w:r>
      <w:r w:rsidR="00EB40A8">
        <w:rPr>
          <w:rFonts w:ascii="Arial" w:hAnsi="Arial" w:cs="Arial"/>
          <w:sz w:val="22"/>
          <w:szCs w:val="22"/>
        </w:rPr>
        <w:t xml:space="preserve">Consell </w:t>
      </w:r>
      <w:r w:rsidR="0015137D">
        <w:rPr>
          <w:rFonts w:ascii="Arial" w:hAnsi="Arial" w:cs="Arial"/>
          <w:sz w:val="22"/>
          <w:szCs w:val="22"/>
        </w:rPr>
        <w:t>Comarcal de</w:t>
      </w:r>
      <w:r w:rsidR="00EB40A8">
        <w:rPr>
          <w:rFonts w:ascii="Arial" w:hAnsi="Arial" w:cs="Arial"/>
          <w:sz w:val="22"/>
          <w:szCs w:val="22"/>
        </w:rPr>
        <w:t xml:space="preserve"> la Selva</w:t>
      </w:r>
      <w:r w:rsidR="0015137D">
        <w:rPr>
          <w:rFonts w:ascii="Arial" w:hAnsi="Arial" w:cs="Arial"/>
          <w:sz w:val="22"/>
          <w:szCs w:val="22"/>
        </w:rPr>
        <w:t xml:space="preserve"> </w:t>
      </w:r>
      <w:r w:rsidRPr="00137D71">
        <w:rPr>
          <w:rFonts w:ascii="Arial" w:hAnsi="Arial" w:cs="Arial"/>
          <w:sz w:val="22"/>
          <w:szCs w:val="22"/>
        </w:rPr>
        <w:t xml:space="preserve">concediendo un plazo de 10 días para presentar alegaciones. </w:t>
      </w:r>
    </w:p>
    <w:p w14:paraId="0DBC3EF9" w14:textId="60B31356" w:rsidR="00137D71" w:rsidRPr="00137D71" w:rsidRDefault="00137D71" w:rsidP="00137D71">
      <w:pPr>
        <w:jc w:val="both"/>
        <w:rPr>
          <w:rFonts w:ascii="Arial" w:hAnsi="Arial" w:cs="Arial"/>
          <w:sz w:val="22"/>
          <w:szCs w:val="22"/>
        </w:rPr>
      </w:pPr>
      <w:r w:rsidRPr="00137D71">
        <w:rPr>
          <w:rFonts w:ascii="Arial" w:hAnsi="Arial" w:cs="Arial"/>
          <w:sz w:val="22"/>
          <w:szCs w:val="22"/>
        </w:rPr>
        <w:t>Se podrá prescindir del trámite de audiencia cuando no figuren en procedimiento ni sean tenidos en cuenta otros hechos ni otras alegaciones y las pruebas que las aducidas por los interesados. En tal caso, la propuesta de resolución formulada tendrá el carácter de definitiva.</w:t>
      </w:r>
    </w:p>
    <w:p w14:paraId="6DD58AC4"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Tras examinar las alegaciones si las hubiere, se formulará la propuesta de resolución definitiva, que deberá expresar el solicitante o la relación de solicitantes por los que se propone la concesión de la subvención, y su cuantía, especificando su evaluación y los criterios de valoración seguidos para efectuarla.</w:t>
      </w:r>
    </w:p>
    <w:p w14:paraId="343969CE"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Una vez aprobada la propuesta de resolución definitiva, el órgano competente resolverá el procedimiento. La resolución, además de contener al solicitante o la relación de solicitantes a los que se concede la subvención, hará constar, en su caso, de forma expresa, la desestimación del resto de las solicitudes.</w:t>
      </w:r>
    </w:p>
    <w:p w14:paraId="17CA40C1" w14:textId="199CCD32" w:rsidR="00137D71" w:rsidRPr="00137D71" w:rsidRDefault="00137D71" w:rsidP="00137D71">
      <w:pPr>
        <w:jc w:val="both"/>
        <w:rPr>
          <w:rFonts w:ascii="Arial" w:hAnsi="Arial" w:cs="Arial"/>
          <w:sz w:val="22"/>
          <w:szCs w:val="22"/>
        </w:rPr>
      </w:pPr>
      <w:r w:rsidRPr="00137D71">
        <w:rPr>
          <w:rFonts w:ascii="Arial" w:hAnsi="Arial" w:cs="Arial"/>
          <w:sz w:val="22"/>
          <w:szCs w:val="22"/>
        </w:rPr>
        <w:lastRenderedPageBreak/>
        <w:t>Una vez comunicada la concesión de la ayuda, si en el plazo de un mes no se manifiesta lo contrario, se entenderá aceptada la subvención, así como las condiciones generales y específicas fijadas para su aplicación.</w:t>
      </w:r>
    </w:p>
    <w:p w14:paraId="18D30753"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El plazo de resolución y notificación será de tres meses. </w:t>
      </w:r>
    </w:p>
    <w:p w14:paraId="72CCC45B"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El vencimiento del plazo máximo sin haberse notificado la resolución legitima a los interesados ​​para entender desestimada por silencio administrativo la solicitud de concesión de la subvención.</w:t>
      </w:r>
    </w:p>
    <w:p w14:paraId="3495C2A8" w14:textId="77777777" w:rsidR="00137D71" w:rsidRPr="0015137D" w:rsidRDefault="00137D71" w:rsidP="00137D71">
      <w:pPr>
        <w:jc w:val="both"/>
        <w:rPr>
          <w:rFonts w:ascii="Arial" w:hAnsi="Arial" w:cs="Arial"/>
          <w:b/>
          <w:bCs/>
          <w:sz w:val="22"/>
          <w:szCs w:val="22"/>
        </w:rPr>
      </w:pPr>
      <w:r w:rsidRPr="0015137D">
        <w:rPr>
          <w:rFonts w:ascii="Arial" w:hAnsi="Arial" w:cs="Arial"/>
          <w:b/>
          <w:bCs/>
          <w:sz w:val="22"/>
          <w:szCs w:val="22"/>
        </w:rPr>
        <w:t>15. Reformulación de solicitudes</w:t>
      </w:r>
    </w:p>
    <w:p w14:paraId="70597A93"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Cuando la subvención tenga por objeto el resarcimiento de gastos efectuados por el solicitante y el importe de la subvención de la propuesta de resolución provisional sea inferior al que figura en la solicitud presentada, se podrá instar del beneficiario a la reformulación de su solicitud para ajustar los compromisos y las condiciones a la subvención otorgable.</w:t>
      </w:r>
    </w:p>
    <w:p w14:paraId="423752C3" w14:textId="33C0478C" w:rsidR="00137D71" w:rsidRPr="00137D71" w:rsidRDefault="00137D71" w:rsidP="00137D71">
      <w:pPr>
        <w:jc w:val="both"/>
        <w:rPr>
          <w:rFonts w:ascii="Arial" w:hAnsi="Arial" w:cs="Arial"/>
          <w:sz w:val="22"/>
          <w:szCs w:val="22"/>
        </w:rPr>
      </w:pPr>
      <w:r w:rsidRPr="00137D71">
        <w:rPr>
          <w:rFonts w:ascii="Arial" w:hAnsi="Arial" w:cs="Arial"/>
          <w:sz w:val="22"/>
          <w:szCs w:val="22"/>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00F0CBD6" w14:textId="77777777" w:rsidR="00137D71" w:rsidRPr="0015137D" w:rsidRDefault="00137D71" w:rsidP="00137D71">
      <w:pPr>
        <w:jc w:val="both"/>
        <w:rPr>
          <w:rFonts w:ascii="Arial" w:hAnsi="Arial" w:cs="Arial"/>
          <w:b/>
          <w:bCs/>
          <w:sz w:val="22"/>
          <w:szCs w:val="22"/>
        </w:rPr>
      </w:pPr>
      <w:r w:rsidRPr="0015137D">
        <w:rPr>
          <w:rFonts w:ascii="Arial" w:hAnsi="Arial" w:cs="Arial"/>
          <w:b/>
          <w:bCs/>
          <w:sz w:val="22"/>
          <w:szCs w:val="22"/>
        </w:rPr>
        <w:t>16. Fin de la vía administrativa</w:t>
      </w:r>
    </w:p>
    <w:p w14:paraId="30C89168"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 xml:space="preserve">El acto de resolución de la subvención agota la vía administrativa. </w:t>
      </w:r>
    </w:p>
    <w:p w14:paraId="197F1342" w14:textId="77777777" w:rsidR="00137D71" w:rsidRPr="00137D71" w:rsidRDefault="00137D71" w:rsidP="00137D71">
      <w:pPr>
        <w:jc w:val="both"/>
        <w:rPr>
          <w:rFonts w:ascii="Arial" w:hAnsi="Arial" w:cs="Arial"/>
          <w:sz w:val="22"/>
          <w:szCs w:val="22"/>
        </w:rPr>
      </w:pPr>
      <w:r w:rsidRPr="00137D71">
        <w:rPr>
          <w:rFonts w:ascii="Arial" w:hAnsi="Arial" w:cs="Arial"/>
          <w:sz w:val="22"/>
          <w:szCs w:val="22"/>
        </w:rPr>
        <w:t>De acuerdo con lo que disponen los artículos 123 y 124 de la Ley 39/2015, de 1 de octubre, del Procedimiento Administrativo Común de las Administraciones Públicas, contra esta resolución podrá interponerse recurso potestativo de reposición ante el Alcalde de este Ayuntamiento, en el término de un mes a contar desde el día siguiente Juzgado de lo Contencioso-Administrativo de Girona, en el plazo de dos meses, a contar desde el día siguiente al de la recepción de la notificación, de conformidad con el artículo 46 de la Ley 29/1998, de 13 de julio, de la Jurisdicción Contencioso-Administrativa.</w:t>
      </w:r>
    </w:p>
    <w:p w14:paraId="3B128D1A" w14:textId="77777777" w:rsidR="00137D71" w:rsidRPr="0015137D" w:rsidRDefault="00137D71" w:rsidP="00137D71">
      <w:pPr>
        <w:jc w:val="both"/>
        <w:rPr>
          <w:rFonts w:ascii="Arial" w:hAnsi="Arial" w:cs="Arial"/>
          <w:b/>
          <w:bCs/>
          <w:sz w:val="22"/>
          <w:szCs w:val="22"/>
        </w:rPr>
      </w:pPr>
      <w:r w:rsidRPr="0015137D">
        <w:rPr>
          <w:rFonts w:ascii="Arial" w:hAnsi="Arial" w:cs="Arial"/>
          <w:b/>
          <w:bCs/>
          <w:sz w:val="22"/>
          <w:szCs w:val="22"/>
        </w:rPr>
        <w:t>17. Medios de notificación o publicación</w:t>
      </w:r>
    </w:p>
    <w:p w14:paraId="0B6366AB" w14:textId="51BBF087" w:rsidR="00137D71" w:rsidRPr="00137D71" w:rsidRDefault="00137D71" w:rsidP="00137D71">
      <w:pPr>
        <w:jc w:val="both"/>
        <w:rPr>
          <w:rFonts w:ascii="Arial" w:hAnsi="Arial" w:cs="Arial"/>
          <w:sz w:val="22"/>
          <w:szCs w:val="22"/>
        </w:rPr>
      </w:pPr>
      <w:r w:rsidRPr="00137D71">
        <w:rPr>
          <w:rFonts w:ascii="Arial" w:hAnsi="Arial" w:cs="Arial"/>
          <w:sz w:val="22"/>
          <w:szCs w:val="22"/>
        </w:rPr>
        <w:t>Las notificaciones se practicarán en el lugar y por el medio que el solicitante haga constar al efecto en la solicitud, teniendo en cuenta lo fijado a estos efectos en el artículo 41 de la Ley 39/2015, de 1 de octubre, del Procedimiento Administrativo Común de las Administraciones Públicas.</w:t>
      </w:r>
    </w:p>
    <w:sectPr w:rsidR="00137D71" w:rsidRPr="00137D7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4BA"/>
    <w:multiLevelType w:val="hybridMultilevel"/>
    <w:tmpl w:val="FE6291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B42BC8"/>
    <w:multiLevelType w:val="hybridMultilevel"/>
    <w:tmpl w:val="8410E688"/>
    <w:lvl w:ilvl="0" w:tplc="ECD447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2447B0"/>
    <w:multiLevelType w:val="hybridMultilevel"/>
    <w:tmpl w:val="C0B46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3B768BC"/>
    <w:multiLevelType w:val="hybridMultilevel"/>
    <w:tmpl w:val="643CD192"/>
    <w:lvl w:ilvl="0" w:tplc="4A7608C8">
      <w:start w:val="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D940B53"/>
    <w:multiLevelType w:val="hybridMultilevel"/>
    <w:tmpl w:val="595A4620"/>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50D65CED"/>
    <w:multiLevelType w:val="hybridMultilevel"/>
    <w:tmpl w:val="6DC46682"/>
    <w:lvl w:ilvl="0" w:tplc="ECD447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B256311"/>
    <w:multiLevelType w:val="hybridMultilevel"/>
    <w:tmpl w:val="97CA8FB2"/>
    <w:lvl w:ilvl="0" w:tplc="ECD447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BCF4B8E"/>
    <w:multiLevelType w:val="hybridMultilevel"/>
    <w:tmpl w:val="BD2CDB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C4E614C"/>
    <w:multiLevelType w:val="hybridMultilevel"/>
    <w:tmpl w:val="D9A4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B131063"/>
    <w:multiLevelType w:val="hybridMultilevel"/>
    <w:tmpl w:val="D5E671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27717B5"/>
    <w:multiLevelType w:val="hybridMultilevel"/>
    <w:tmpl w:val="78D04E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6403C36"/>
    <w:multiLevelType w:val="multilevel"/>
    <w:tmpl w:val="313067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10404671">
    <w:abstractNumId w:val="10"/>
  </w:num>
  <w:num w:numId="2" w16cid:durableId="354698909">
    <w:abstractNumId w:val="4"/>
  </w:num>
  <w:num w:numId="3" w16cid:durableId="1489591949">
    <w:abstractNumId w:val="2"/>
  </w:num>
  <w:num w:numId="4" w16cid:durableId="733430065">
    <w:abstractNumId w:val="3"/>
  </w:num>
  <w:num w:numId="5" w16cid:durableId="730730964">
    <w:abstractNumId w:val="11"/>
  </w:num>
  <w:num w:numId="6" w16cid:durableId="989556856">
    <w:abstractNumId w:val="0"/>
  </w:num>
  <w:num w:numId="7" w16cid:durableId="1823737451">
    <w:abstractNumId w:val="8"/>
  </w:num>
  <w:num w:numId="8" w16cid:durableId="1251542991">
    <w:abstractNumId w:val="5"/>
  </w:num>
  <w:num w:numId="9" w16cid:durableId="931548628">
    <w:abstractNumId w:val="1"/>
  </w:num>
  <w:num w:numId="10" w16cid:durableId="1913195572">
    <w:abstractNumId w:val="6"/>
  </w:num>
  <w:num w:numId="11" w16cid:durableId="28185729">
    <w:abstractNumId w:val="7"/>
  </w:num>
  <w:num w:numId="12" w16cid:durableId="9867101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1BF"/>
    <w:rsid w:val="00137D71"/>
    <w:rsid w:val="0015137D"/>
    <w:rsid w:val="006F51BF"/>
    <w:rsid w:val="00EB40A8"/>
    <w:rsid w:val="00F728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055B1"/>
  <w15:chartTrackingRefBased/>
  <w15:docId w15:val="{AE039BF8-FECB-4D18-A098-E2F5785E4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F51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F51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F51B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F51B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F51B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F51B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F51B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F51B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F51B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F51B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F51B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F51B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F51B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F51B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F51B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F51B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F51B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F51BF"/>
    <w:rPr>
      <w:rFonts w:eastAsiaTheme="majorEastAsia" w:cstheme="majorBidi"/>
      <w:color w:val="272727" w:themeColor="text1" w:themeTint="D8"/>
    </w:rPr>
  </w:style>
  <w:style w:type="paragraph" w:styleId="Ttulo">
    <w:name w:val="Title"/>
    <w:basedOn w:val="Normal"/>
    <w:next w:val="Normal"/>
    <w:link w:val="TtuloCar"/>
    <w:uiPriority w:val="10"/>
    <w:qFormat/>
    <w:rsid w:val="006F5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F51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F51B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F51B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F51BF"/>
    <w:pPr>
      <w:spacing w:before="160"/>
      <w:jc w:val="center"/>
    </w:pPr>
    <w:rPr>
      <w:i/>
      <w:iCs/>
      <w:color w:val="404040" w:themeColor="text1" w:themeTint="BF"/>
    </w:rPr>
  </w:style>
  <w:style w:type="character" w:customStyle="1" w:styleId="CitaCar">
    <w:name w:val="Cita Car"/>
    <w:basedOn w:val="Fuentedeprrafopredeter"/>
    <w:link w:val="Cita"/>
    <w:uiPriority w:val="29"/>
    <w:rsid w:val="006F51BF"/>
    <w:rPr>
      <w:i/>
      <w:iCs/>
      <w:color w:val="404040" w:themeColor="text1" w:themeTint="BF"/>
    </w:rPr>
  </w:style>
  <w:style w:type="paragraph" w:styleId="Prrafodelista">
    <w:name w:val="List Paragraph"/>
    <w:basedOn w:val="Normal"/>
    <w:uiPriority w:val="34"/>
    <w:qFormat/>
    <w:rsid w:val="006F51BF"/>
    <w:pPr>
      <w:ind w:left="720"/>
      <w:contextualSpacing/>
    </w:pPr>
  </w:style>
  <w:style w:type="character" w:styleId="nfasisintenso">
    <w:name w:val="Intense Emphasis"/>
    <w:basedOn w:val="Fuentedeprrafopredeter"/>
    <w:uiPriority w:val="21"/>
    <w:qFormat/>
    <w:rsid w:val="006F51BF"/>
    <w:rPr>
      <w:i/>
      <w:iCs/>
      <w:color w:val="2F5496" w:themeColor="accent1" w:themeShade="BF"/>
    </w:rPr>
  </w:style>
  <w:style w:type="paragraph" w:styleId="Citadestacada">
    <w:name w:val="Intense Quote"/>
    <w:basedOn w:val="Normal"/>
    <w:next w:val="Normal"/>
    <w:link w:val="CitadestacadaCar"/>
    <w:uiPriority w:val="30"/>
    <w:qFormat/>
    <w:rsid w:val="006F51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F51BF"/>
    <w:rPr>
      <w:i/>
      <w:iCs/>
      <w:color w:val="2F5496" w:themeColor="accent1" w:themeShade="BF"/>
    </w:rPr>
  </w:style>
  <w:style w:type="character" w:styleId="Referenciaintensa">
    <w:name w:val="Intense Reference"/>
    <w:basedOn w:val="Fuentedeprrafopredeter"/>
    <w:uiPriority w:val="32"/>
    <w:qFormat/>
    <w:rsid w:val="006F51BF"/>
    <w:rPr>
      <w:b/>
      <w:bCs/>
      <w:smallCaps/>
      <w:color w:val="2F5496" w:themeColor="accent1" w:themeShade="BF"/>
      <w:spacing w:val="5"/>
    </w:rPr>
  </w:style>
  <w:style w:type="table" w:customStyle="1" w:styleId="TableGrid">
    <w:name w:val="TableGrid"/>
    <w:rsid w:val="006F51BF"/>
    <w:pPr>
      <w:spacing w:after="0" w:line="240" w:lineRule="auto"/>
    </w:pPr>
    <w:rPr>
      <w:rFonts w:eastAsiaTheme="minorEastAsia"/>
      <w:lang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12</Pages>
  <Words>4862</Words>
  <Characters>26741</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dc:description/>
  <cp:lastModifiedBy>Pilar Valls</cp:lastModifiedBy>
  <cp:revision>1</cp:revision>
  <dcterms:created xsi:type="dcterms:W3CDTF">2025-04-08T07:16:00Z</dcterms:created>
  <dcterms:modified xsi:type="dcterms:W3CDTF">2025-04-08T07:59:00Z</dcterms:modified>
</cp:coreProperties>
</file>