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C4D53" w14:textId="77777777" w:rsidR="004A35DD" w:rsidRPr="004A35DD" w:rsidRDefault="004A35DD" w:rsidP="00D404E7">
      <w:pPr>
        <w:spacing w:after="596" w:line="265" w:lineRule="auto"/>
        <w:ind w:left="10" w:hanging="10"/>
        <w:jc w:val="both"/>
        <w:rPr>
          <w:rFonts w:ascii="Arial" w:eastAsia="Arial" w:hAnsi="Arial" w:cs="Arial"/>
          <w:color w:val="000000"/>
          <w:sz w:val="22"/>
          <w:lang w:val="ca-ES" w:eastAsia="es-ES"/>
        </w:rPr>
      </w:pPr>
      <w:r w:rsidRPr="004A35DD">
        <w:rPr>
          <w:rFonts w:ascii="Arial" w:eastAsia="Arial" w:hAnsi="Arial" w:cs="Arial"/>
          <w:b/>
          <w:color w:val="000000"/>
          <w:sz w:val="22"/>
          <w:lang w:val="ca-ES" w:eastAsia="es-ES"/>
        </w:rPr>
        <w:t>CONVOCATÒRIA ESPECÍFICA DE SUBVENCIONS DESTINADES A AJUTS INDIVIDUALS DE MENJADOR ESCOLAR PER A NECESSITATS SOCIOECONÒMIQUES I GEOGRÀFIQUES PER AL CURS 2025/2026</w:t>
      </w:r>
    </w:p>
    <w:p w14:paraId="4CFF2E3C"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1. Bases reguladores</w:t>
      </w:r>
    </w:p>
    <w:p w14:paraId="749D9FC4"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Aquestes subvencions es regiran per allò fixat en la present convocatòria i per les bases reguladores de la mateixa.</w:t>
      </w:r>
    </w:p>
    <w:p w14:paraId="5E071897"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El Decret 160/1996, de 14 de maig (DOGC núm. 2208, de 20 de maig de 1996), pel qual es regula el servei escolar de menjador als centres docents públics de titularitat del Departament d’Ensenyament estableix, a l’article 21, la possibilitat que les administracions públiques, dins de les seves disponibilitats pressupostàries, puguin atorgar ajuts de menjador per a l’alumnat que ho sol·liciti sense que li correspongui la gratuïtat del servei. </w:t>
      </w:r>
    </w:p>
    <w:p w14:paraId="51473265"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La disposició addicional segona determina que correspon als consells comarcals la gestió dels ajuts de menjador per necessitats socioeconòmiques o de situació geogràfica de l’alumnat, quan hagin assumit aquesta competència o bé l’assumeixin, i signin els corresponents convenis amb el Departament d’Ensenyament.</w:t>
      </w:r>
    </w:p>
    <w:p w14:paraId="336528DB"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Tal com es fa anualment, des del Departament d’Educació s’han revisat els criteris per a l’assignació d’aquests ajuts de cara al curs 2025/26, a partir de les aportacions d’un grup treball constituït per representants dels Consells Comarcals, de l’Associació Catalana de Municipis, de la Federació de Municipis de Catalunya i del mateix Departament.</w:t>
      </w:r>
    </w:p>
    <w:p w14:paraId="4ADD1D12"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2. Crèdits pressupostaris</w:t>
      </w:r>
    </w:p>
    <w:p w14:paraId="1FB10845" w14:textId="77777777" w:rsidR="004A35DD" w:rsidRPr="004A35DD" w:rsidRDefault="004A35DD" w:rsidP="004A35DD">
      <w:pPr>
        <w:spacing w:after="143"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Els crèdits pressupostaris als quals s’imputa la subvenció són els següents:</w:t>
      </w:r>
    </w:p>
    <w:tbl>
      <w:tblPr>
        <w:tblStyle w:val="TableGrid"/>
        <w:tblW w:w="7099" w:type="dxa"/>
        <w:tblInd w:w="893" w:type="dxa"/>
        <w:tblCellMar>
          <w:top w:w="0" w:type="dxa"/>
          <w:left w:w="106" w:type="dxa"/>
          <w:bottom w:w="0" w:type="dxa"/>
          <w:right w:w="106" w:type="dxa"/>
        </w:tblCellMar>
        <w:tblLook w:val="04A0" w:firstRow="1" w:lastRow="0" w:firstColumn="1" w:lastColumn="0" w:noHBand="0" w:noVBand="1"/>
      </w:tblPr>
      <w:tblGrid>
        <w:gridCol w:w="1473"/>
        <w:gridCol w:w="3528"/>
        <w:gridCol w:w="2098"/>
      </w:tblGrid>
      <w:tr w:rsidR="004A35DD" w:rsidRPr="004A35DD" w14:paraId="2C2D9064" w14:textId="77777777" w:rsidTr="00664195">
        <w:trPr>
          <w:trHeight w:val="527"/>
        </w:trPr>
        <w:tc>
          <w:tcPr>
            <w:tcW w:w="1473"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6596F28A" w14:textId="77777777" w:rsidR="004A35DD" w:rsidRPr="004A35DD" w:rsidRDefault="004A35DD" w:rsidP="004A35DD">
            <w:pPr>
              <w:spacing w:line="259" w:lineRule="auto"/>
              <w:jc w:val="both"/>
              <w:rPr>
                <w:rFonts w:ascii="Arial" w:eastAsia="Arial" w:hAnsi="Arial" w:cs="Arial"/>
                <w:color w:val="000000"/>
                <w:sz w:val="22"/>
                <w:lang w:val="ca-ES"/>
              </w:rPr>
            </w:pPr>
            <w:bookmarkStart w:id="0" w:name="_Hlk194912119"/>
            <w:r w:rsidRPr="004A35DD">
              <w:rPr>
                <w:rFonts w:ascii="Arial" w:eastAsia="Arial" w:hAnsi="Arial" w:cs="Arial"/>
                <w:b/>
                <w:color w:val="000000"/>
                <w:sz w:val="22"/>
                <w:lang w:val="ca-ES"/>
              </w:rPr>
              <w:t>ANUALITAT</w:t>
            </w:r>
          </w:p>
        </w:tc>
        <w:tc>
          <w:tcPr>
            <w:tcW w:w="3529"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6AE3902A" w14:textId="77777777" w:rsidR="004A35DD" w:rsidRPr="004A35DD" w:rsidRDefault="004A35DD" w:rsidP="004A35DD">
            <w:pPr>
              <w:spacing w:line="259" w:lineRule="auto"/>
              <w:ind w:left="2"/>
              <w:jc w:val="both"/>
              <w:rPr>
                <w:rFonts w:ascii="Arial" w:eastAsia="Arial" w:hAnsi="Arial" w:cs="Arial"/>
                <w:color w:val="000000"/>
                <w:sz w:val="22"/>
                <w:lang w:val="ca-ES"/>
              </w:rPr>
            </w:pPr>
            <w:r w:rsidRPr="004A35DD">
              <w:rPr>
                <w:rFonts w:ascii="Arial" w:eastAsia="Arial" w:hAnsi="Arial" w:cs="Arial"/>
                <w:b/>
                <w:color w:val="000000"/>
                <w:sz w:val="22"/>
                <w:lang w:val="ca-ES"/>
              </w:rPr>
              <w:t>APLICACIÓ PRESSUPOSTÀRIA</w:t>
            </w:r>
          </w:p>
        </w:tc>
        <w:tc>
          <w:tcPr>
            <w:tcW w:w="2098"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371E9B03" w14:textId="77777777" w:rsidR="004A35DD" w:rsidRPr="004A35DD" w:rsidRDefault="004A35DD" w:rsidP="004A35DD">
            <w:pPr>
              <w:spacing w:line="259" w:lineRule="auto"/>
              <w:ind w:left="3"/>
              <w:jc w:val="center"/>
              <w:rPr>
                <w:rFonts w:ascii="Arial" w:eastAsia="Arial" w:hAnsi="Arial" w:cs="Arial"/>
                <w:color w:val="000000"/>
                <w:sz w:val="22"/>
                <w:lang w:val="ca-ES"/>
              </w:rPr>
            </w:pPr>
            <w:r w:rsidRPr="004A35DD">
              <w:rPr>
                <w:rFonts w:ascii="Arial" w:eastAsia="Arial" w:hAnsi="Arial" w:cs="Arial"/>
                <w:b/>
                <w:color w:val="000000"/>
                <w:sz w:val="22"/>
                <w:lang w:val="ca-ES"/>
              </w:rPr>
              <w:t>IMPORT</w:t>
            </w:r>
          </w:p>
        </w:tc>
      </w:tr>
      <w:tr w:rsidR="004A35DD" w:rsidRPr="004A35DD" w14:paraId="534EAF0C" w14:textId="77777777" w:rsidTr="00664195">
        <w:trPr>
          <w:trHeight w:val="534"/>
        </w:trPr>
        <w:tc>
          <w:tcPr>
            <w:tcW w:w="1473" w:type="dxa"/>
            <w:tcBorders>
              <w:top w:val="single" w:sz="4" w:space="0" w:color="999999"/>
              <w:left w:val="single" w:sz="4" w:space="0" w:color="999999"/>
              <w:bottom w:val="single" w:sz="4" w:space="0" w:color="999999"/>
              <w:right w:val="single" w:sz="4" w:space="0" w:color="999999"/>
            </w:tcBorders>
            <w:vAlign w:val="center"/>
          </w:tcPr>
          <w:p w14:paraId="6B091F0C" w14:textId="77777777" w:rsidR="004A35DD" w:rsidRPr="004A35DD" w:rsidRDefault="004A35DD" w:rsidP="004A35DD">
            <w:pPr>
              <w:spacing w:line="259" w:lineRule="auto"/>
              <w:ind w:right="2"/>
              <w:jc w:val="center"/>
              <w:rPr>
                <w:rFonts w:ascii="Arial" w:eastAsia="Arial" w:hAnsi="Arial" w:cs="Arial"/>
                <w:color w:val="000000"/>
                <w:sz w:val="22"/>
                <w:lang w:val="ca-ES"/>
              </w:rPr>
            </w:pPr>
            <w:r w:rsidRPr="004A35DD">
              <w:rPr>
                <w:rFonts w:ascii="Arial" w:eastAsia="Arial" w:hAnsi="Arial" w:cs="Arial"/>
                <w:color w:val="000000"/>
                <w:sz w:val="22"/>
                <w:lang w:val="ca-ES"/>
              </w:rPr>
              <w:t>2025</w:t>
            </w:r>
          </w:p>
        </w:tc>
        <w:tc>
          <w:tcPr>
            <w:tcW w:w="3529" w:type="dxa"/>
            <w:tcBorders>
              <w:top w:val="single" w:sz="4" w:space="0" w:color="999999"/>
              <w:left w:val="single" w:sz="4" w:space="0" w:color="999999"/>
              <w:bottom w:val="single" w:sz="4" w:space="0" w:color="999999"/>
              <w:right w:val="single" w:sz="4" w:space="0" w:color="999999"/>
            </w:tcBorders>
            <w:vAlign w:val="center"/>
          </w:tcPr>
          <w:p w14:paraId="57F8FD94" w14:textId="77777777" w:rsidR="004A35DD" w:rsidRPr="004A35DD" w:rsidRDefault="004A35DD" w:rsidP="004A35DD">
            <w:pPr>
              <w:spacing w:line="259" w:lineRule="auto"/>
              <w:jc w:val="center"/>
              <w:rPr>
                <w:rFonts w:ascii="Arial" w:eastAsia="Arial" w:hAnsi="Arial" w:cs="Arial"/>
                <w:color w:val="000000"/>
                <w:sz w:val="22"/>
                <w:lang w:val="ca-ES"/>
              </w:rPr>
            </w:pPr>
            <w:r w:rsidRPr="004A35DD">
              <w:rPr>
                <w:rFonts w:ascii="Arial" w:eastAsia="Arial" w:hAnsi="Arial" w:cs="Arial"/>
                <w:color w:val="000000"/>
                <w:sz w:val="22"/>
                <w:lang w:val="ca-ES"/>
              </w:rPr>
              <w:t>54.3202.48000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0624F81A" w14:textId="77777777" w:rsidR="004A35DD" w:rsidRPr="004A35DD" w:rsidRDefault="004A35DD" w:rsidP="004A35DD">
            <w:pPr>
              <w:spacing w:line="259" w:lineRule="auto"/>
              <w:ind w:left="3"/>
              <w:jc w:val="center"/>
              <w:rPr>
                <w:rFonts w:ascii="Arial" w:eastAsia="Arial" w:hAnsi="Arial" w:cs="Arial"/>
                <w:color w:val="000000"/>
                <w:sz w:val="22"/>
                <w:lang w:val="ca-ES"/>
              </w:rPr>
            </w:pPr>
            <w:r w:rsidRPr="004A35DD">
              <w:rPr>
                <w:rFonts w:ascii="Arial" w:eastAsia="Arial" w:hAnsi="Arial" w:cs="Arial"/>
                <w:color w:val="000000"/>
                <w:sz w:val="22"/>
                <w:lang w:val="ca-ES"/>
              </w:rPr>
              <w:t>2.600.000 euros</w:t>
            </w:r>
          </w:p>
        </w:tc>
      </w:tr>
      <w:tr w:rsidR="004A35DD" w:rsidRPr="004A35DD" w14:paraId="5A8CAB25" w14:textId="77777777" w:rsidTr="00664195">
        <w:trPr>
          <w:trHeight w:val="532"/>
        </w:trPr>
        <w:tc>
          <w:tcPr>
            <w:tcW w:w="1473" w:type="dxa"/>
            <w:tcBorders>
              <w:top w:val="single" w:sz="4" w:space="0" w:color="999999"/>
              <w:left w:val="single" w:sz="4" w:space="0" w:color="999999"/>
              <w:bottom w:val="single" w:sz="4" w:space="0" w:color="999999"/>
              <w:right w:val="single" w:sz="4" w:space="0" w:color="999999"/>
            </w:tcBorders>
            <w:vAlign w:val="center"/>
          </w:tcPr>
          <w:p w14:paraId="0C9E42A5" w14:textId="77777777" w:rsidR="004A35DD" w:rsidRPr="004A35DD" w:rsidRDefault="004A35DD" w:rsidP="004A35DD">
            <w:pPr>
              <w:spacing w:line="259" w:lineRule="auto"/>
              <w:ind w:right="2"/>
              <w:jc w:val="center"/>
              <w:rPr>
                <w:rFonts w:ascii="Arial" w:eastAsia="Arial" w:hAnsi="Arial" w:cs="Arial"/>
                <w:color w:val="000000"/>
                <w:sz w:val="22"/>
                <w:lang w:val="ca-ES"/>
              </w:rPr>
            </w:pPr>
            <w:r w:rsidRPr="004A35DD">
              <w:rPr>
                <w:rFonts w:ascii="Arial" w:eastAsia="Arial" w:hAnsi="Arial" w:cs="Arial"/>
                <w:color w:val="000000"/>
                <w:sz w:val="22"/>
                <w:lang w:val="ca-ES"/>
              </w:rPr>
              <w:t>2026</w:t>
            </w:r>
          </w:p>
        </w:tc>
        <w:tc>
          <w:tcPr>
            <w:tcW w:w="3529" w:type="dxa"/>
            <w:tcBorders>
              <w:top w:val="single" w:sz="4" w:space="0" w:color="999999"/>
              <w:left w:val="single" w:sz="4" w:space="0" w:color="999999"/>
              <w:bottom w:val="single" w:sz="4" w:space="0" w:color="999999"/>
              <w:right w:val="single" w:sz="4" w:space="0" w:color="999999"/>
            </w:tcBorders>
            <w:vAlign w:val="center"/>
          </w:tcPr>
          <w:p w14:paraId="2E6F5AE8" w14:textId="77777777" w:rsidR="004A35DD" w:rsidRPr="004A35DD" w:rsidRDefault="004A35DD" w:rsidP="004A35DD">
            <w:pPr>
              <w:spacing w:line="259" w:lineRule="auto"/>
              <w:jc w:val="center"/>
              <w:rPr>
                <w:rFonts w:ascii="Arial" w:eastAsia="Arial" w:hAnsi="Arial" w:cs="Arial"/>
                <w:color w:val="000000"/>
                <w:sz w:val="22"/>
                <w:lang w:val="ca-ES"/>
              </w:rPr>
            </w:pPr>
            <w:r w:rsidRPr="004A35DD">
              <w:rPr>
                <w:rFonts w:ascii="Arial" w:eastAsia="Arial" w:hAnsi="Arial" w:cs="Arial"/>
                <w:color w:val="000000"/>
                <w:sz w:val="22"/>
                <w:lang w:val="ca-ES"/>
              </w:rPr>
              <w:t>54.3202.48000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00FF3B25" w14:textId="77777777" w:rsidR="004A35DD" w:rsidRPr="004A35DD" w:rsidRDefault="004A35DD" w:rsidP="004A35DD">
            <w:pPr>
              <w:spacing w:line="259" w:lineRule="auto"/>
              <w:ind w:left="2"/>
              <w:rPr>
                <w:rFonts w:ascii="Arial" w:eastAsia="Arial" w:hAnsi="Arial" w:cs="Arial"/>
                <w:color w:val="000000"/>
                <w:sz w:val="22"/>
                <w:lang w:val="ca-ES"/>
              </w:rPr>
            </w:pPr>
            <w:r w:rsidRPr="004A35DD">
              <w:rPr>
                <w:rFonts w:ascii="Arial" w:eastAsia="Arial" w:hAnsi="Arial" w:cs="Arial"/>
                <w:color w:val="000000"/>
                <w:sz w:val="22"/>
                <w:lang w:val="ca-ES"/>
              </w:rPr>
              <w:t>4.000.000 euros (*)</w:t>
            </w:r>
          </w:p>
        </w:tc>
      </w:tr>
    </w:tbl>
    <w:bookmarkEnd w:id="0"/>
    <w:p w14:paraId="618E86D4" w14:textId="77777777" w:rsidR="004A35DD" w:rsidRPr="004A35DD" w:rsidRDefault="004A35DD" w:rsidP="004A35DD">
      <w:pPr>
        <w:spacing w:after="302" w:line="276" w:lineRule="auto"/>
        <w:ind w:left="5" w:right="43" w:hanging="20"/>
        <w:jc w:val="both"/>
        <w:rPr>
          <w:rFonts w:ascii="Arial" w:eastAsia="Arial" w:hAnsi="Arial" w:cs="Arial"/>
          <w:color w:val="000000"/>
          <w:sz w:val="22"/>
          <w:lang w:val="ca-ES" w:eastAsia="es-ES"/>
        </w:rPr>
      </w:pPr>
      <w:r w:rsidRPr="004A35DD">
        <w:rPr>
          <w:rFonts w:ascii="Arial" w:eastAsia="Arial" w:hAnsi="Arial" w:cs="Arial"/>
          <w:color w:val="000000"/>
          <w:sz w:val="20"/>
          <w:lang w:val="ca-ES" w:eastAsia="es-ES"/>
        </w:rPr>
        <w:t>(*) De conformitat amb l’article 174 Reial Decret Legislatiu 2/2004, de 5 de març, pel qual s’aprova el Text refós de la Llei Reguladora de les Hisendes Locals, l’autorització o realització de les despeses de caràcter plurianual quedaran subordinades al crèdit que per a cada exercici autoritzin els respectius pressupostos. La quantia total màxima que figuri en la convocatòria tindrà caràcter estimat pel que haurà de fer-se constar expressament en aquesta que la concessió de les subvencions queda condicionada a l'existència de crèdit adequat i suficient al moment de la resolució de concessió</w:t>
      </w:r>
    </w:p>
    <w:p w14:paraId="33D756E5"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lastRenderedPageBreak/>
        <w:t>3. Objecte</w:t>
      </w:r>
    </w:p>
    <w:p w14:paraId="672D6DE6"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L’objecte d’aquesta convocatòria és l’atorgament d’ajuts individuals de menjador escolar per a necessitats socioeconòmiques i geogràfiques, d’acord amb la disposició pressupostària, per als alumnes d’educació infantil de segon cicle, educació primària i educació secundària obligatòria de la comarca de la Selva, per garantir el principi d’igualtat d’oportunitats en la població escolar i promoure accions de caràcter compensatori en relació amb les persones que es troben en situacions socioeconòmiques desfavorables.</w:t>
      </w:r>
    </w:p>
    <w:p w14:paraId="54DE012C"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4. Beneficiaris i requisits</w:t>
      </w:r>
    </w:p>
    <w:p w14:paraId="63DFCF0C" w14:textId="77777777" w:rsidR="004A35DD" w:rsidRPr="004A35DD" w:rsidRDefault="004A35DD" w:rsidP="004A35DD">
      <w:pPr>
        <w:spacing w:after="145"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4.1. Els beneficiaris d'ajut de menjador escolar són els alumnes que reuneixin els requisits següents:</w:t>
      </w:r>
    </w:p>
    <w:p w14:paraId="1C16E5F0" w14:textId="77777777" w:rsidR="004A35DD" w:rsidRPr="004A35DD" w:rsidRDefault="004A35DD" w:rsidP="004A35DD">
      <w:pPr>
        <w:numPr>
          <w:ilvl w:val="0"/>
          <w:numId w:val="1"/>
        </w:numPr>
        <w:spacing w:after="144"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Es podrà acollir a aquests ajuts de menjador aquell alumnat que tingui residència a Catalunya.</w:t>
      </w:r>
    </w:p>
    <w:p w14:paraId="357FF537" w14:textId="77777777" w:rsidR="004A35DD" w:rsidRPr="004A35DD" w:rsidRDefault="004A35DD" w:rsidP="004A35DD">
      <w:pPr>
        <w:numPr>
          <w:ilvl w:val="0"/>
          <w:numId w:val="1"/>
        </w:numPr>
        <w:spacing w:after="145"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Estar matriculat en un centre escolar de la comarca sostingut amb fons públics de Catalunya, en els  cursos de segon i tercer dels ensenyaments de primer cicle d’infantil, en aquelles escoles de titularitat de la Generalitat on s’hagi implantat, i qualsevol dels cursos del ensenyaments de segon cicle d’educació infantil i d’ensenyaments obligatoris, durant el curs corresponent a la convocatòria.</w:t>
      </w:r>
    </w:p>
    <w:p w14:paraId="08EF0E55" w14:textId="77777777" w:rsidR="004A35DD" w:rsidRPr="004A35DD" w:rsidRDefault="004A35DD" w:rsidP="004A35DD">
      <w:pPr>
        <w:numPr>
          <w:ilvl w:val="0"/>
          <w:numId w:val="1"/>
        </w:numPr>
        <w:spacing w:after="156"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Fer ús del servei de menjador escolar.</w:t>
      </w:r>
    </w:p>
    <w:p w14:paraId="56059411" w14:textId="77777777" w:rsidR="004A35DD" w:rsidRPr="004A35DD" w:rsidRDefault="004A35DD" w:rsidP="004A35DD">
      <w:pPr>
        <w:numPr>
          <w:ilvl w:val="0"/>
          <w:numId w:val="1"/>
        </w:numPr>
        <w:spacing w:after="156"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No tenir el servei de menjador amb caràcter gratuït.</w:t>
      </w:r>
    </w:p>
    <w:p w14:paraId="2F0E2B11" w14:textId="77777777" w:rsidR="004A35DD" w:rsidRPr="004A35DD" w:rsidRDefault="004A35DD" w:rsidP="004A35DD">
      <w:pPr>
        <w:numPr>
          <w:ilvl w:val="0"/>
          <w:numId w:val="1"/>
        </w:numPr>
        <w:spacing w:after="46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No estar en acolliment residencial.</w:t>
      </w:r>
    </w:p>
    <w:p w14:paraId="4D96EB50" w14:textId="77777777" w:rsidR="004A35DD" w:rsidRPr="004A35DD" w:rsidRDefault="004A35DD" w:rsidP="004A35DD">
      <w:pPr>
        <w:numPr>
          <w:ilvl w:val="0"/>
          <w:numId w:val="2"/>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Excepcionalment l’alumnat amb escolarització compartida podrà obtenir dos ajuts, els quals en conjunt mai podran superar el nombre de dies lectius totals del curs escolar.</w:t>
      </w:r>
    </w:p>
    <w:p w14:paraId="31CE487C" w14:textId="77777777" w:rsidR="004A35DD" w:rsidRPr="004A35DD" w:rsidRDefault="004A35DD" w:rsidP="004A35DD">
      <w:pPr>
        <w:numPr>
          <w:ilvl w:val="0"/>
          <w:numId w:val="2"/>
        </w:numPr>
        <w:spacing w:after="19"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Per la naturalesa de l’ajut i l’especificitat del col·lectiu, per obtenir la condició de beneficiari no cal acreditar el compliment dels requisits establerts a l’article </w:t>
      </w:r>
    </w:p>
    <w:p w14:paraId="51BF9084" w14:textId="77777777" w:rsidR="004A35DD" w:rsidRPr="004A35DD" w:rsidRDefault="004A35DD" w:rsidP="004A35DD">
      <w:pPr>
        <w:spacing w:after="300" w:line="270" w:lineRule="auto"/>
        <w:ind w:left="745"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13.2 de la Llei 38/2003, de 17 de novembre, general de subvencions.</w:t>
      </w:r>
    </w:p>
    <w:p w14:paraId="3D17FF21" w14:textId="77777777" w:rsidR="004A35DD" w:rsidRPr="004A35DD" w:rsidRDefault="004A35DD" w:rsidP="004A35DD">
      <w:pPr>
        <w:numPr>
          <w:ilvl w:val="0"/>
          <w:numId w:val="2"/>
        </w:numPr>
        <w:spacing w:after="7"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Els ajuts convocats són compatibles amb qualsevol altre que es pugui rebre, per a la mateixa finalitat, d’altres entitats o persones públiques o privades. En cap cas, l’import dels ajuts concurrents no pot superar el cost de la despesa realitzada.</w:t>
      </w:r>
    </w:p>
    <w:p w14:paraId="5CA37366"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lastRenderedPageBreak/>
        <w:t>5. Òrgan competent per a la instrucció i resolució del procediment</w:t>
      </w:r>
    </w:p>
    <w:p w14:paraId="058EE4CD"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L'òrgan competent per a la instrucció de l'expedient és el Cap de la Unitat d’Educació del Consell Comarcal de la Selva.</w:t>
      </w:r>
    </w:p>
    <w:p w14:paraId="55EC50A8"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65DF221C"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L'òrgan competent per resoldre serà la Presidència del Consell Comarcal de la Selva.</w:t>
      </w:r>
    </w:p>
    <w:p w14:paraId="3C2C6749"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6. Termini de presentació de sol·licituds</w:t>
      </w:r>
    </w:p>
    <w:p w14:paraId="0E833091"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El Consell Comarcal publicarà l’edicte de convocatòria dels ajuts al Butlletí Oficial de la Província (BOP) i a </w:t>
      </w:r>
      <w:proofErr w:type="spellStart"/>
      <w:r w:rsidRPr="004A35DD">
        <w:rPr>
          <w:rFonts w:ascii="Arial" w:eastAsia="Arial" w:hAnsi="Arial" w:cs="Arial"/>
          <w:color w:val="000000"/>
          <w:sz w:val="22"/>
          <w:lang w:val="ca-ES" w:eastAsia="es-ES"/>
        </w:rPr>
        <w:t>l’e</w:t>
      </w:r>
      <w:proofErr w:type="spellEnd"/>
      <w:r w:rsidRPr="004A35DD">
        <w:rPr>
          <w:rFonts w:ascii="Arial" w:eastAsia="Arial" w:hAnsi="Arial" w:cs="Arial"/>
          <w:color w:val="000000"/>
          <w:sz w:val="22"/>
          <w:lang w:val="ca-ES" w:eastAsia="es-ES"/>
        </w:rPr>
        <w:t xml:space="preserve">-tauler del Consell Comarcal. El termini de presentació de sol·licituds s’iniciarà l’endemà de la publicació definitiva al BOP. </w:t>
      </w:r>
    </w:p>
    <w:p w14:paraId="59EAE45F"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D’acord amb la Resolució 17/XI del Parlament de Catalunya, la convocatòria d’accés als ajuts de menjador escolar quedarà oberta durant tot el curs escolar.</w:t>
      </w:r>
    </w:p>
    <w:p w14:paraId="2347E51C"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tal que els ajuts siguin d’aplicació el primer de dia de curs, caldrà haver-los sol·licitat, com a molt tard, el dia 1 de juny (excepte en els casos d’alumnes que cursaran I3, que aquesta data s’allargarà fins el 15 de juliol, degut a què la seva matriculació és més tardana).</w:t>
      </w:r>
    </w:p>
    <w:p w14:paraId="182D196C"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Les sol·licituds rebudes entre el 2 de juny i el 10 de setembre i siguin resoltes favorablement, s’aplicaran a partir del dia 1 d’octubre.</w:t>
      </w:r>
    </w:p>
    <w:p w14:paraId="15350B32"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A partir d’aquí, les sol·licituds rebudes entre el dia 11 de cada mes i el dia 10 del mes següent, i que siguin resoltes favorablement, s’aplicaran a partir del dia 1 del mes posterior a aquest últim.</w:t>
      </w:r>
    </w:p>
    <w:p w14:paraId="2EFB312A"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Així mateix, també caldrà preveure sol·licituds per canvis de situació quan s’acreditin situacions sobrevingudes que comportin canvis substancials en la situació socioeconòmica de la unitat familiar.</w:t>
      </w:r>
    </w:p>
    <w:p w14:paraId="7599F457" w14:textId="77777777" w:rsidR="004A35DD" w:rsidRPr="004A35DD" w:rsidRDefault="004A35DD" w:rsidP="004A35DD">
      <w:pPr>
        <w:spacing w:after="296" w:line="273" w:lineRule="auto"/>
        <w:ind w:left="10" w:hanging="10"/>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tal que aquestes sol·licituds puguin ser valorades és necessari que la persona sol·licitant exposi i acrediti documentalment els fets causants de la nova situació i aporti la documentació econòmica corresponent per tal de determinar els nous rendiments de la unitat familiar.</w:t>
      </w:r>
    </w:p>
    <w:p w14:paraId="2E3FB6E0"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lastRenderedPageBreak/>
        <w:t>Les sol·licituds per canvis de situació es valoren de la mateixa manera que la resta de sol·licituds amb aplicació dels criteris que estableixen aquestes Directrius.</w:t>
      </w:r>
    </w:p>
    <w:p w14:paraId="5D578039"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7. Sol·licituds i documentació</w:t>
      </w:r>
    </w:p>
    <w:p w14:paraId="00DEE42D"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7.1 Documentació obligatòria</w:t>
      </w:r>
    </w:p>
    <w:p w14:paraId="01E4412F" w14:textId="77777777" w:rsidR="004A35DD" w:rsidRPr="004A35DD" w:rsidRDefault="004A35DD" w:rsidP="004A35DD">
      <w:pPr>
        <w:spacing w:after="179"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Les persones interessades en aquesta convocatòria han de presentar la documentació obligatòria següent:</w:t>
      </w:r>
    </w:p>
    <w:p w14:paraId="2CA54958" w14:textId="77777777" w:rsidR="004A35DD" w:rsidRPr="004A35DD" w:rsidRDefault="004A35DD" w:rsidP="004A35DD">
      <w:pPr>
        <w:numPr>
          <w:ilvl w:val="0"/>
          <w:numId w:val="3"/>
        </w:numPr>
        <w:spacing w:after="164"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Model de sol·licitud. Cada família presentarà una sol·licitud única pel nombre de germans escolaritzats al mateix centre escolar. Les sol·licituds es podran presentar a través dels següents canals: </w:t>
      </w:r>
    </w:p>
    <w:p w14:paraId="5BFB8CD2" w14:textId="77777777" w:rsidR="004A35DD" w:rsidRPr="004A35DD" w:rsidRDefault="004A35DD" w:rsidP="004A35DD">
      <w:pPr>
        <w:numPr>
          <w:ilvl w:val="3"/>
          <w:numId w:val="4"/>
        </w:numPr>
        <w:spacing w:after="18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Imprès normalitzat degudament imprès i signat, presentat en format paper a qualsevol oficina de registre del Consell Comarcal de la Selva o per correu postal administratiu.</w:t>
      </w:r>
    </w:p>
    <w:p w14:paraId="5C56294B" w14:textId="77777777" w:rsidR="004A35DD" w:rsidRPr="004A35DD" w:rsidRDefault="004A35DD" w:rsidP="004A35DD">
      <w:pPr>
        <w:numPr>
          <w:ilvl w:val="3"/>
          <w:numId w:val="4"/>
        </w:numPr>
        <w:spacing w:after="585"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Formulari digital signat electrònicament o tramitat a través del servei d’instància electrònica del Consell Comarcal de la Selva.</w:t>
      </w:r>
    </w:p>
    <w:p w14:paraId="707B1209" w14:textId="77777777" w:rsidR="004A35DD" w:rsidRPr="004A35DD" w:rsidRDefault="004A35DD" w:rsidP="004A35DD">
      <w:pPr>
        <w:numPr>
          <w:ilvl w:val="0"/>
          <w:numId w:val="3"/>
        </w:numPr>
        <w:spacing w:after="144"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S’haurà d’informar de l’IDALU (codi identificador assignat a cada alumne).</w:t>
      </w:r>
    </w:p>
    <w:p w14:paraId="3C6FE3C6" w14:textId="77777777" w:rsidR="004A35DD" w:rsidRPr="004A35DD" w:rsidRDefault="004A35DD" w:rsidP="004A35DD">
      <w:pPr>
        <w:numPr>
          <w:ilvl w:val="0"/>
          <w:numId w:val="3"/>
        </w:numPr>
        <w:spacing w:after="177"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Relació de membres de la unitat familiar que conviuen en el mateix domicili, indicant nom, cognoms i NIF/NIE, si s’escau, de cadascun d’ells. </w:t>
      </w:r>
    </w:p>
    <w:p w14:paraId="2B81EA30" w14:textId="77777777" w:rsidR="004A35DD" w:rsidRPr="004A35DD" w:rsidRDefault="004A35DD" w:rsidP="004A35DD">
      <w:pPr>
        <w:numPr>
          <w:ilvl w:val="0"/>
          <w:numId w:val="3"/>
        </w:numPr>
        <w:spacing w:after="38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Correu electrònic i telèfon mòbil on es podrà informar de la resolució dels ajuts.</w:t>
      </w:r>
    </w:p>
    <w:p w14:paraId="32020350"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7.2 Documentació complementària</w:t>
      </w:r>
    </w:p>
    <w:p w14:paraId="1245DFAB" w14:textId="77777777" w:rsidR="004A35DD" w:rsidRPr="004A35DD" w:rsidRDefault="004A35DD" w:rsidP="004A35DD">
      <w:pPr>
        <w:spacing w:after="183" w:line="270" w:lineRule="auto"/>
        <w:ind w:left="733"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7.2.1) Acreditació de situacions específiques de la unitat familiar, si s’escau:</w:t>
      </w:r>
    </w:p>
    <w:p w14:paraId="1DA2612A" w14:textId="77777777" w:rsidR="004A35DD" w:rsidRPr="004A35DD" w:rsidRDefault="004A35DD" w:rsidP="004A35DD">
      <w:pPr>
        <w:numPr>
          <w:ilvl w:val="0"/>
          <w:numId w:val="3"/>
        </w:numPr>
        <w:spacing w:after="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Infants en acolliment: s’acreditarà mitjançant la resolució d'acolliment de la Direcció General d'Atenció a la Infància i l'Adolescència.</w:t>
      </w:r>
    </w:p>
    <w:p w14:paraId="79764B04" w14:textId="77777777" w:rsidR="004A35DD" w:rsidRPr="004A35DD" w:rsidRDefault="004A35DD" w:rsidP="004A35DD">
      <w:pPr>
        <w:numPr>
          <w:ilvl w:val="0"/>
          <w:numId w:val="3"/>
        </w:numPr>
        <w:spacing w:after="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14:paraId="4A28D296" w14:textId="77777777" w:rsidR="004A35DD" w:rsidRPr="004A35DD" w:rsidRDefault="004A35DD" w:rsidP="004A35DD">
      <w:pPr>
        <w:numPr>
          <w:ilvl w:val="0"/>
          <w:numId w:val="3"/>
        </w:numPr>
        <w:spacing w:after="36"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Conveni regulador o sentència de separació/divorci/, o l’acta final de mediació del Departament de Justícia, o autorització notarial de </w:t>
      </w:r>
      <w:r w:rsidRPr="004A35DD">
        <w:rPr>
          <w:rFonts w:ascii="Arial" w:eastAsia="Arial" w:hAnsi="Arial" w:cs="Arial"/>
          <w:color w:val="000000"/>
          <w:sz w:val="22"/>
          <w:lang w:val="ca-ES" w:eastAsia="es-ES"/>
        </w:rPr>
        <w:lastRenderedPageBreak/>
        <w:t>sortida del país i si s’escau conveni regulador (adjuntant en idioma original i la traducció jurada al català o castellà)</w:t>
      </w:r>
      <w:r w:rsidRPr="004A35DD">
        <w:rPr>
          <w:rFonts w:ascii="Arial" w:eastAsia="Arial" w:hAnsi="Arial" w:cs="Arial"/>
          <w:color w:val="000000"/>
          <w:sz w:val="22"/>
          <w:vertAlign w:val="superscript"/>
          <w:lang w:val="ca-ES" w:eastAsia="es-ES"/>
        </w:rPr>
        <w:t>2</w:t>
      </w:r>
      <w:r w:rsidRPr="004A35DD">
        <w:rPr>
          <w:rFonts w:ascii="Arial" w:eastAsia="Arial" w:hAnsi="Arial" w:cs="Arial"/>
          <w:color w:val="000000"/>
          <w:sz w:val="22"/>
          <w:lang w:val="ca-ES" w:eastAsia="es-ES"/>
        </w:rPr>
        <w:t>.</w:t>
      </w:r>
    </w:p>
    <w:p w14:paraId="1B23A155" w14:textId="77777777" w:rsidR="004A35DD" w:rsidRPr="004A35DD" w:rsidRDefault="004A35DD" w:rsidP="004A35DD">
      <w:pPr>
        <w:numPr>
          <w:ilvl w:val="0"/>
          <w:numId w:val="3"/>
        </w:numPr>
        <w:spacing w:after="23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En cas de viduïtat d’un progenitor/a, adjuntar el certificat de defunció.</w:t>
      </w:r>
    </w:p>
    <w:p w14:paraId="40F0EF61" w14:textId="77777777" w:rsidR="004A35DD" w:rsidRPr="004A35DD" w:rsidRDefault="004A35DD" w:rsidP="004A35DD">
      <w:pPr>
        <w:spacing w:after="300" w:line="270" w:lineRule="auto"/>
        <w:ind w:left="733"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7.2.2) Valoració per part dels serveis socials per situació social de risc:</w:t>
      </w:r>
    </w:p>
    <w:p w14:paraId="761C2A3C"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Les famílies ateses pels serveis socials hauran de declarar aquesta situació a la sol·licitud indicant per quins serveis socials són ateses.</w:t>
      </w:r>
    </w:p>
    <w:p w14:paraId="318D435F"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A l‘efecte de determinar la puntuació corresponent en aquest àmbit, es recomana tenir en compte les següents circumstàncies:</w:t>
      </w:r>
    </w:p>
    <w:p w14:paraId="135E6BDB" w14:textId="77777777" w:rsidR="004A35DD" w:rsidRPr="004A35DD" w:rsidRDefault="004A35DD" w:rsidP="004A35DD">
      <w:pPr>
        <w:spacing w:after="369" w:line="270" w:lineRule="auto"/>
        <w:ind w:left="385"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1. Per situació de risc social: </w:t>
      </w:r>
    </w:p>
    <w:p w14:paraId="285C69F5" w14:textId="77777777" w:rsidR="004A35DD" w:rsidRPr="004A35DD" w:rsidRDefault="004A35DD" w:rsidP="004A35DD">
      <w:pPr>
        <w:numPr>
          <w:ilvl w:val="0"/>
          <w:numId w:val="5"/>
        </w:numPr>
        <w:spacing w:after="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Observades en l'infant: </w:t>
      </w:r>
    </w:p>
    <w:p w14:paraId="7C5994B9" w14:textId="77777777" w:rsidR="004A35DD" w:rsidRPr="004A35DD" w:rsidRDefault="004A35DD" w:rsidP="004A35DD">
      <w:pPr>
        <w:numPr>
          <w:ilvl w:val="1"/>
          <w:numId w:val="5"/>
        </w:numPr>
        <w:spacing w:after="6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Absentisme escolar </w:t>
      </w:r>
    </w:p>
    <w:p w14:paraId="13AB6A4E" w14:textId="77777777" w:rsidR="004A35DD" w:rsidRPr="004A35DD" w:rsidRDefault="004A35DD" w:rsidP="004A35DD">
      <w:pPr>
        <w:numPr>
          <w:ilvl w:val="1"/>
          <w:numId w:val="5"/>
        </w:numPr>
        <w:spacing w:after="0" w:line="322"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Hàbits de menjar: són irregulars i/o inadequats -</w:t>
      </w:r>
      <w:r w:rsidRPr="004A35DD">
        <w:rPr>
          <w:rFonts w:ascii="Arial" w:eastAsia="Arial" w:hAnsi="Arial" w:cs="Arial"/>
          <w:color w:val="000000"/>
          <w:sz w:val="22"/>
          <w:lang w:val="ca-ES" w:eastAsia="es-ES"/>
        </w:rPr>
        <w:tab/>
        <w:t xml:space="preserve">Vestit inadequat i/o manca d'higiene. </w:t>
      </w:r>
    </w:p>
    <w:p w14:paraId="3219F7CC" w14:textId="77777777" w:rsidR="004A35DD" w:rsidRPr="004A35DD" w:rsidRDefault="004A35DD" w:rsidP="004A35DD">
      <w:pPr>
        <w:numPr>
          <w:ilvl w:val="1"/>
          <w:numId w:val="5"/>
        </w:numPr>
        <w:spacing w:after="4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Dificultat d'adaptació social (retraïment, aïllament, pors, agressivitat, manifestacions conductuals).</w:t>
      </w:r>
    </w:p>
    <w:p w14:paraId="29440F33" w14:textId="77777777" w:rsidR="004A35DD" w:rsidRPr="004A35DD" w:rsidRDefault="004A35DD" w:rsidP="004A35DD">
      <w:pPr>
        <w:numPr>
          <w:ilvl w:val="1"/>
          <w:numId w:val="5"/>
        </w:numPr>
        <w:spacing w:after="4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Nens/es que des dels diferents serveis observen trastorns de l'alimentació. </w:t>
      </w:r>
    </w:p>
    <w:p w14:paraId="3307D2F2" w14:textId="77777777" w:rsidR="004A35DD" w:rsidRPr="004A35DD" w:rsidRDefault="004A35DD" w:rsidP="004A35DD">
      <w:pPr>
        <w:numPr>
          <w:ilvl w:val="1"/>
          <w:numId w:val="5"/>
        </w:numPr>
        <w:spacing w:after="383"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Trastorns emocionals i/o malaltia mental. </w:t>
      </w:r>
    </w:p>
    <w:p w14:paraId="4E346953" w14:textId="77777777" w:rsidR="004A35DD" w:rsidRPr="004A35DD" w:rsidRDefault="004A35DD" w:rsidP="004A35DD">
      <w:pPr>
        <w:numPr>
          <w:ilvl w:val="0"/>
          <w:numId w:val="5"/>
        </w:numPr>
        <w:spacing w:after="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Observades en la família: </w:t>
      </w:r>
    </w:p>
    <w:p w14:paraId="4BB98612" w14:textId="77777777" w:rsidR="004A35DD" w:rsidRPr="004A35DD" w:rsidRDefault="004A35DD" w:rsidP="004A35DD">
      <w:pPr>
        <w:numPr>
          <w:ilvl w:val="1"/>
          <w:numId w:val="5"/>
        </w:numPr>
        <w:spacing w:after="6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Trastorns emocionals i/o malaltia mental. </w:t>
      </w:r>
    </w:p>
    <w:p w14:paraId="2759301D" w14:textId="77777777" w:rsidR="004A35DD" w:rsidRPr="004A35DD" w:rsidRDefault="004A35DD" w:rsidP="004A35DD">
      <w:pPr>
        <w:numPr>
          <w:ilvl w:val="1"/>
          <w:numId w:val="5"/>
        </w:numPr>
        <w:spacing w:after="6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Consum de tòxics. </w:t>
      </w:r>
    </w:p>
    <w:p w14:paraId="23979EA1" w14:textId="77777777" w:rsidR="004A35DD" w:rsidRPr="004A35DD" w:rsidRDefault="004A35DD" w:rsidP="004A35DD">
      <w:pPr>
        <w:numPr>
          <w:ilvl w:val="1"/>
          <w:numId w:val="5"/>
        </w:numPr>
        <w:spacing w:after="4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Negligència lleu, quan l'omissió no atempta contra la dignitat física i/o psíquica del menor. </w:t>
      </w:r>
    </w:p>
    <w:p w14:paraId="0AAD5504" w14:textId="77777777" w:rsidR="004A35DD" w:rsidRPr="004A35DD" w:rsidRDefault="004A35DD" w:rsidP="004A35DD">
      <w:pPr>
        <w:numPr>
          <w:ilvl w:val="1"/>
          <w:numId w:val="5"/>
        </w:numPr>
        <w:spacing w:after="49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Seguiment mèdic excessiu, absents o amb mancances significatives. </w:t>
      </w:r>
    </w:p>
    <w:p w14:paraId="36A33BB7" w14:textId="77777777" w:rsidR="004A35DD" w:rsidRPr="004A35DD" w:rsidRDefault="004A35DD" w:rsidP="004A35DD">
      <w:pPr>
        <w:spacing w:after="247" w:line="259" w:lineRule="auto"/>
        <w:ind w:left="22"/>
        <w:rPr>
          <w:rFonts w:ascii="Arial" w:eastAsia="Arial" w:hAnsi="Arial" w:cs="Arial"/>
          <w:color w:val="000000"/>
          <w:sz w:val="22"/>
          <w:lang w:val="ca-ES" w:eastAsia="es-ES"/>
        </w:rPr>
      </w:pPr>
      <w:r w:rsidRPr="004A35DD">
        <w:rPr>
          <w:rFonts w:ascii="Calibri" w:eastAsia="Calibri" w:hAnsi="Calibri" w:cs="Calibri"/>
          <w:noProof/>
          <w:color w:val="000000"/>
          <w:sz w:val="22"/>
          <w:lang w:val="ca-ES" w:eastAsia="es-ES"/>
        </w:rPr>
        <mc:AlternateContent>
          <mc:Choice Requires="wpg">
            <w:drawing>
              <wp:inline distT="0" distB="0" distL="0" distR="0" wp14:anchorId="0BCAC3B8" wp14:editId="7CC3166C">
                <wp:extent cx="2676525" cy="6350"/>
                <wp:effectExtent l="0" t="0" r="0" b="0"/>
                <wp:docPr id="17780" name="Group 17780"/>
                <wp:cNvGraphicFramePr/>
                <a:graphic xmlns:a="http://schemas.openxmlformats.org/drawingml/2006/main">
                  <a:graphicData uri="http://schemas.microsoft.com/office/word/2010/wordprocessingGroup">
                    <wpg:wgp>
                      <wpg:cNvGrpSpPr/>
                      <wpg:grpSpPr>
                        <a:xfrm>
                          <a:off x="0" y="0"/>
                          <a:ext cx="2676525" cy="6350"/>
                          <a:chOff x="0" y="0"/>
                          <a:chExt cx="2676525" cy="6350"/>
                        </a:xfrm>
                      </wpg:grpSpPr>
                      <wps:wsp>
                        <wps:cNvPr id="494" name="Shape 494"/>
                        <wps:cNvSpPr/>
                        <wps:spPr>
                          <a:xfrm>
                            <a:off x="0" y="0"/>
                            <a:ext cx="2676525" cy="0"/>
                          </a:xfrm>
                          <a:custGeom>
                            <a:avLst/>
                            <a:gdLst/>
                            <a:ahLst/>
                            <a:cxnLst/>
                            <a:rect l="0" t="0" r="0" b="0"/>
                            <a:pathLst>
                              <a:path w="2676525">
                                <a:moveTo>
                                  <a:pt x="0" y="0"/>
                                </a:moveTo>
                                <a:lnTo>
                                  <a:pt x="2676525" y="0"/>
                                </a:lnTo>
                              </a:path>
                            </a:pathLst>
                          </a:custGeom>
                          <a:noFill/>
                          <a:ln w="6350" cap="flat" cmpd="sng" algn="ctr">
                            <a:solidFill>
                              <a:srgbClr val="4472C4"/>
                            </a:solidFill>
                            <a:prstDash val="solid"/>
                            <a:miter lim="127000"/>
                          </a:ln>
                          <a:effectLst/>
                        </wps:spPr>
                        <wps:bodyPr/>
                      </wps:wsp>
                    </wpg:wgp>
                  </a:graphicData>
                </a:graphic>
              </wp:inline>
            </w:drawing>
          </mc:Choice>
          <mc:Fallback>
            <w:pict>
              <v:group w14:anchorId="43C4FCB8" id="Group 17780" o:spid="_x0000_s1026" style="width:210.75pt;height:.5pt;mso-position-horizontal-relative:char;mso-position-vertical-relative:line" coordsize="267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">
                <v:shape id="Shape 494" o:spid="_x0000_s1027" style="position:absolute;width:26765;height:0;visibility:visible;mso-wrap-style:square;v-text-anchor:top" coordsize="2676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" path="m,l2676525,e" filled="f" strokecolor="#4472c4" strokeweight=".5pt">
                  <v:stroke miterlimit="83231f" joinstyle="miter"/>
                  <v:path arrowok="t" textboxrect="0,0,2676525,0"/>
                </v:shape>
                <w10:anchorlock/>
              </v:group>
            </w:pict>
          </mc:Fallback>
        </mc:AlternateContent>
      </w:r>
    </w:p>
    <w:p w14:paraId="2F36BD57" w14:textId="77777777" w:rsidR="004A35DD" w:rsidRPr="004A35DD" w:rsidRDefault="004A35DD" w:rsidP="004A35DD">
      <w:pPr>
        <w:spacing w:after="82" w:line="292" w:lineRule="auto"/>
        <w:ind w:left="25" w:right="59" w:hanging="10"/>
        <w:jc w:val="both"/>
        <w:rPr>
          <w:rFonts w:ascii="Arial" w:eastAsia="Arial" w:hAnsi="Arial" w:cs="Arial"/>
          <w:color w:val="000000"/>
          <w:sz w:val="22"/>
          <w:lang w:val="ca-ES" w:eastAsia="es-ES"/>
        </w:rPr>
      </w:pPr>
      <w:r w:rsidRPr="004A35DD">
        <w:rPr>
          <w:rFonts w:ascii="Arial" w:eastAsia="Arial" w:hAnsi="Arial" w:cs="Arial"/>
          <w:color w:val="000000"/>
          <w:sz w:val="16"/>
          <w:vertAlign w:val="superscript"/>
          <w:lang w:val="ca-ES" w:eastAsia="es-ES"/>
        </w:rPr>
        <w:t xml:space="preserve">2 </w:t>
      </w:r>
      <w:r w:rsidRPr="004A35DD">
        <w:rPr>
          <w:rFonts w:ascii="Arial" w:eastAsia="Arial" w:hAnsi="Arial" w:cs="Arial"/>
          <w:color w:val="000000"/>
          <w:sz w:val="16"/>
          <w:lang w:val="ca-ES" w:eastAsia="es-ES"/>
        </w:rPr>
        <w:t>Si s’escau en cas d’impagament cal acreditar amb la demanda executiva de compliment dels acords o per sentència  del divorci o separació. I en els casos d’actes finals de mediació, caldrà presentar la demanda de regulació de mesures civils en relació als menors en comú.</w:t>
      </w:r>
    </w:p>
    <w:p w14:paraId="620A6E9F" w14:textId="77777777" w:rsidR="004A35DD" w:rsidRPr="004A35DD" w:rsidRDefault="004A35DD" w:rsidP="004A35DD">
      <w:pPr>
        <w:numPr>
          <w:ilvl w:val="0"/>
          <w:numId w:val="6"/>
        </w:numPr>
        <w:spacing w:after="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Problemes d'habitatge: manca, desnonament, amuntegament, estada en centre d'acollida, etc. </w:t>
      </w:r>
    </w:p>
    <w:p w14:paraId="4542B68F" w14:textId="77777777" w:rsidR="004A35DD" w:rsidRPr="004A35DD" w:rsidRDefault="004A35DD" w:rsidP="004A35DD">
      <w:pPr>
        <w:numPr>
          <w:ilvl w:val="0"/>
          <w:numId w:val="6"/>
        </w:numPr>
        <w:spacing w:after="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lastRenderedPageBreak/>
        <w:t xml:space="preserve">Família monoparental amb poc o nul suport de família extensa. </w:t>
      </w:r>
    </w:p>
    <w:p w14:paraId="2B625BE6" w14:textId="77777777" w:rsidR="004A35DD" w:rsidRPr="004A35DD" w:rsidRDefault="004A35DD" w:rsidP="004A35DD">
      <w:pPr>
        <w:numPr>
          <w:ilvl w:val="0"/>
          <w:numId w:val="6"/>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Sospites de l'existència de maltractament (físic, psicològic o emocional)</w:t>
      </w:r>
    </w:p>
    <w:p w14:paraId="776C591F" w14:textId="77777777" w:rsidR="004A35DD" w:rsidRPr="004A35DD" w:rsidRDefault="004A35DD" w:rsidP="004A35DD">
      <w:pPr>
        <w:spacing w:after="337"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2. Per situació de risc social greu: </w:t>
      </w:r>
    </w:p>
    <w:p w14:paraId="12A400E9" w14:textId="77777777" w:rsidR="004A35DD" w:rsidRPr="004A35DD" w:rsidRDefault="004A35DD" w:rsidP="004A35DD">
      <w:pPr>
        <w:numPr>
          <w:ilvl w:val="1"/>
          <w:numId w:val="7"/>
        </w:numPr>
        <w:spacing w:after="6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Negligència greu. </w:t>
      </w:r>
    </w:p>
    <w:p w14:paraId="38C3ADDB" w14:textId="77777777" w:rsidR="004A35DD" w:rsidRPr="004A35DD" w:rsidRDefault="004A35DD" w:rsidP="004A35DD">
      <w:pPr>
        <w:numPr>
          <w:ilvl w:val="1"/>
          <w:numId w:val="7"/>
        </w:numPr>
        <w:spacing w:after="6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Maltractament psíquic. </w:t>
      </w:r>
    </w:p>
    <w:p w14:paraId="45F181C6" w14:textId="77777777" w:rsidR="004A35DD" w:rsidRPr="004A35DD" w:rsidRDefault="004A35DD" w:rsidP="004A35DD">
      <w:pPr>
        <w:numPr>
          <w:ilvl w:val="1"/>
          <w:numId w:val="7"/>
        </w:numPr>
        <w:spacing w:after="314" w:line="259"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Maltractament físic. - Abús sexual. </w:t>
      </w:r>
    </w:p>
    <w:p w14:paraId="5D0C7340"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per a la utilització del servei de menjador escolar.</w:t>
      </w:r>
    </w:p>
    <w:p w14:paraId="41AE54C9"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7.3 Autoritzacions</w:t>
      </w:r>
    </w:p>
    <w:p w14:paraId="57F78A7F"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La presentació de la sol·licitud implica l’autorització per tal que el Consell Comarcal pugui traslladar la documentació necessària a altres Consells receptors, en el cas que hi hagi un trasllat de l’alumne.</w:t>
      </w:r>
    </w:p>
    <w:p w14:paraId="4E88FE0E"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La presentació de la sol·licitud implica l’autorització, de tots i cadascun dels membres de la unitat familiar, per tal que el Consell Comarcal o el Departament d’Educació i Formació Professional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garantida de ciutadania, ingrés mínim vital i ajuts al lloguer de l’habitatge, entre d’altres necessaris per a la resolució de la sol·licitud de beca.</w:t>
      </w:r>
    </w:p>
    <w:p w14:paraId="788749B5"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8. Criteris per a l’atorgament dels ajuts</w:t>
      </w:r>
    </w:p>
    <w:p w14:paraId="792390CC" w14:textId="77777777" w:rsidR="004A35DD" w:rsidRPr="004A35DD" w:rsidRDefault="004A35DD" w:rsidP="004A35DD">
      <w:pPr>
        <w:spacing w:after="295" w:line="271" w:lineRule="auto"/>
        <w:ind w:left="10" w:right="59"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S’atorgaran ajuts del 70% o de fins al 100% del cost del menjador als alumnes que compleixin els requisits establerts. </w:t>
      </w:r>
      <w:r w:rsidRPr="004A35DD">
        <w:rPr>
          <w:rFonts w:ascii="Arial" w:eastAsia="Arial" w:hAnsi="Arial" w:cs="Arial"/>
          <w:color w:val="000000"/>
          <w:sz w:val="22"/>
          <w:u w:val="single" w:color="000000"/>
          <w:lang w:val="ca-ES" w:eastAsia="es-ES"/>
        </w:rPr>
        <w:t>El cost diari del menjador serà l’establert per a</w:t>
      </w:r>
      <w:r w:rsidRPr="004A35DD">
        <w:rPr>
          <w:rFonts w:ascii="Arial" w:eastAsia="Arial" w:hAnsi="Arial" w:cs="Arial"/>
          <w:color w:val="000000"/>
          <w:sz w:val="22"/>
          <w:lang w:val="ca-ES" w:eastAsia="es-ES"/>
        </w:rPr>
        <w:t xml:space="preserve"> </w:t>
      </w:r>
      <w:r w:rsidRPr="004A35DD">
        <w:rPr>
          <w:rFonts w:ascii="Arial" w:eastAsia="Arial" w:hAnsi="Arial" w:cs="Arial"/>
          <w:color w:val="000000"/>
          <w:sz w:val="22"/>
          <w:u w:val="single" w:color="000000"/>
          <w:lang w:val="ca-ES" w:eastAsia="es-ES"/>
        </w:rPr>
        <w:t>cada centre educatiu i no podrà superar en cap cas el preu màxim establert pel</w:t>
      </w:r>
      <w:r w:rsidRPr="004A35DD">
        <w:rPr>
          <w:rFonts w:ascii="Arial" w:eastAsia="Arial" w:hAnsi="Arial" w:cs="Arial"/>
          <w:color w:val="000000"/>
          <w:sz w:val="22"/>
          <w:lang w:val="ca-ES" w:eastAsia="es-ES"/>
        </w:rPr>
        <w:t xml:space="preserve"> </w:t>
      </w:r>
      <w:r w:rsidRPr="004A35DD">
        <w:rPr>
          <w:rFonts w:ascii="Arial" w:eastAsia="Arial" w:hAnsi="Arial" w:cs="Arial"/>
          <w:color w:val="000000"/>
          <w:sz w:val="22"/>
          <w:u w:val="single" w:color="000000"/>
          <w:lang w:val="ca-ES" w:eastAsia="es-ES"/>
        </w:rPr>
        <w:t>Departament, en funció de la durada de l’espai de migdia.</w:t>
      </w:r>
    </w:p>
    <w:p w14:paraId="6476DF9D"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8.1 Càlcul de la renda familiar</w:t>
      </w:r>
    </w:p>
    <w:p w14:paraId="3F6D6D77"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El Departament d’Educació i Formació Professional o el Consell Comarcal calcularà la renda familiar per l’agregació de les rendes corresponents a l’exercici 2024 de cadascun dels membres computables de la família que obtingui ingressos de qualsevol </w:t>
      </w:r>
      <w:r w:rsidRPr="004A35DD">
        <w:rPr>
          <w:rFonts w:ascii="Arial" w:eastAsia="Arial" w:hAnsi="Arial" w:cs="Arial"/>
          <w:color w:val="000000"/>
          <w:sz w:val="22"/>
          <w:lang w:val="ca-ES" w:eastAsia="es-ES"/>
        </w:rPr>
        <w:lastRenderedPageBreak/>
        <w:t>naturalesa, segons s’indica en els paràgrafs següents i de conformitat amb la normativa reguladora de l’impost sobre la renda de les persones físiques.</w:t>
      </w:r>
    </w:p>
    <w:p w14:paraId="640D497E" w14:textId="77777777" w:rsidR="004A35DD" w:rsidRPr="004A35DD" w:rsidRDefault="004A35DD" w:rsidP="004A35DD">
      <w:pPr>
        <w:spacing w:after="179"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a la determinació de la renda dels membres computables que hagin presentat declaració per l’impost sobre la renda de les persones físiques, es procedirà de la manera següent:</w:t>
      </w:r>
    </w:p>
    <w:p w14:paraId="6CC949C0" w14:textId="77777777" w:rsidR="004A35DD" w:rsidRPr="004A35DD" w:rsidRDefault="004A35DD" w:rsidP="004A35DD">
      <w:pPr>
        <w:numPr>
          <w:ilvl w:val="0"/>
          <w:numId w:val="8"/>
        </w:numPr>
        <w:spacing w:after="179"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Primer: se sumarà la base imposable general amb la base imposable de l’estalvi, excloent-ne els saldos nets negatius de guanys i pèrdues patrimonials corresponents de 2020 a 2023, i el saldo net negatiu de rendiments de capital mobiliari de 2020 a 2023 a integrar a la base imposable de l’estalvi. </w:t>
      </w:r>
    </w:p>
    <w:p w14:paraId="011F48EF" w14:textId="77777777" w:rsidR="004A35DD" w:rsidRPr="004A35DD" w:rsidRDefault="004A35DD" w:rsidP="004A35DD">
      <w:pPr>
        <w:numPr>
          <w:ilvl w:val="0"/>
          <w:numId w:val="8"/>
        </w:numPr>
        <w:spacing w:after="125"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Segon: a aquest resultat es restarà la quota resultant de l’autoliquidació. </w:t>
      </w:r>
    </w:p>
    <w:p w14:paraId="283DA7CE" w14:textId="77777777" w:rsidR="004A35DD" w:rsidRPr="004A35DD" w:rsidRDefault="004A35DD" w:rsidP="004A35DD">
      <w:pPr>
        <w:spacing w:after="330" w:line="270" w:lineRule="auto"/>
        <w:ind w:left="745"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p w14:paraId="605B5F67" w14:textId="77777777" w:rsidR="004A35DD" w:rsidRPr="004A35DD" w:rsidRDefault="004A35DD" w:rsidP="004A35DD">
      <w:pPr>
        <w:spacing w:after="300" w:line="270" w:lineRule="auto"/>
        <w:ind w:left="735" w:right="44" w:hanging="360"/>
        <w:jc w:val="both"/>
        <w:rPr>
          <w:rFonts w:ascii="Arial" w:eastAsia="Arial" w:hAnsi="Arial" w:cs="Arial"/>
          <w:color w:val="000000"/>
          <w:sz w:val="22"/>
          <w:lang w:val="ca-ES" w:eastAsia="es-ES"/>
        </w:rPr>
      </w:pPr>
      <w:r w:rsidRPr="004A35DD">
        <w:rPr>
          <w:rFonts w:ascii="Segoe UI Symbol" w:eastAsia="Segoe UI Symbol" w:hAnsi="Segoe UI Symbol" w:cs="Segoe UI Symbol"/>
          <w:color w:val="000000"/>
          <w:sz w:val="22"/>
          <w:lang w:val="ca-ES" w:eastAsia="es-ES"/>
        </w:rPr>
        <w:t xml:space="preserve"> </w:t>
      </w:r>
      <w:r w:rsidRPr="004A35DD">
        <w:rPr>
          <w:rFonts w:ascii="Arial" w:eastAsia="Arial" w:hAnsi="Arial" w:cs="Arial"/>
          <w:color w:val="000000"/>
          <w:sz w:val="22"/>
          <w:lang w:val="ca-ES" w:eastAsia="es-ES"/>
        </w:rPr>
        <w:t xml:space="preserve">Tercer: Als rendiments obtinguts per les altres dues vies, se’ls hi sumaran tots aquells altres que obtinguts o facilitat corresponents a rendiment no </w:t>
      </w:r>
      <w:proofErr w:type="spellStart"/>
      <w:r w:rsidRPr="004A35DD">
        <w:rPr>
          <w:rFonts w:ascii="Arial" w:eastAsia="Arial" w:hAnsi="Arial" w:cs="Arial"/>
          <w:color w:val="000000"/>
          <w:sz w:val="22"/>
          <w:lang w:val="ca-ES" w:eastAsia="es-ES"/>
        </w:rPr>
        <w:t>tributables</w:t>
      </w:r>
      <w:proofErr w:type="spellEnd"/>
      <w:r w:rsidRPr="004A35DD">
        <w:rPr>
          <w:rFonts w:ascii="Arial" w:eastAsia="Arial" w:hAnsi="Arial" w:cs="Arial"/>
          <w:color w:val="000000"/>
          <w:sz w:val="22"/>
          <w:lang w:val="ca-ES" w:eastAsia="es-ES"/>
        </w:rPr>
        <w:t xml:space="preserve"> o exempts</w:t>
      </w:r>
    </w:p>
    <w:p w14:paraId="2C67E865" w14:textId="77777777" w:rsidR="004A35DD" w:rsidRPr="004A35DD" w:rsidRDefault="004A35DD" w:rsidP="004A35DD">
      <w:pPr>
        <w:spacing w:after="35" w:line="270" w:lineRule="auto"/>
        <w:ind w:left="745"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En els casos que algun dels membres de la unitat familiar rebi qualsevol tipus d’ingrés corresponent a rendiments no </w:t>
      </w:r>
      <w:proofErr w:type="spellStart"/>
      <w:r w:rsidRPr="004A35DD">
        <w:rPr>
          <w:rFonts w:ascii="Arial" w:eastAsia="Arial" w:hAnsi="Arial" w:cs="Arial"/>
          <w:color w:val="000000"/>
          <w:sz w:val="22"/>
          <w:lang w:val="ca-ES" w:eastAsia="es-ES"/>
        </w:rPr>
        <w:t>tributables</w:t>
      </w:r>
      <w:proofErr w:type="spellEnd"/>
      <w:r w:rsidRPr="004A35DD">
        <w:rPr>
          <w:rFonts w:ascii="Arial" w:eastAsia="Arial" w:hAnsi="Arial" w:cs="Arial"/>
          <w:color w:val="000000"/>
          <w:sz w:val="22"/>
          <w:lang w:val="ca-ES" w:eastAsia="es-ES"/>
        </w:rPr>
        <w:t xml:space="preserve"> o exempts, caldrà aportar la següent documentació, en funció de la font o fonts d’ingressos, com pot ser:</w:t>
      </w:r>
    </w:p>
    <w:p w14:paraId="294B3120" w14:textId="77777777" w:rsidR="004A35DD" w:rsidRPr="004A35DD" w:rsidRDefault="004A35DD" w:rsidP="004A35DD">
      <w:pPr>
        <w:numPr>
          <w:ilvl w:val="1"/>
          <w:numId w:val="9"/>
        </w:numPr>
        <w:spacing w:after="32"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Original i fotocòpia de l'informe de vida laboral actualitzat, emès per la Seguretat Social.</w:t>
      </w:r>
    </w:p>
    <w:p w14:paraId="44A86893" w14:textId="77777777" w:rsidR="004A35DD" w:rsidRPr="004A35DD" w:rsidRDefault="004A35DD" w:rsidP="004A35DD">
      <w:pPr>
        <w:numPr>
          <w:ilvl w:val="1"/>
          <w:numId w:val="9"/>
        </w:numPr>
        <w:spacing w:after="1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Les persones que estiguin donades d’alta al sistema especial de treballadors de la llar de la Seguretat Social, caldrà aportar el certificat de cotitzacions corresponent a l’any 2024.</w:t>
      </w:r>
    </w:p>
    <w:p w14:paraId="0BC0A1FA" w14:textId="77777777" w:rsidR="004A35DD" w:rsidRPr="004A35DD" w:rsidRDefault="004A35DD" w:rsidP="004A35DD">
      <w:pPr>
        <w:spacing w:after="156" w:line="270" w:lineRule="auto"/>
        <w:ind w:left="733"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En la resta de situacions no previstes anteriorment el nivell de renda s’haurà d’acreditar mitjançant qualsevol altra documentació fefaent que serà valorada per la Comissió d’adjudicació.</w:t>
      </w:r>
    </w:p>
    <w:p w14:paraId="7812ADBD"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8.2 Deduccions de la renda familiar</w:t>
      </w:r>
    </w:p>
    <w:p w14:paraId="7FA01528"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A l’efecte de la determinació de la renda a què es refereixen els paràgrafs anteriors, un cop calculada la renda familiar a efectes de l’ajut, s’aplicaran les següents deduccions</w:t>
      </w:r>
      <w:r w:rsidRPr="004A35DD">
        <w:rPr>
          <w:rFonts w:ascii="Arial" w:eastAsia="Arial" w:hAnsi="Arial" w:cs="Arial"/>
          <w:b/>
          <w:color w:val="000000"/>
          <w:sz w:val="22"/>
          <w:lang w:val="ca-ES" w:eastAsia="es-ES"/>
        </w:rPr>
        <w:t>:</w:t>
      </w:r>
    </w:p>
    <w:p w14:paraId="3B589625" w14:textId="77777777" w:rsidR="004A35DD" w:rsidRPr="004A35DD" w:rsidRDefault="004A35DD" w:rsidP="004A35DD">
      <w:pPr>
        <w:numPr>
          <w:ilvl w:val="2"/>
          <w:numId w:val="14"/>
        </w:numPr>
        <w:spacing w:after="177"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 cinquanta per cent dels ingressos aportats per qualsevol dels membres computables de la família diferents dels sustentadors principals.</w:t>
      </w:r>
    </w:p>
    <w:p w14:paraId="5084D199" w14:textId="77777777" w:rsidR="004A35DD" w:rsidRPr="004A35DD" w:rsidRDefault="004A35DD" w:rsidP="004A35DD">
      <w:pPr>
        <w:numPr>
          <w:ilvl w:val="2"/>
          <w:numId w:val="14"/>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lastRenderedPageBreak/>
        <w:t>La quantitat de 500,00 € per motius de durada del desplaçament i distància, quan concorrin les situacions següents:</w:t>
      </w:r>
    </w:p>
    <w:p w14:paraId="1269B15A" w14:textId="77777777" w:rsidR="004A35DD" w:rsidRPr="004A35DD" w:rsidRDefault="004A35DD" w:rsidP="004A35DD">
      <w:pPr>
        <w:numPr>
          <w:ilvl w:val="3"/>
          <w:numId w:val="11"/>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Que l’alumne es desplaci en vehicle un mínim de 3 km o el desplaçament tingui una durada superior a 25 minuts des del seu domicili familiar i on té la seva residència habitual fins al centre on està escolaritzat.</w:t>
      </w:r>
    </w:p>
    <w:p w14:paraId="7BC58A35" w14:textId="77777777" w:rsidR="004A35DD" w:rsidRPr="004A35DD" w:rsidRDefault="004A35DD" w:rsidP="004A35DD">
      <w:pPr>
        <w:numPr>
          <w:ilvl w:val="3"/>
          <w:numId w:val="11"/>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w:t>
      </w:r>
    </w:p>
    <w:p w14:paraId="6453FC27" w14:textId="77777777" w:rsidR="004A35DD" w:rsidRPr="004A35DD" w:rsidRDefault="004A35DD" w:rsidP="004A35DD">
      <w:pPr>
        <w:numPr>
          <w:ilvl w:val="3"/>
          <w:numId w:val="11"/>
        </w:numPr>
        <w:spacing w:after="468"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No tenir el servei de menjador escolar amb caràcter preceptiu i, per tant gratuït.</w:t>
      </w:r>
    </w:p>
    <w:p w14:paraId="04FD4966" w14:textId="77777777" w:rsidR="004A35DD" w:rsidRPr="004A35DD" w:rsidRDefault="004A35DD" w:rsidP="004A35DD">
      <w:pPr>
        <w:numPr>
          <w:ilvl w:val="1"/>
          <w:numId w:val="12"/>
        </w:numPr>
        <w:spacing w:after="179"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La quantitat de 1.200,00 € per cada germà o germana, incloent-hi la persona sol·licitant que convisqui en el domicili familiar, quan acrediti la condició de família monoparental</w:t>
      </w:r>
    </w:p>
    <w:p w14:paraId="03F590BF" w14:textId="77777777" w:rsidR="004A35DD" w:rsidRPr="004A35DD" w:rsidRDefault="004A35DD" w:rsidP="004A35DD">
      <w:pPr>
        <w:numPr>
          <w:ilvl w:val="1"/>
          <w:numId w:val="12"/>
        </w:numPr>
        <w:spacing w:after="177"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La quantitat de 800,00 €, quan acreditin l’existència d’infants en acolliment en la unitat familiar extensa o aliena. </w:t>
      </w:r>
    </w:p>
    <w:p w14:paraId="7EBE95D2" w14:textId="77777777" w:rsidR="004A35DD" w:rsidRPr="004A35DD" w:rsidRDefault="004A35DD" w:rsidP="004A35DD">
      <w:pPr>
        <w:numPr>
          <w:ilvl w:val="1"/>
          <w:numId w:val="12"/>
        </w:numPr>
        <w:spacing w:after="178"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La quantitat de 500,00 € per cada germà o germana, incloent-hi la persona sol·licitant que convisqui en el domicili familiar, quan s’acrediti la condició de família nombrosa.</w:t>
      </w:r>
    </w:p>
    <w:p w14:paraId="7086A075" w14:textId="77777777" w:rsidR="004A35DD" w:rsidRPr="004A35DD" w:rsidRDefault="004A35DD" w:rsidP="004A35DD">
      <w:pPr>
        <w:numPr>
          <w:ilvl w:val="1"/>
          <w:numId w:val="12"/>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La quantitat de 3.000,00 € per cada germà o germana, incloent-hi la persona sol·licitant que convisqui en el domicili familiar, quan la persona sol·licitant acrediti la condició de discapacitat d’igual o més d’un 33%.</w:t>
      </w:r>
    </w:p>
    <w:p w14:paraId="77C69C6A"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196B8EB6"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En el cas d’unitats familiars que mitjançant els creuaments no s’hagi obtingut ingressos o que cap dels membres tenen un identificador, serà necessari disposar del </w:t>
      </w:r>
      <w:r w:rsidRPr="004A35DD">
        <w:rPr>
          <w:rFonts w:ascii="Arial" w:eastAsia="Arial" w:hAnsi="Arial" w:cs="Arial"/>
          <w:color w:val="000000"/>
          <w:sz w:val="22"/>
          <w:lang w:val="ca-ES" w:eastAsia="es-ES"/>
        </w:rPr>
        <w:lastRenderedPageBreak/>
        <w:t>corresponent informe de serveis socials en el qual haurà de fer constar aquells ingressos que puguin tenir aquestes unitats i la valoració per situació social de risc, d’acord amb el que s’estableix en el punt 7.2.2) d’aquests criteris.</w:t>
      </w:r>
    </w:p>
    <w:p w14:paraId="4E4EADDD"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8.3 Valoració de situacions específiques de la unitat familiar</w:t>
      </w:r>
    </w:p>
    <w:p w14:paraId="3B70D7A5" w14:textId="77777777" w:rsidR="004A35DD" w:rsidRPr="004A35DD" w:rsidRDefault="004A35DD" w:rsidP="004A35DD">
      <w:pPr>
        <w:spacing w:after="35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aquest concepte, s’estableix un barem màxim de fins a 15 punts, que es calcularà per l’agregació dels punts obtinguts, de tots els membres de la unitat familiar, pels diferents conceptes que es relacionen a continuació, els quals s’hauran d’acreditar fefaentment, mitjançant certificació de l’organisme competent.</w:t>
      </w:r>
    </w:p>
    <w:p w14:paraId="730D9F0B" w14:textId="77777777" w:rsidR="004A35DD" w:rsidRPr="004A35DD" w:rsidRDefault="004A35DD" w:rsidP="004A35DD">
      <w:pPr>
        <w:numPr>
          <w:ilvl w:val="2"/>
          <w:numId w:val="10"/>
        </w:numPr>
        <w:spacing w:after="34"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Qualificació de família nombrosa general, li correspon 1,5 punts.</w:t>
      </w:r>
    </w:p>
    <w:p w14:paraId="6C9B5B7C" w14:textId="77777777" w:rsidR="004A35DD" w:rsidRPr="004A35DD" w:rsidRDefault="004A35DD" w:rsidP="004A35DD">
      <w:pPr>
        <w:numPr>
          <w:ilvl w:val="2"/>
          <w:numId w:val="10"/>
        </w:numPr>
        <w:spacing w:after="34"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Qualificació de família nombrosa especial, li correspon 3 punts.</w:t>
      </w:r>
    </w:p>
    <w:p w14:paraId="1F1192DE" w14:textId="77777777" w:rsidR="004A35DD" w:rsidRPr="004A35DD" w:rsidRDefault="004A35DD" w:rsidP="004A35DD">
      <w:pPr>
        <w:numPr>
          <w:ilvl w:val="2"/>
          <w:numId w:val="10"/>
        </w:numPr>
        <w:spacing w:after="34"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Condició de </w:t>
      </w:r>
      <w:proofErr w:type="spellStart"/>
      <w:r w:rsidRPr="004A35DD">
        <w:rPr>
          <w:rFonts w:ascii="Arial" w:eastAsia="Arial" w:hAnsi="Arial" w:cs="Arial"/>
          <w:color w:val="000000"/>
          <w:sz w:val="22"/>
          <w:lang w:val="ca-ES" w:eastAsia="es-ES"/>
        </w:rPr>
        <w:t>monoparentalitat</w:t>
      </w:r>
      <w:proofErr w:type="spellEnd"/>
      <w:r w:rsidRPr="004A35DD">
        <w:rPr>
          <w:rFonts w:ascii="Arial" w:eastAsia="Arial" w:hAnsi="Arial" w:cs="Arial"/>
          <w:color w:val="000000"/>
          <w:sz w:val="22"/>
          <w:lang w:val="ca-ES" w:eastAsia="es-ES"/>
        </w:rPr>
        <w:t xml:space="preserve"> general, li correspon 1,5 punts.</w:t>
      </w:r>
    </w:p>
    <w:p w14:paraId="003C1B01" w14:textId="77777777" w:rsidR="004A35DD" w:rsidRPr="004A35DD" w:rsidRDefault="004A35DD" w:rsidP="004A35DD">
      <w:pPr>
        <w:numPr>
          <w:ilvl w:val="2"/>
          <w:numId w:val="10"/>
        </w:numPr>
        <w:spacing w:after="34"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Condició de </w:t>
      </w:r>
      <w:proofErr w:type="spellStart"/>
      <w:r w:rsidRPr="004A35DD">
        <w:rPr>
          <w:rFonts w:ascii="Arial" w:eastAsia="Arial" w:hAnsi="Arial" w:cs="Arial"/>
          <w:color w:val="000000"/>
          <w:sz w:val="22"/>
          <w:lang w:val="ca-ES" w:eastAsia="es-ES"/>
        </w:rPr>
        <w:t>monoparentalitat</w:t>
      </w:r>
      <w:proofErr w:type="spellEnd"/>
      <w:r w:rsidRPr="004A35DD">
        <w:rPr>
          <w:rFonts w:ascii="Arial" w:eastAsia="Arial" w:hAnsi="Arial" w:cs="Arial"/>
          <w:color w:val="000000"/>
          <w:sz w:val="22"/>
          <w:lang w:val="ca-ES" w:eastAsia="es-ES"/>
        </w:rPr>
        <w:t xml:space="preserve"> especial, li correspon 3 punts.</w:t>
      </w:r>
    </w:p>
    <w:p w14:paraId="1CE4AC5D" w14:textId="77777777" w:rsidR="004A35DD" w:rsidRPr="004A35DD" w:rsidRDefault="004A35DD" w:rsidP="004A35DD">
      <w:pPr>
        <w:numPr>
          <w:ilvl w:val="2"/>
          <w:numId w:val="10"/>
        </w:numPr>
        <w:spacing w:after="57"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Existència d’infants en acolliment en la unitat familiar extensa o aliena, li correspon 3 punts.</w:t>
      </w:r>
    </w:p>
    <w:p w14:paraId="0BB52BB4" w14:textId="77777777" w:rsidR="004A35DD" w:rsidRPr="004A35DD" w:rsidRDefault="004A35DD" w:rsidP="004A35DD">
      <w:pPr>
        <w:numPr>
          <w:ilvl w:val="2"/>
          <w:numId w:val="10"/>
        </w:numPr>
        <w:spacing w:after="57"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Condició de discapacitat de l’alumne o germans de fins a un 33%, li correspon 1,5 punts.</w:t>
      </w:r>
    </w:p>
    <w:p w14:paraId="405A57EE" w14:textId="77777777" w:rsidR="004A35DD" w:rsidRPr="004A35DD" w:rsidRDefault="004A35DD" w:rsidP="004A35DD">
      <w:pPr>
        <w:numPr>
          <w:ilvl w:val="2"/>
          <w:numId w:val="10"/>
        </w:numPr>
        <w:spacing w:after="57"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Condició de discapacitat de l’alumne o germans de més d’un 33%, li correspon 3 punts.</w:t>
      </w:r>
    </w:p>
    <w:p w14:paraId="64EC207F" w14:textId="77777777" w:rsidR="004A35DD" w:rsidRPr="004A35DD" w:rsidRDefault="004A35DD" w:rsidP="004A35DD">
      <w:pPr>
        <w:numPr>
          <w:ilvl w:val="2"/>
          <w:numId w:val="10"/>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Redistribució equilibrada d’alumnat amb necessitats educatives específiques, li correspon fins a 3 punts.</w:t>
      </w:r>
    </w:p>
    <w:p w14:paraId="51A79C93"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La puntuació que s’indica per a cada concepte és la màxima per aquell concepte, per tant, a efectes d’obtenir la puntuació és indiferent que la compleixin diversos membres de la unitat familiar.</w:t>
      </w:r>
    </w:p>
    <w:p w14:paraId="262E9795"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8.4 Valoració per part dels serveis socials per necessitat social</w:t>
      </w:r>
    </w:p>
    <w:p w14:paraId="647A0359" w14:textId="77777777" w:rsidR="004A35DD" w:rsidRPr="004A35DD" w:rsidRDefault="004A35DD" w:rsidP="004A35DD">
      <w:pPr>
        <w:spacing w:after="179"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aquest concepte s’estableix un barem màxim de fins a 15 punts. En aquest cas serà preceptiu que l’alumne estigui en seguiment, per part dels serveis socials, mitjançant el qual s’acreditarà l’existència d’una necessitat social d’aquesta família. És necessari que l’alumne estigui inclòs en un pla d’intervenció o de treball per risc d’exclusió social. S’acompanyarà d’un informe i s’aplicarà la següent puntuació:</w:t>
      </w:r>
    </w:p>
    <w:p w14:paraId="37DF4D77" w14:textId="77777777" w:rsidR="004A35DD" w:rsidRPr="004A35DD" w:rsidRDefault="004A35DD" w:rsidP="004A35DD">
      <w:pPr>
        <w:numPr>
          <w:ilvl w:val="2"/>
          <w:numId w:val="13"/>
        </w:numPr>
        <w:spacing w:after="154"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Situació de risc social, 10 punts.</w:t>
      </w:r>
    </w:p>
    <w:p w14:paraId="0CABA9CC" w14:textId="77777777" w:rsidR="004A35DD" w:rsidRPr="004A35DD" w:rsidRDefault="004A35DD" w:rsidP="004A35DD">
      <w:pPr>
        <w:numPr>
          <w:ilvl w:val="2"/>
          <w:numId w:val="13"/>
        </w:numPr>
        <w:spacing w:after="271"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Situació de risc social greu, 15 punts.</w:t>
      </w:r>
    </w:p>
    <w:p w14:paraId="309DA93D"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lastRenderedPageBreak/>
        <w:t>9. Consideració dels membres computables de la unitat familiar</w:t>
      </w:r>
    </w:p>
    <w:p w14:paraId="2B72507E"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 quan es tracti de persones amb discapacitat física, psíquica o sensorial, així com els ascendents dels pares que justifiquin la seva residència al mateix domicili que els anteriors amb el certificat municipal corresponent.</w:t>
      </w:r>
    </w:p>
    <w:p w14:paraId="5B86C89D"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14:paraId="5CCB1CE1" w14:textId="77777777" w:rsidR="004A35DD" w:rsidRPr="004A35DD" w:rsidRDefault="004A35DD" w:rsidP="004A35DD">
      <w:pPr>
        <w:spacing w:after="183"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9.1 Tractament específic de determinades situacions en relació a la unitat familiar.</w:t>
      </w:r>
    </w:p>
    <w:p w14:paraId="771FC884" w14:textId="77777777" w:rsidR="004A35DD" w:rsidRPr="004A35DD" w:rsidRDefault="004A35DD" w:rsidP="004A35DD">
      <w:pPr>
        <w:numPr>
          <w:ilvl w:val="0"/>
          <w:numId w:val="15"/>
        </w:numPr>
        <w:spacing w:after="126"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14:paraId="195C558F" w14:textId="77777777" w:rsidR="004A35DD" w:rsidRPr="004A35DD" w:rsidRDefault="004A35DD" w:rsidP="004A35DD">
      <w:pPr>
        <w:spacing w:after="179" w:line="270" w:lineRule="auto"/>
        <w:ind w:left="739"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En el cas que posteriorment a la tramitació de l’ajut amb un sol progenitor l’altre progenitor també el vulgui sol·licitar, es farà una nova valoració </w:t>
      </w:r>
      <w:proofErr w:type="spellStart"/>
      <w:r w:rsidRPr="004A35DD">
        <w:rPr>
          <w:rFonts w:ascii="Arial" w:eastAsia="Arial" w:hAnsi="Arial" w:cs="Arial"/>
          <w:color w:val="000000"/>
          <w:sz w:val="22"/>
          <w:lang w:val="ca-ES" w:eastAsia="es-ES"/>
        </w:rPr>
        <w:t>atenintnos</w:t>
      </w:r>
      <w:proofErr w:type="spellEnd"/>
      <w:r w:rsidRPr="004A35DD">
        <w:rPr>
          <w:rFonts w:ascii="Arial" w:eastAsia="Arial" w:hAnsi="Arial" w:cs="Arial"/>
          <w:color w:val="000000"/>
          <w:sz w:val="22"/>
          <w:lang w:val="ca-ES" w:eastAsia="es-ES"/>
        </w:rPr>
        <w:t xml:space="preserve"> al criteri inicial, d’acord amb el que s’estableix en el paràgraf anterior. Aquesta revisió pot comportar canviar el resultat de l’ajut que s’havia obtingut amb la valoració d’un únic progenitor. </w:t>
      </w:r>
    </w:p>
    <w:p w14:paraId="064B0E1E" w14:textId="77777777" w:rsidR="004A35DD" w:rsidRPr="004A35DD" w:rsidRDefault="004A35DD" w:rsidP="004A35DD">
      <w:pPr>
        <w:numPr>
          <w:ilvl w:val="0"/>
          <w:numId w:val="15"/>
        </w:numPr>
        <w:spacing w:after="416"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Unitats familiar amb situació de violència de gènere En aquest casos caldrà actuar atenent al que s’estableixen en els articles 33, en relació a la identificació de les situacions de violència masclista, i 48, en relació al tractament d’ajuts escolars, de la Llei 5/2008, del 24 d’abril, del dret de les dones a </w:t>
      </w:r>
      <w:proofErr w:type="spellStart"/>
      <w:r w:rsidRPr="004A35DD">
        <w:rPr>
          <w:rFonts w:ascii="Arial" w:eastAsia="Arial" w:hAnsi="Arial" w:cs="Arial"/>
          <w:color w:val="000000"/>
          <w:sz w:val="22"/>
          <w:lang w:val="ca-ES" w:eastAsia="es-ES"/>
        </w:rPr>
        <w:t>eradicar</w:t>
      </w:r>
      <w:proofErr w:type="spellEnd"/>
      <w:r w:rsidRPr="004A35DD">
        <w:rPr>
          <w:rFonts w:ascii="Arial" w:eastAsia="Arial" w:hAnsi="Arial" w:cs="Arial"/>
          <w:color w:val="000000"/>
          <w:sz w:val="22"/>
          <w:lang w:val="ca-ES" w:eastAsia="es-ES"/>
        </w:rPr>
        <w:t xml:space="preserve"> la violència masclista (DOGC Núm. 5123 – 2.5.2008).</w:t>
      </w:r>
    </w:p>
    <w:p w14:paraId="08694D19" w14:textId="77777777" w:rsidR="004A35DD" w:rsidRPr="004A35DD" w:rsidRDefault="004A35DD" w:rsidP="004A35DD">
      <w:pPr>
        <w:spacing w:after="303" w:line="265" w:lineRule="auto"/>
        <w:ind w:left="392" w:hanging="10"/>
        <w:rPr>
          <w:rFonts w:ascii="Arial" w:eastAsia="Arial" w:hAnsi="Arial" w:cs="Arial"/>
          <w:color w:val="000000"/>
          <w:sz w:val="22"/>
          <w:lang w:val="ca-ES" w:eastAsia="es-ES"/>
        </w:rPr>
      </w:pPr>
      <w:r w:rsidRPr="004A35DD">
        <w:rPr>
          <w:rFonts w:ascii="Arial" w:eastAsia="Arial" w:hAnsi="Arial" w:cs="Arial"/>
          <w:b/>
          <w:color w:val="000000"/>
          <w:sz w:val="22"/>
          <w:lang w:val="ca-ES" w:eastAsia="es-ES"/>
        </w:rPr>
        <w:t>10.Llindars de renda, volum de negoci, capital mobiliari de patrimoni.</w:t>
      </w:r>
    </w:p>
    <w:p w14:paraId="4ABF7466" w14:textId="77777777" w:rsidR="004A35DD" w:rsidRPr="004A35DD" w:rsidRDefault="004A35DD" w:rsidP="004A35DD">
      <w:pPr>
        <w:tabs>
          <w:tab w:val="center" w:pos="1438"/>
          <w:tab w:val="center" w:pos="4365"/>
        </w:tabs>
        <w:spacing w:after="300" w:line="270" w:lineRule="auto"/>
        <w:rPr>
          <w:rFonts w:ascii="Arial" w:eastAsia="Arial" w:hAnsi="Arial" w:cs="Arial"/>
          <w:color w:val="000000"/>
          <w:sz w:val="22"/>
          <w:lang w:val="ca-ES" w:eastAsia="es-ES"/>
        </w:rPr>
      </w:pPr>
      <w:r w:rsidRPr="004A35DD">
        <w:rPr>
          <w:rFonts w:ascii="Calibri" w:eastAsia="Calibri" w:hAnsi="Calibri" w:cs="Calibri"/>
          <w:color w:val="000000"/>
          <w:sz w:val="22"/>
          <w:lang w:val="ca-ES" w:eastAsia="es-ES"/>
        </w:rPr>
        <w:tab/>
      </w:r>
      <w:r w:rsidRPr="004A35DD">
        <w:rPr>
          <w:rFonts w:ascii="Arial" w:eastAsia="Arial" w:hAnsi="Arial" w:cs="Arial"/>
          <w:color w:val="000000"/>
          <w:sz w:val="22"/>
          <w:lang w:val="ca-ES" w:eastAsia="es-ES"/>
        </w:rPr>
        <w:t>10.1</w:t>
      </w:r>
      <w:r w:rsidRPr="004A35DD">
        <w:rPr>
          <w:rFonts w:ascii="Arial" w:eastAsia="Arial" w:hAnsi="Arial" w:cs="Arial"/>
          <w:color w:val="000000"/>
          <w:sz w:val="22"/>
          <w:lang w:val="ca-ES" w:eastAsia="es-ES"/>
        </w:rPr>
        <w:tab/>
        <w:t>Llindar de renda, tram garantit d’ajut del 70%:</w:t>
      </w:r>
    </w:p>
    <w:p w14:paraId="2DE14F5D" w14:textId="77777777" w:rsidR="004A35DD" w:rsidRPr="004A35DD" w:rsidRDefault="004A35DD" w:rsidP="004A35DD">
      <w:pPr>
        <w:spacing w:after="179"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 llindar es calcularà en funció dels membres computables de la unitat familiar i per l’agregació de les unitats de consum que es detallen a continuació:</w:t>
      </w:r>
    </w:p>
    <w:p w14:paraId="37AE6240" w14:textId="77777777" w:rsidR="004A35DD" w:rsidRPr="004A35DD" w:rsidRDefault="004A35DD" w:rsidP="004A35DD">
      <w:pPr>
        <w:numPr>
          <w:ilvl w:val="0"/>
          <w:numId w:val="15"/>
        </w:numPr>
        <w:spacing w:after="29"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lastRenderedPageBreak/>
        <w:t>Primer adult (sustentadors principals): 13.311,20 €.</w:t>
      </w:r>
    </w:p>
    <w:p w14:paraId="37FC0552" w14:textId="77777777" w:rsidR="004A35DD" w:rsidRPr="004A35DD" w:rsidRDefault="004A35DD" w:rsidP="004A35DD">
      <w:pPr>
        <w:numPr>
          <w:ilvl w:val="0"/>
          <w:numId w:val="15"/>
        </w:numPr>
        <w:spacing w:after="19"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Segon adult (sustentadors principals) i altres adults que integren la unitat familiar: 6.665.70 €.</w:t>
      </w:r>
    </w:p>
    <w:p w14:paraId="5A64ECFC" w14:textId="77777777" w:rsidR="004A35DD" w:rsidRPr="004A35DD" w:rsidRDefault="004A35DD" w:rsidP="004A35DD">
      <w:pPr>
        <w:numPr>
          <w:ilvl w:val="0"/>
          <w:numId w:val="15"/>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a cada nen/a de la unitat familiar: 3.993,40 €.</w:t>
      </w:r>
    </w:p>
    <w:p w14:paraId="6CE46359"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Si la renda familiar anual, calculada d’acord amb el que estableixen les bases, no supera aquest llindar, es concedirà un ajut de fins a un 70% del cost del servei de menjador, que no podrà superar en cap cas el preu màxim establert pel Departament, en funció de la durada de l’espai de migdia. Cal fixar aquest llindar com a requisit d’accés a la convocatòria. Aquelles sol·licituds que estiguin per sobre d’aquest llindar, constaran com a denegades. </w:t>
      </w:r>
    </w:p>
    <w:p w14:paraId="10C44B71" w14:textId="77777777" w:rsidR="004A35DD" w:rsidRPr="004A35DD" w:rsidRDefault="004A35DD" w:rsidP="004A35DD">
      <w:pPr>
        <w:numPr>
          <w:ilvl w:val="1"/>
          <w:numId w:val="16"/>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Llindar de renda, tram garantit d’ajut del 100%:</w:t>
      </w:r>
    </w:p>
    <w:p w14:paraId="558ED623"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 llindar de renda és el 60% de l’establert per a l’obtenció d’un ajut del tram garantit del 70% i acreditar una puntuació superior o igual a 15 punts entre els àmbits b i c.</w:t>
      </w:r>
    </w:p>
    <w:p w14:paraId="63B9DD5F"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Si la renda familiar anual, calculada d’acord amb el que estableixen les bases, no supera aquest llindar i s’assoleix la puntuació mínima establerta en els àmbits socials (b i c), s’atorgarà un ajut del 100%del cost del servei de menjador, que no podrà superar en cap cas el preu màxim establert pel Departament d’Educació i Formació Professional, en funció de la durada de l’espai de migdia.</w:t>
      </w:r>
    </w:p>
    <w:p w14:paraId="6C6E6B7D" w14:textId="77777777" w:rsidR="004A35DD" w:rsidRPr="004A35DD" w:rsidRDefault="004A35DD" w:rsidP="004A35DD">
      <w:pPr>
        <w:numPr>
          <w:ilvl w:val="1"/>
          <w:numId w:val="16"/>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Llindar de renda, tram garantit d’ajut del 100% per a l’alumnat que no té la puntuació social mínima:</w:t>
      </w:r>
    </w:p>
    <w:p w14:paraId="631E7C6A"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 llindar de renda és el 50% de l’establert per a l’obtenció d’un ajut del tram garantit del 70%. Si la renda familiar anual, calculada d’acord amb el que estableixen les bases no supera aquest llindar, s’atorgarà un ajut del 100% del cost del servei de menjador, que no podrà superar en cap cas el preu màxim establert pel Departament d’Educació i Formació Professional, en funció de la durada de l’espai de migdia.</w:t>
      </w:r>
    </w:p>
    <w:p w14:paraId="2397DED4" w14:textId="77777777" w:rsidR="004A35DD" w:rsidRPr="004A35DD" w:rsidRDefault="004A35DD" w:rsidP="004A35DD">
      <w:pPr>
        <w:numPr>
          <w:ilvl w:val="1"/>
          <w:numId w:val="16"/>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Llindar de renda, tram garantit d’ajut del 100% per a alumnat amb una discapacitat acreditada superior o igual al 33%:</w:t>
      </w:r>
    </w:p>
    <w:p w14:paraId="144C2936"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 llindar de renda és de 2,5 vegades a l’establert per a l’obtenció d’un ajut del tram garantit del 70% i acreditar una discapacitat superior o igual a 33%. Si la renda familiar anual, calculada d’acord amb el que estableixen les bases no supera aquest llindar, s’atorgarà un ajut del 100% del cost del servei de menjador, que no podrà superar en cap cas el preu màxim establert pel Departament d’Educació i Formació Professional, en funció de la durada de l’espai de migdia. Aquesta discapacitat haurà de ser acreditada mitjançant la corresponent certificació de l’òrgan competent.</w:t>
      </w:r>
    </w:p>
    <w:p w14:paraId="48D5A6F4" w14:textId="77777777" w:rsidR="004A35DD" w:rsidRPr="004A35DD" w:rsidRDefault="004A35DD" w:rsidP="004A35DD">
      <w:pPr>
        <w:numPr>
          <w:ilvl w:val="1"/>
          <w:numId w:val="16"/>
        </w:numPr>
        <w:spacing w:after="300"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lastRenderedPageBreak/>
        <w:t>Llindar de volum de negoci</w:t>
      </w:r>
    </w:p>
    <w:p w14:paraId="4772AA2B" w14:textId="77777777" w:rsidR="004A35DD" w:rsidRPr="004A35DD" w:rsidRDefault="004A35DD" w:rsidP="004A35DD">
      <w:pPr>
        <w:spacing w:after="176" w:line="273" w:lineRule="auto"/>
        <w:ind w:left="10" w:hanging="10"/>
        <w:rPr>
          <w:rFonts w:ascii="Arial" w:eastAsia="Arial" w:hAnsi="Arial" w:cs="Arial"/>
          <w:color w:val="000000"/>
          <w:sz w:val="22"/>
          <w:lang w:val="ca-ES" w:eastAsia="es-ES"/>
        </w:rPr>
      </w:pPr>
      <w:r w:rsidRPr="004A35DD">
        <w:rPr>
          <w:rFonts w:ascii="Arial" w:eastAsia="Arial" w:hAnsi="Arial" w:cs="Arial"/>
          <w:color w:val="000000"/>
          <w:sz w:val="22"/>
          <w:lang w:val="ca-ES" w:eastAsia="es-ES"/>
        </w:rPr>
        <w:t>Podran optar als ajuts les unitats familiars amb uns ingressos dels tipus que s’indiquen a continuació obtinguts pels membres computables de la unitat familiar que no superin la quantia de 155.500,00 €:</w:t>
      </w:r>
    </w:p>
    <w:p w14:paraId="14F7110F" w14:textId="77777777" w:rsidR="004A35DD" w:rsidRPr="004A35DD" w:rsidRDefault="004A35DD" w:rsidP="004A35DD">
      <w:pPr>
        <w:numPr>
          <w:ilvl w:val="0"/>
          <w:numId w:val="15"/>
        </w:numPr>
        <w:spacing w:after="177"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Ingressos procedents d’activitats econòmiques en estimació directa o en estimació objectiva.</w:t>
      </w:r>
    </w:p>
    <w:p w14:paraId="65563354" w14:textId="77777777" w:rsidR="004A35DD" w:rsidRPr="004A35DD" w:rsidRDefault="004A35DD" w:rsidP="004A35DD">
      <w:pPr>
        <w:numPr>
          <w:ilvl w:val="0"/>
          <w:numId w:val="15"/>
        </w:numPr>
        <w:spacing w:after="321" w:line="270" w:lineRule="auto"/>
        <w:ind w:right="44"/>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36FC1746" w14:textId="77777777" w:rsidR="004A35DD" w:rsidRPr="004A35DD" w:rsidRDefault="004A35DD" w:rsidP="004A35DD">
      <w:pPr>
        <w:tabs>
          <w:tab w:val="center" w:pos="1438"/>
          <w:tab w:val="center" w:pos="3820"/>
        </w:tabs>
        <w:spacing w:after="300" w:line="270" w:lineRule="auto"/>
        <w:rPr>
          <w:rFonts w:ascii="Arial" w:eastAsia="Arial" w:hAnsi="Arial" w:cs="Arial"/>
          <w:color w:val="000000"/>
          <w:sz w:val="22"/>
          <w:lang w:val="ca-ES" w:eastAsia="es-ES"/>
        </w:rPr>
      </w:pPr>
      <w:r w:rsidRPr="004A35DD">
        <w:rPr>
          <w:rFonts w:ascii="Calibri" w:eastAsia="Calibri" w:hAnsi="Calibri" w:cs="Calibri"/>
          <w:color w:val="000000"/>
          <w:sz w:val="22"/>
          <w:lang w:val="ca-ES" w:eastAsia="es-ES"/>
        </w:rPr>
        <w:tab/>
      </w:r>
      <w:r w:rsidRPr="004A35DD">
        <w:rPr>
          <w:rFonts w:ascii="Arial" w:eastAsia="Arial" w:hAnsi="Arial" w:cs="Arial"/>
          <w:color w:val="000000"/>
          <w:sz w:val="22"/>
          <w:lang w:val="ca-ES" w:eastAsia="es-ES"/>
        </w:rPr>
        <w:t>10.6</w:t>
      </w:r>
      <w:r w:rsidRPr="004A35DD">
        <w:rPr>
          <w:rFonts w:ascii="Arial" w:eastAsia="Arial" w:hAnsi="Arial" w:cs="Arial"/>
          <w:color w:val="000000"/>
          <w:sz w:val="22"/>
          <w:lang w:val="ca-ES" w:eastAsia="es-ES"/>
        </w:rPr>
        <w:tab/>
        <w:t>Llindar de rendiments patrimonials</w:t>
      </w:r>
    </w:p>
    <w:p w14:paraId="0015B8A4"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la renda bàsica d’emancipació i el bo jove cultural, no superi la quantia de 1.700,00 €.</w:t>
      </w:r>
    </w:p>
    <w:p w14:paraId="5C5927BF"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No es tindran en compte als efectes previstos en aquest apartat els primers 1.500,00€ dels premis, en metàl·lic o en espècie, obtinguts per la participació en jocs, concursos, rifes o combinacions aleatòries. Els guanys patrimonials derivats dels premis esmentats es computaran d'acord amb la normativa de l'impost sobre la renda de les persones físiques.</w:t>
      </w:r>
    </w:p>
    <w:p w14:paraId="63569EC1"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14:paraId="0D154DD3"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Els elements indicatius de patrimoni es computaran de conformitat amb el que disposa la normativa de l’impost de la renda de les persones físiques pel seu valor a 31 de desembre de 2024.</w:t>
      </w:r>
    </w:p>
    <w:p w14:paraId="055746DC"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Quan siguin diversos els elements indicatius del patrimoni que disposin els membres computables de la família, s'ha de calcular el percentatge de valor de cada element respecte del llindar corresponent. Es denegaran els ajuts sol·licitats quan la suma dels percentatges esmentats superi el valor de cent.</w:t>
      </w:r>
    </w:p>
    <w:p w14:paraId="00462A09" w14:textId="77777777" w:rsidR="004A35DD" w:rsidRPr="004A35DD" w:rsidRDefault="004A35DD" w:rsidP="004A35DD">
      <w:pPr>
        <w:spacing w:after="300" w:line="270" w:lineRule="auto"/>
        <w:ind w:left="733"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lastRenderedPageBreak/>
        <w:t>10.7 Llindar de valors cadastrals de finques urbanes</w:t>
      </w:r>
    </w:p>
    <w:p w14:paraId="1EC75305"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Podran optar als ajuts les unitats familiars en què la suma dels valors cadastrals de les finques urbanes i de les construccions ubicades en finques rústiques dels membres 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14:paraId="5FC89FB0" w14:textId="77777777" w:rsidR="004A35DD" w:rsidRPr="004A35DD" w:rsidRDefault="004A35DD" w:rsidP="004A35DD">
      <w:pPr>
        <w:spacing w:after="8"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0,43 els revisats el 2003.</w:t>
      </w:r>
    </w:p>
    <w:p w14:paraId="2EA305FE" w14:textId="77777777" w:rsidR="004A35DD" w:rsidRPr="004A35DD" w:rsidRDefault="004A35DD" w:rsidP="004A35DD">
      <w:pPr>
        <w:spacing w:after="8"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Per 0,37 els revisats el 2004. </w:t>
      </w:r>
    </w:p>
    <w:p w14:paraId="3F29C00F" w14:textId="77777777" w:rsidR="004A35DD" w:rsidRPr="004A35DD" w:rsidRDefault="004A35DD" w:rsidP="004A35DD">
      <w:pPr>
        <w:spacing w:after="8"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Per 0,30 els revisats el 2005. </w:t>
      </w:r>
    </w:p>
    <w:p w14:paraId="3FB9D0AC" w14:textId="77777777" w:rsidR="004A35DD" w:rsidRPr="004A35DD" w:rsidRDefault="004A35DD" w:rsidP="004A35DD">
      <w:pPr>
        <w:spacing w:after="8"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Per 0,26 els revisats el 2006. </w:t>
      </w:r>
    </w:p>
    <w:p w14:paraId="56872C6D" w14:textId="77777777" w:rsidR="004A35DD" w:rsidRPr="004A35DD" w:rsidRDefault="004A35DD" w:rsidP="004A35DD">
      <w:pPr>
        <w:spacing w:after="8"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Per 0,25 els revisats el 2007. </w:t>
      </w:r>
    </w:p>
    <w:p w14:paraId="1AC0388D" w14:textId="77777777" w:rsidR="004A35DD" w:rsidRPr="004A35DD" w:rsidRDefault="004A35DD" w:rsidP="004A35DD">
      <w:pPr>
        <w:spacing w:after="6" w:line="270" w:lineRule="auto"/>
        <w:ind w:left="1094" w:right="419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0,25 els revisats el 2008. Per 0,26 els revisats el 2009.</w:t>
      </w:r>
    </w:p>
    <w:p w14:paraId="5B4642BA" w14:textId="77777777" w:rsidR="004A35DD" w:rsidRPr="004A35DD" w:rsidRDefault="004A35DD" w:rsidP="004A35DD">
      <w:pPr>
        <w:spacing w:after="2" w:line="270" w:lineRule="auto"/>
        <w:ind w:left="1094" w:right="4256"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0,28 els revisats el 2010 Per 0,30 els revisats el 2011.</w:t>
      </w:r>
    </w:p>
    <w:p w14:paraId="317ABAAE" w14:textId="77777777" w:rsidR="004A35DD" w:rsidRPr="004A35DD" w:rsidRDefault="004A35DD" w:rsidP="004A35DD">
      <w:pPr>
        <w:spacing w:after="8"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0,32 els revisats el 2012.</w:t>
      </w:r>
    </w:p>
    <w:p w14:paraId="4C586845" w14:textId="77777777" w:rsidR="004A35DD" w:rsidRPr="004A35DD" w:rsidRDefault="004A35DD" w:rsidP="004A35DD">
      <w:pPr>
        <w:spacing w:after="7"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0,34 els revisats el 2013.</w:t>
      </w:r>
    </w:p>
    <w:p w14:paraId="76A50EB5" w14:textId="77777777" w:rsidR="004A35DD" w:rsidRPr="004A35DD" w:rsidRDefault="004A35DD" w:rsidP="004A35DD">
      <w:pPr>
        <w:spacing w:after="8"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0,36 els revistats entre el 2014 i 2021, ambdós inclosos</w:t>
      </w:r>
    </w:p>
    <w:p w14:paraId="35322852" w14:textId="77777777" w:rsidR="004A35DD" w:rsidRPr="004A35DD" w:rsidRDefault="004A35DD" w:rsidP="004A35DD">
      <w:pPr>
        <w:spacing w:after="8"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0,35 els revisats el 2022</w:t>
      </w:r>
    </w:p>
    <w:p w14:paraId="6041A149" w14:textId="77777777" w:rsidR="004A35DD" w:rsidRPr="004A35DD" w:rsidRDefault="004A35DD" w:rsidP="004A35DD">
      <w:pPr>
        <w:spacing w:after="8"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0,34 els revisats el 2023</w:t>
      </w:r>
    </w:p>
    <w:p w14:paraId="50D56302" w14:textId="77777777" w:rsidR="004A35DD" w:rsidRPr="004A35DD" w:rsidRDefault="004A35DD" w:rsidP="004A35DD">
      <w:pPr>
        <w:spacing w:after="589" w:line="270" w:lineRule="auto"/>
        <w:ind w:left="1094"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Per 0,33 els revisats el 2024</w:t>
      </w:r>
    </w:p>
    <w:p w14:paraId="25441660"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10.8 Llindar de valors cadastrals de finques rústiques</w:t>
      </w:r>
    </w:p>
    <w:p w14:paraId="401B21C3"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Podran optar als ajuts les unitats familiars en què la suma dels valors cadastrals de les finques rústiques, exclòs l’habitatge habitual, que pertanyin als membres computables de la unitat familiar no superi la quantitat de 13.130,00 euros per cada membre computable.</w:t>
      </w:r>
    </w:p>
    <w:p w14:paraId="6BEB1B37"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Als efectes del còmput del valor dels elements patrimonials i valors cadastrals a què fan referència els apartats anteriors, es determinarà de conformitat amb el que disposa en la normativa aplicables de l’Impost sobre la Renda de les Persones Físiques pel seu valor a 31 de desembre de 2024 i es deduirà el 50 per cent del valor dels que pertanyin a qualsevol membre computable de la família, exclosos els sustentadors principals.</w:t>
      </w:r>
    </w:p>
    <w:p w14:paraId="358003F8"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lastRenderedPageBreak/>
        <w:t>11. Quantia i pagament dels ajuts</w:t>
      </w:r>
    </w:p>
    <w:p w14:paraId="0B2505A8"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La quantia individual de l’ajut es determinarà en funció del nombre total de dies lectius del curs escolar amb servei de menjador, per una quantitat del 70% del cost del servei.</w:t>
      </w:r>
    </w:p>
    <w:p w14:paraId="2656B93A"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En casos excepcionals, previ informe dels serveis socials que ho justifiqui, es podrà autoritzar la compactació dels ajuts per a determinats dies en una mateixa setmana. </w:t>
      </w:r>
    </w:p>
    <w:p w14:paraId="680CAC93"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En aquest cas, però, aquesta situació excepcional de compactació, s’ha de fer de forma distribuïda, és a dir, es pot compactar en períodes setmanals (p. ex. 3 dies de cada setmana) i no al llarg d’uns mesos (p. ex. de setembre a febrer). Caldrà, però, la sol·licitud explícita per part de la família abans de la data d’inici de la utilització de la beca compactada. </w:t>
      </w:r>
    </w:p>
    <w:p w14:paraId="494580AF"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En qualsevol cas, l’import diari de la beca compactada no podrà superar el preu màxim del servei de menjador establert pel Departament. Pel que fa a l’alumnat beneficiari d’un ajut de menjador escolar del 70% i que hagi optat per compactar aquest ajut, es tindrà en compte un nombre total de fins a 125 dies( curs escolar 178 dies lectius).</w:t>
      </w:r>
    </w:p>
    <w:p w14:paraId="0A668807"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En situacions socials o econòmiques molt greus, ben acreditades documentalment, la quantia de l’ajut pot arribar al 100% del cost del menjador escolar, segons els llindars establerts en l’article 10.2, 10.3 i 10.4.</w:t>
      </w:r>
    </w:p>
    <w:p w14:paraId="1A7D2ED7"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En el cas de gestió de menjador a càrrec del Consell Comarcal de la Selva, o empresa contractada pel mateix Consell, l’abonament de l’ajut es farà automàticament mitjançant compensació amb el rebut mensual de cada beneficiari.</w:t>
      </w:r>
    </w:p>
    <w:p w14:paraId="4F7AADB8"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En la resta de casos, el pagament dels ajuts es realitzarà directament a l’AMPA del centre docent de l’alumne beneficiari de l’ajut (o directament al centre en els casos de centres privats concertats) i pel nombre de dies lectius amb servei de menjador corresponent al període pel qual es fa l’abonament durant els quals l’alumne hagi fet ús efectiu del servei, a partir de la data especificada en la notificació de la concessió de l’ajut.</w:t>
      </w:r>
    </w:p>
    <w:p w14:paraId="30674DDA" w14:textId="77777777" w:rsidR="004A35DD" w:rsidRPr="004A35DD" w:rsidRDefault="004A35DD" w:rsidP="004A35DD">
      <w:pPr>
        <w:keepNext/>
        <w:keepLines/>
        <w:spacing w:after="202"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12. Motius de denegació</w:t>
      </w:r>
    </w:p>
    <w:p w14:paraId="06226E27" w14:textId="77777777" w:rsidR="004A35DD" w:rsidRPr="004A35DD" w:rsidRDefault="004A35DD" w:rsidP="004A35DD">
      <w:pPr>
        <w:spacing w:after="10" w:line="270" w:lineRule="auto"/>
        <w:ind w:left="370" w:right="2200" w:hanging="10"/>
        <w:jc w:val="both"/>
        <w:rPr>
          <w:rFonts w:ascii="Arial" w:eastAsia="Arial" w:hAnsi="Arial" w:cs="Arial"/>
          <w:color w:val="000000"/>
          <w:sz w:val="22"/>
          <w:lang w:val="ca-ES" w:eastAsia="es-ES"/>
        </w:rPr>
      </w:pPr>
      <w:r w:rsidRPr="004A35DD">
        <w:rPr>
          <w:rFonts w:ascii="Sylfaen" w:eastAsia="Sylfaen" w:hAnsi="Sylfaen" w:cs="Sylfaen"/>
          <w:color w:val="000000"/>
          <w:sz w:val="22"/>
          <w:lang w:val="ca-ES" w:eastAsia="es-ES"/>
        </w:rPr>
        <w:t>-</w:t>
      </w:r>
      <w:r w:rsidRPr="004A35DD">
        <w:rPr>
          <w:rFonts w:ascii="Sylfaen" w:eastAsia="Sylfaen" w:hAnsi="Sylfaen" w:cs="Sylfaen"/>
          <w:color w:val="000000"/>
          <w:sz w:val="22"/>
          <w:lang w:val="ca-ES" w:eastAsia="es-ES"/>
        </w:rPr>
        <w:tab/>
      </w:r>
      <w:r w:rsidRPr="004A35DD">
        <w:rPr>
          <w:rFonts w:ascii="Arial" w:eastAsia="Arial" w:hAnsi="Arial" w:cs="Arial"/>
          <w:color w:val="000000"/>
          <w:sz w:val="22"/>
          <w:lang w:val="ca-ES" w:eastAsia="es-ES"/>
        </w:rPr>
        <w:t xml:space="preserve">Superar qualsevol dels llindars econòmics de concessió. </w:t>
      </w:r>
      <w:r w:rsidRPr="004A35DD">
        <w:rPr>
          <w:rFonts w:ascii="Sylfaen" w:eastAsia="Sylfaen" w:hAnsi="Sylfaen" w:cs="Sylfaen"/>
          <w:color w:val="000000"/>
          <w:sz w:val="22"/>
          <w:lang w:val="ca-ES" w:eastAsia="es-ES"/>
        </w:rPr>
        <w:t>-</w:t>
      </w:r>
      <w:r w:rsidRPr="004A35DD">
        <w:rPr>
          <w:rFonts w:ascii="Sylfaen" w:eastAsia="Sylfaen" w:hAnsi="Sylfaen" w:cs="Sylfaen"/>
          <w:color w:val="000000"/>
          <w:sz w:val="22"/>
          <w:lang w:val="ca-ES" w:eastAsia="es-ES"/>
        </w:rPr>
        <w:tab/>
      </w:r>
      <w:r w:rsidRPr="004A35DD">
        <w:rPr>
          <w:rFonts w:ascii="Arial" w:eastAsia="Arial" w:hAnsi="Arial" w:cs="Arial"/>
          <w:color w:val="000000"/>
          <w:sz w:val="22"/>
          <w:lang w:val="ca-ES" w:eastAsia="es-ES"/>
        </w:rPr>
        <w:t>Sol·licitud no ajustada a les bases de la convocatòria.</w:t>
      </w:r>
    </w:p>
    <w:p w14:paraId="71E88C5B"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13. Concessió dels ajuts</w:t>
      </w:r>
    </w:p>
    <w:p w14:paraId="015D7620"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La presidència del Consell Comarcal de la Selva té la facultat de resoldre aquesta convocatòria, previ informe de l’àrea d’Educació de l’ens, que presentarà una proposta de concessió dels ajuts, d'acord amb els barems que s'esmenten en aquestes bases. </w:t>
      </w:r>
      <w:r w:rsidRPr="004A35DD">
        <w:rPr>
          <w:rFonts w:ascii="Arial" w:eastAsia="Arial" w:hAnsi="Arial" w:cs="Arial"/>
          <w:color w:val="000000"/>
          <w:sz w:val="22"/>
          <w:lang w:val="ca-ES" w:eastAsia="es-ES"/>
        </w:rPr>
        <w:lastRenderedPageBreak/>
        <w:t>La Resolució de Presidència resoldrà les sol·licituds atorgades amb especificació del tram d’ajut i les denegades amb la motivació corresponent.</w:t>
      </w:r>
    </w:p>
    <w:p w14:paraId="79894EDC"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Abans que transcorrin quinze dies des de la data d’elevació de la proposta de resolució, la presidència del Consell Comarcal dictarà resolució definitiva d’atorgament dels esmentats ajuts.</w:t>
      </w:r>
    </w:p>
    <w:p w14:paraId="23A358B1"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w:t>
      </w:r>
    </w:p>
    <w:p w14:paraId="4C8E4C9A"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45.1.b) de la Llei 30/2015, d’1 d’octubre, Procediment Administratiu Comú de les Administracions Públiques.</w:t>
      </w:r>
    </w:p>
    <w:p w14:paraId="0A1D82AB"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Els beneficiaris dels ajuts resten obligats a facilitar la informació requerida pels òrgans de control de l’Administració. </w:t>
      </w:r>
    </w:p>
    <w:p w14:paraId="292AA1FB"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 pagament dels ajuts es realitzarà mensualment, prèvia justificació dels dies i comensals beneficiaris dels ajuts, d’acord amb el punt 8 d’aquestes bases. Els centres trametran la justificació definitiva d’usuaris i dies d’utilització del total del curs escolar al Consell Comarcal abans del 30 de juny de 2026.</w:t>
      </w:r>
    </w:p>
    <w:p w14:paraId="6394D513"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En les següents Resolucions de Presidència se seguirà el procediment descrit fins a exhaurir la partida pressupostària segons cada cas.</w:t>
      </w:r>
    </w:p>
    <w:p w14:paraId="5FBF3143"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14. Proposta de resolució provisional, resolució definitiva, terminis i notificació</w:t>
      </w:r>
    </w:p>
    <w:p w14:paraId="44D1BEBE"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Una vegada avaluades les sol·licituds, per l'òrgan instructor es formularà la proposta de resolució provisional, degudament motivada, que serà publicada al taulell d’anuncis del Consell Comarcal de la Selva concedint un termini de 10 dies per presentar al·legacions. </w:t>
      </w:r>
    </w:p>
    <w:p w14:paraId="3D8F4BFA"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3D627E34"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06905634"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lastRenderedPageBreak/>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14:paraId="6A47BD0A"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Una vegada comunicada la concessió de l’ajuda, si en el termini d’un mes no es manifesta el contrari, s’entén acceptada la subvenció, així com les condicions generals i específiques fixades per a la seva aplicació.</w:t>
      </w:r>
    </w:p>
    <w:p w14:paraId="5D2C12A8"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El termini de resolució i notificació serà de 3 mesos. </w:t>
      </w:r>
    </w:p>
    <w:p w14:paraId="7ED491B1"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El venciment del termini màxim sense haver-se notificat la resolució legitima als interessats per entendre desestimada per silenci administratiu la sol·licitud de concessió de la subvenció.</w:t>
      </w:r>
    </w:p>
    <w:p w14:paraId="3BE62B43"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15. Reformulació de sol·licituds</w:t>
      </w:r>
    </w:p>
    <w:p w14:paraId="08167BD7"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w:t>
      </w:r>
      <w:proofErr w:type="spellStart"/>
      <w:r w:rsidRPr="004A35DD">
        <w:rPr>
          <w:rFonts w:ascii="Arial" w:eastAsia="Arial" w:hAnsi="Arial" w:cs="Arial"/>
          <w:color w:val="000000"/>
          <w:sz w:val="22"/>
          <w:lang w:val="ca-ES" w:eastAsia="es-ES"/>
        </w:rPr>
        <w:t>otorgable</w:t>
      </w:r>
      <w:proofErr w:type="spellEnd"/>
      <w:r w:rsidRPr="004A35DD">
        <w:rPr>
          <w:rFonts w:ascii="Arial" w:eastAsia="Arial" w:hAnsi="Arial" w:cs="Arial"/>
          <w:color w:val="000000"/>
          <w:sz w:val="22"/>
          <w:lang w:val="ca-ES" w:eastAsia="es-ES"/>
        </w:rPr>
        <w:t>.</w:t>
      </w:r>
    </w:p>
    <w:p w14:paraId="61999A0E"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Si la sol·licitud mereix la conformitat de l'òrgan col·legiat, es remetrà amb tot l'actuat a l'òrgan competent perquè dicti la resolució. Ha de respectar, en qualsevol cas, l'objecte, condicions i la finalitat de la subvenció, així com els criteris de valoració establerts respecte de les sol·licituds o peticions.</w:t>
      </w:r>
    </w:p>
    <w:p w14:paraId="5CB7F8B4"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t>16. Fi de la via administrativa</w:t>
      </w:r>
    </w:p>
    <w:p w14:paraId="18CD07A1"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L'acte de resolució de la subvenció esgota la via administrativa. </w:t>
      </w:r>
    </w:p>
    <w:p w14:paraId="0CAA7718"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D'acord amb el que disposen els articles 123 i 124 de la Llei 39/2015, d'1 d'octubre, del Procediment Administratiu Comú de les Administracions Públiques, contra aquesta resolució podrà interposar-se recurs potestatiu de reposició davant l'Alcalde d'aquest Ajuntament, en el terme d'un mes a comptar des de l'endemà de la recepció de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02A791C3" w14:textId="77777777" w:rsidR="004A35DD" w:rsidRPr="004A35DD" w:rsidRDefault="004A35DD" w:rsidP="004A35DD">
      <w:pPr>
        <w:keepNext/>
        <w:keepLines/>
        <w:spacing w:after="303" w:line="265" w:lineRule="auto"/>
        <w:ind w:left="10" w:hanging="10"/>
        <w:outlineLvl w:val="1"/>
        <w:rPr>
          <w:rFonts w:ascii="Arial" w:eastAsia="Arial" w:hAnsi="Arial" w:cs="Arial"/>
          <w:b/>
          <w:color w:val="000000"/>
          <w:sz w:val="22"/>
          <w:lang w:val="ca-ES" w:eastAsia="es-ES"/>
        </w:rPr>
      </w:pPr>
      <w:r w:rsidRPr="004A35DD">
        <w:rPr>
          <w:rFonts w:ascii="Arial" w:eastAsia="Arial" w:hAnsi="Arial" w:cs="Arial"/>
          <w:b/>
          <w:color w:val="000000"/>
          <w:sz w:val="22"/>
          <w:lang w:val="ca-ES" w:eastAsia="es-ES"/>
        </w:rPr>
        <w:lastRenderedPageBreak/>
        <w:t>17. Mitjans de notificació o publicació</w:t>
      </w:r>
    </w:p>
    <w:p w14:paraId="718FA899" w14:textId="77777777" w:rsidR="004A35DD" w:rsidRPr="004A35DD" w:rsidRDefault="004A35DD" w:rsidP="004A35DD">
      <w:pPr>
        <w:spacing w:after="263"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 xml:space="preserve">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    </w:t>
      </w:r>
    </w:p>
    <w:p w14:paraId="2F43EFB8" w14:textId="77777777" w:rsidR="004A35DD" w:rsidRPr="004A35DD" w:rsidRDefault="004A35DD" w:rsidP="004A35DD">
      <w:pPr>
        <w:spacing w:after="300" w:line="270" w:lineRule="auto"/>
        <w:ind w:left="10" w:right="44" w:hanging="10"/>
        <w:jc w:val="both"/>
        <w:rPr>
          <w:rFonts w:ascii="Arial" w:eastAsia="Arial" w:hAnsi="Arial" w:cs="Arial"/>
          <w:color w:val="000000"/>
          <w:sz w:val="22"/>
          <w:lang w:val="ca-ES" w:eastAsia="es-ES"/>
        </w:rPr>
      </w:pPr>
      <w:r w:rsidRPr="004A35DD">
        <w:rPr>
          <w:rFonts w:ascii="Arial" w:eastAsia="Arial" w:hAnsi="Arial" w:cs="Arial"/>
          <w:color w:val="000000"/>
          <w:sz w:val="22"/>
          <w:lang w:val="ca-ES" w:eastAsia="es-ES"/>
        </w:rPr>
        <w:t>I, perquè consti, signo aquest certificat, amb el vistiplau del president.</w:t>
      </w:r>
    </w:p>
    <w:p w14:paraId="5C50333E" w14:textId="77777777" w:rsidR="004A35DD" w:rsidRPr="004A35DD" w:rsidRDefault="004A35DD" w:rsidP="004A35DD">
      <w:pPr>
        <w:spacing w:after="0" w:line="259" w:lineRule="auto"/>
        <w:rPr>
          <w:rFonts w:ascii="Arial" w:eastAsia="Arial" w:hAnsi="Arial" w:cs="Arial"/>
          <w:color w:val="000000"/>
          <w:sz w:val="22"/>
          <w:lang w:val="ca-ES" w:eastAsia="es-ES"/>
        </w:rPr>
      </w:pPr>
    </w:p>
    <w:p w14:paraId="6495D08A" w14:textId="77777777" w:rsidR="004A35DD" w:rsidRDefault="004A35DD"/>
    <w:sectPr w:rsidR="004A35DD" w:rsidSect="004A35DD">
      <w:headerReference w:type="even" r:id="rId5"/>
      <w:headerReference w:type="default" r:id="rId6"/>
      <w:footerReference w:type="even" r:id="rId7"/>
      <w:footerReference w:type="default" r:id="rId8"/>
      <w:headerReference w:type="first" r:id="rId9"/>
      <w:footerReference w:type="first" r:id="rId10"/>
      <w:pgSz w:w="11906" w:h="16838"/>
      <w:pgMar w:top="2458" w:right="1701" w:bottom="1771" w:left="1686" w:header="977"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AE6EE" w14:textId="77777777" w:rsidR="00000000" w:rsidRDefault="00000000">
    <w:pPr>
      <w:tabs>
        <w:tab w:val="right" w:pos="8519"/>
      </w:tabs>
      <w:spacing w:after="4" w:line="259" w:lineRule="auto"/>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481A25C8" w14:textId="77777777" w:rsidR="00000000" w:rsidRDefault="00000000">
    <w:pPr>
      <w:tabs>
        <w:tab w:val="center" w:pos="4791"/>
      </w:tabs>
      <w:spacing w:after="4" w:line="259" w:lineRule="auto"/>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2025/00003663R</w:t>
    </w:r>
  </w:p>
  <w:p w14:paraId="2E284405" w14:textId="77777777" w:rsidR="00000000" w:rsidRDefault="00000000">
    <w:pPr>
      <w:spacing w:after="0" w:line="265" w:lineRule="auto"/>
      <w:ind w:left="15"/>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15704322534640656423 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433D3" w14:textId="77777777" w:rsidR="00000000" w:rsidRDefault="00000000">
    <w:pPr>
      <w:tabs>
        <w:tab w:val="right" w:pos="8519"/>
      </w:tabs>
      <w:spacing w:after="4" w:line="259" w:lineRule="auto"/>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5E74F680" w14:textId="77777777" w:rsidR="00000000" w:rsidRDefault="00000000">
    <w:pPr>
      <w:tabs>
        <w:tab w:val="center" w:pos="4791"/>
      </w:tabs>
      <w:spacing w:after="4" w:line="259" w:lineRule="auto"/>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2025/00003663R</w:t>
    </w:r>
  </w:p>
  <w:p w14:paraId="482165F7" w14:textId="77777777" w:rsidR="00000000" w:rsidRDefault="00000000">
    <w:pPr>
      <w:spacing w:after="0" w:line="265" w:lineRule="auto"/>
      <w:ind w:left="15"/>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15704322534640656423 comarca@selva.cat</w:t>
    </w:r>
    <w:r>
      <w:rPr>
        <w:sz w:val="16"/>
      </w:rPr>
      <w:tab/>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1A7E1" w14:textId="77777777" w:rsidR="00000000" w:rsidRDefault="00000000">
    <w:pPr>
      <w:tabs>
        <w:tab w:val="right" w:pos="8519"/>
      </w:tabs>
      <w:spacing w:after="4" w:line="259" w:lineRule="auto"/>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67924903" w14:textId="77777777" w:rsidR="00000000" w:rsidRDefault="00000000">
    <w:pPr>
      <w:tabs>
        <w:tab w:val="center" w:pos="4791"/>
      </w:tabs>
      <w:spacing w:after="4" w:line="259" w:lineRule="auto"/>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2025/00003663R</w:t>
    </w:r>
  </w:p>
  <w:p w14:paraId="7207F60B" w14:textId="77777777" w:rsidR="00000000" w:rsidRDefault="00000000">
    <w:pPr>
      <w:spacing w:after="0" w:line="265" w:lineRule="auto"/>
      <w:ind w:left="15"/>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15704322534640656423 comarca@selva.cat</w:t>
    </w:r>
    <w:r>
      <w:rPr>
        <w:sz w:val="16"/>
      </w:rPr>
      <w:tab/>
      <w:t>https://seu.selva.cat/verificador</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0305B" w14:textId="77777777" w:rsidR="00000000" w:rsidRDefault="00000000">
    <w:pPr>
      <w:spacing w:after="0" w:line="259" w:lineRule="auto"/>
      <w:ind w:left="-1686" w:right="6224"/>
    </w:pPr>
    <w:r>
      <w:rPr>
        <w:noProof/>
      </w:rPr>
      <w:drawing>
        <wp:anchor distT="0" distB="0" distL="114300" distR="114300" simplePos="0" relativeHeight="251659264" behindDoc="0" locked="0" layoutInCell="1" allowOverlap="0" wp14:anchorId="0B1A760B" wp14:editId="112F46FC">
          <wp:simplePos x="0" y="0"/>
          <wp:positionH relativeFrom="page">
            <wp:posOffset>1080135</wp:posOffset>
          </wp:positionH>
          <wp:positionV relativeFrom="page">
            <wp:posOffset>620116</wp:posOffset>
          </wp:positionV>
          <wp:extent cx="1447800" cy="338785"/>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3CB4B" w14:textId="77777777" w:rsidR="00000000" w:rsidRDefault="00000000">
    <w:pPr>
      <w:spacing w:after="0" w:line="259" w:lineRule="auto"/>
      <w:ind w:left="-1686" w:right="6224"/>
    </w:pPr>
    <w:r>
      <w:rPr>
        <w:noProof/>
      </w:rPr>
      <w:drawing>
        <wp:anchor distT="0" distB="0" distL="114300" distR="114300" simplePos="0" relativeHeight="251660288" behindDoc="0" locked="0" layoutInCell="1" allowOverlap="0" wp14:anchorId="5DC2F3DB" wp14:editId="1B120F3F">
          <wp:simplePos x="0" y="0"/>
          <wp:positionH relativeFrom="page">
            <wp:posOffset>1080135</wp:posOffset>
          </wp:positionH>
          <wp:positionV relativeFrom="page">
            <wp:posOffset>620116</wp:posOffset>
          </wp:positionV>
          <wp:extent cx="1447800" cy="338785"/>
          <wp:effectExtent l="0" t="0" r="0" b="0"/>
          <wp:wrapSquare wrapText="bothSides"/>
          <wp:docPr id="61920040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510BC" w14:textId="77777777" w:rsidR="00000000" w:rsidRDefault="00000000">
    <w:pPr>
      <w:spacing w:after="0" w:line="259" w:lineRule="auto"/>
      <w:ind w:left="-1686" w:right="6224"/>
    </w:pPr>
    <w:r>
      <w:rPr>
        <w:noProof/>
      </w:rPr>
      <w:drawing>
        <wp:anchor distT="0" distB="0" distL="114300" distR="114300" simplePos="0" relativeHeight="251661312" behindDoc="0" locked="0" layoutInCell="1" allowOverlap="0" wp14:anchorId="1EDFB2F0" wp14:editId="06E06CDE">
          <wp:simplePos x="0" y="0"/>
          <wp:positionH relativeFrom="page">
            <wp:posOffset>1080135</wp:posOffset>
          </wp:positionH>
          <wp:positionV relativeFrom="page">
            <wp:posOffset>620116</wp:posOffset>
          </wp:positionV>
          <wp:extent cx="1447800" cy="338785"/>
          <wp:effectExtent l="0" t="0" r="0" b="0"/>
          <wp:wrapSquare wrapText="bothSides"/>
          <wp:docPr id="1547662919"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61AC"/>
    <w:multiLevelType w:val="hybridMultilevel"/>
    <w:tmpl w:val="ACB648E0"/>
    <w:lvl w:ilvl="0" w:tplc="0F548A14">
      <w:start w:val="1"/>
      <w:numFmt w:val="bullet"/>
      <w:lvlText w:val="•"/>
      <w:lvlJc w:val="left"/>
      <w:pPr>
        <w:ind w:left="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B2BF6E">
      <w:start w:val="1"/>
      <w:numFmt w:val="bullet"/>
      <w:lvlText w:val="o"/>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82CC5A">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4F6E43C">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2EA37A">
      <w:start w:val="1"/>
      <w:numFmt w:val="bullet"/>
      <w:lvlText w:val="o"/>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CA03402">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5E250BA">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F85428">
      <w:start w:val="1"/>
      <w:numFmt w:val="bullet"/>
      <w:lvlText w:val="o"/>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AC88CE4">
      <w:start w:val="1"/>
      <w:numFmt w:val="bullet"/>
      <w:lvlText w:val="▪"/>
      <w:lvlJc w:val="left"/>
      <w:pPr>
        <w:ind w:left="6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6B77DF"/>
    <w:multiLevelType w:val="hybridMultilevel"/>
    <w:tmpl w:val="D996F986"/>
    <w:lvl w:ilvl="0" w:tplc="284C3266">
      <w:start w:val="1"/>
      <w:numFmt w:val="bullet"/>
      <w:lvlText w:val="•"/>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B8B966">
      <w:start w:val="1"/>
      <w:numFmt w:val="bullet"/>
      <w:lvlText w:val="o"/>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7C4D38">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B56A448">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F4FEBE">
      <w:start w:val="1"/>
      <w:numFmt w:val="bullet"/>
      <w:lvlText w:val="o"/>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5204E70">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11ED1EE">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CE9DDE">
      <w:start w:val="1"/>
      <w:numFmt w:val="bullet"/>
      <w:lvlText w:val="o"/>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10E35E">
      <w:start w:val="1"/>
      <w:numFmt w:val="bullet"/>
      <w:lvlText w:val="▪"/>
      <w:lvlJc w:val="left"/>
      <w:pPr>
        <w:ind w:left="6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5D3198"/>
    <w:multiLevelType w:val="hybridMultilevel"/>
    <w:tmpl w:val="87368A02"/>
    <w:lvl w:ilvl="0" w:tplc="029C566E">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FE0E00">
      <w:start w:val="1"/>
      <w:numFmt w:val="bullet"/>
      <w:lvlText w:val="o"/>
      <w:lvlJc w:val="left"/>
      <w:pPr>
        <w:ind w:left="3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B867EC">
      <w:start w:val="1"/>
      <w:numFmt w:val="bullet"/>
      <w:lvlText w:val="▪"/>
      <w:lvlJc w:val="left"/>
      <w:pPr>
        <w:ind w:left="3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FCC3776">
      <w:start w:val="1"/>
      <w:numFmt w:val="bullet"/>
      <w:lvlText w:val="•"/>
      <w:lvlJc w:val="left"/>
      <w:pPr>
        <w:ind w:left="4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1403C8">
      <w:start w:val="1"/>
      <w:numFmt w:val="bullet"/>
      <w:lvlText w:val="o"/>
      <w:lvlJc w:val="left"/>
      <w:pPr>
        <w:ind w:left="5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A7EB212">
      <w:start w:val="1"/>
      <w:numFmt w:val="bullet"/>
      <w:lvlText w:val="▪"/>
      <w:lvlJc w:val="left"/>
      <w:pPr>
        <w:ind w:left="6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AE9B92">
      <w:start w:val="1"/>
      <w:numFmt w:val="bullet"/>
      <w:lvlText w:val="•"/>
      <w:lvlJc w:val="left"/>
      <w:pPr>
        <w:ind w:left="6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B64B8E">
      <w:start w:val="1"/>
      <w:numFmt w:val="bullet"/>
      <w:lvlText w:val="o"/>
      <w:lvlJc w:val="left"/>
      <w:pPr>
        <w:ind w:left="7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226ACE">
      <w:start w:val="1"/>
      <w:numFmt w:val="bullet"/>
      <w:lvlText w:val="▪"/>
      <w:lvlJc w:val="left"/>
      <w:pPr>
        <w:ind w:left="8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35A27F5"/>
    <w:multiLevelType w:val="hybridMultilevel"/>
    <w:tmpl w:val="304A14B4"/>
    <w:lvl w:ilvl="0" w:tplc="98DA699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AAC60C">
      <w:start w:val="1"/>
      <w:numFmt w:val="bullet"/>
      <w:lvlRestart w:val="0"/>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4CA05EE">
      <w:start w:val="1"/>
      <w:numFmt w:val="bullet"/>
      <w:lvlText w:val="▪"/>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05AB19A">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564354">
      <w:start w:val="1"/>
      <w:numFmt w:val="bullet"/>
      <w:lvlText w:val="o"/>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1AD3A0">
      <w:start w:val="1"/>
      <w:numFmt w:val="bullet"/>
      <w:lvlText w:val="▪"/>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EEAA5F6">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CC0E62">
      <w:start w:val="1"/>
      <w:numFmt w:val="bullet"/>
      <w:lvlText w:val="o"/>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22CFA0">
      <w:start w:val="1"/>
      <w:numFmt w:val="bullet"/>
      <w:lvlText w:val="▪"/>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46B04ED"/>
    <w:multiLevelType w:val="hybridMultilevel"/>
    <w:tmpl w:val="4E940BAE"/>
    <w:lvl w:ilvl="0" w:tplc="71C8701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9A7A78">
      <w:start w:val="1"/>
      <w:numFmt w:val="bullet"/>
      <w:lvlText w:val="o"/>
      <w:lvlJc w:val="left"/>
      <w:pPr>
        <w:ind w:left="7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2021F14">
      <w:start w:val="1"/>
      <w:numFmt w:val="bullet"/>
      <w:lvlRestart w:val="0"/>
      <w:lvlText w:val="•"/>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91E6F58">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0E7276">
      <w:start w:val="1"/>
      <w:numFmt w:val="bullet"/>
      <w:lvlText w:val="o"/>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35ABAEA">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266368">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22A214">
      <w:start w:val="1"/>
      <w:numFmt w:val="bullet"/>
      <w:lvlText w:val="o"/>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74F584">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DDB0590"/>
    <w:multiLevelType w:val="multilevel"/>
    <w:tmpl w:val="4142F614"/>
    <w:lvl w:ilvl="0">
      <w:start w:val="10"/>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2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7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9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6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3D14A2A"/>
    <w:multiLevelType w:val="hybridMultilevel"/>
    <w:tmpl w:val="C1C8A604"/>
    <w:lvl w:ilvl="0" w:tplc="921257BC">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AF4A8FC">
      <w:start w:val="1"/>
      <w:numFmt w:val="bullet"/>
      <w:lvlText w:val="o"/>
      <w:lvlJc w:val="left"/>
      <w:pPr>
        <w:ind w:left="8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386BD62">
      <w:start w:val="1"/>
      <w:numFmt w:val="bullet"/>
      <w:lvlText w:val="▪"/>
      <w:lvlJc w:val="left"/>
      <w:pPr>
        <w:ind w:left="13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07685E8">
      <w:start w:val="1"/>
      <w:numFmt w:val="bullet"/>
      <w:lvlRestart w:val="0"/>
      <w:lvlText w:val="o"/>
      <w:lvlJc w:val="left"/>
      <w:pPr>
        <w:ind w:left="14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07AC2DA">
      <w:start w:val="1"/>
      <w:numFmt w:val="bullet"/>
      <w:lvlText w:val="o"/>
      <w:lvlJc w:val="left"/>
      <w:pPr>
        <w:ind w:left="25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D4D2F92C">
      <w:start w:val="1"/>
      <w:numFmt w:val="bullet"/>
      <w:lvlText w:val="▪"/>
      <w:lvlJc w:val="left"/>
      <w:pPr>
        <w:ind w:left="32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C56FC00">
      <w:start w:val="1"/>
      <w:numFmt w:val="bullet"/>
      <w:lvlText w:val="•"/>
      <w:lvlJc w:val="left"/>
      <w:pPr>
        <w:ind w:left="39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AAC60E4">
      <w:start w:val="1"/>
      <w:numFmt w:val="bullet"/>
      <w:lvlText w:val="o"/>
      <w:lvlJc w:val="left"/>
      <w:pPr>
        <w:ind w:left="46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2426D20">
      <w:start w:val="1"/>
      <w:numFmt w:val="bullet"/>
      <w:lvlText w:val="▪"/>
      <w:lvlJc w:val="left"/>
      <w:pPr>
        <w:ind w:left="54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7214FC4"/>
    <w:multiLevelType w:val="hybridMultilevel"/>
    <w:tmpl w:val="8A7E96EA"/>
    <w:lvl w:ilvl="0" w:tplc="0E808A9A">
      <w:start w:val="1"/>
      <w:numFmt w:val="lowerLetter"/>
      <w:lvlText w:val="%1)"/>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566D58">
      <w:start w:val="1"/>
      <w:numFmt w:val="lowerLetter"/>
      <w:lvlText w:val="%2"/>
      <w:lvlJc w:val="left"/>
      <w:pPr>
        <w:ind w:left="1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1851EE">
      <w:start w:val="1"/>
      <w:numFmt w:val="lowerRoman"/>
      <w:lvlText w:val="%3"/>
      <w:lvlJc w:val="left"/>
      <w:pPr>
        <w:ind w:left="2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1CE626C">
      <w:start w:val="1"/>
      <w:numFmt w:val="decimal"/>
      <w:lvlText w:val="%4"/>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3A2372">
      <w:start w:val="1"/>
      <w:numFmt w:val="lowerLetter"/>
      <w:lvlText w:val="%5"/>
      <w:lvlJc w:val="left"/>
      <w:pPr>
        <w:ind w:left="3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EEC35C">
      <w:start w:val="1"/>
      <w:numFmt w:val="lowerRoman"/>
      <w:lvlText w:val="%6"/>
      <w:lvlJc w:val="left"/>
      <w:pPr>
        <w:ind w:left="4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1829AE">
      <w:start w:val="1"/>
      <w:numFmt w:val="decimal"/>
      <w:lvlText w:val="%7"/>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1E3A4A">
      <w:start w:val="1"/>
      <w:numFmt w:val="lowerLetter"/>
      <w:lvlText w:val="%8"/>
      <w:lvlJc w:val="left"/>
      <w:pPr>
        <w:ind w:left="6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7E009C">
      <w:start w:val="1"/>
      <w:numFmt w:val="lowerRoman"/>
      <w:lvlText w:val="%9"/>
      <w:lvlJc w:val="left"/>
      <w:pPr>
        <w:ind w:left="6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7786726"/>
    <w:multiLevelType w:val="hybridMultilevel"/>
    <w:tmpl w:val="C02E45F4"/>
    <w:lvl w:ilvl="0" w:tplc="FA54F79A">
      <w:start w:val="1"/>
      <w:numFmt w:val="bullet"/>
      <w:lvlText w:val="•"/>
      <w:lvlJc w:val="left"/>
      <w:pPr>
        <w:ind w:left="3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6EE6CB8A">
      <w:start w:val="1"/>
      <w:numFmt w:val="bullet"/>
      <w:lvlRestart w:val="0"/>
      <w:lvlText w:val="-"/>
      <w:lvlJc w:val="left"/>
      <w:pPr>
        <w:ind w:left="1431"/>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26108D7C">
      <w:start w:val="1"/>
      <w:numFmt w:val="bullet"/>
      <w:lvlText w:val="▪"/>
      <w:lvlJc w:val="left"/>
      <w:pPr>
        <w:ind w:left="21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4ABC5CD0">
      <w:start w:val="1"/>
      <w:numFmt w:val="bullet"/>
      <w:lvlText w:val="•"/>
      <w:lvlJc w:val="left"/>
      <w:pPr>
        <w:ind w:left="28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1FD21A00">
      <w:start w:val="1"/>
      <w:numFmt w:val="bullet"/>
      <w:lvlText w:val="o"/>
      <w:lvlJc w:val="left"/>
      <w:pPr>
        <w:ind w:left="361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BBDA5250">
      <w:start w:val="1"/>
      <w:numFmt w:val="bullet"/>
      <w:lvlText w:val="▪"/>
      <w:lvlJc w:val="left"/>
      <w:pPr>
        <w:ind w:left="433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5CD23CAE">
      <w:start w:val="1"/>
      <w:numFmt w:val="bullet"/>
      <w:lvlText w:val="•"/>
      <w:lvlJc w:val="left"/>
      <w:pPr>
        <w:ind w:left="505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3274DA50">
      <w:start w:val="1"/>
      <w:numFmt w:val="bullet"/>
      <w:lvlText w:val="o"/>
      <w:lvlJc w:val="left"/>
      <w:pPr>
        <w:ind w:left="57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D6FC3EBA">
      <w:start w:val="1"/>
      <w:numFmt w:val="bullet"/>
      <w:lvlText w:val="▪"/>
      <w:lvlJc w:val="left"/>
      <w:pPr>
        <w:ind w:left="64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62E528E"/>
    <w:multiLevelType w:val="hybridMultilevel"/>
    <w:tmpl w:val="ACDE75C2"/>
    <w:lvl w:ilvl="0" w:tplc="14D23888">
      <w:start w:val="1"/>
      <w:numFmt w:val="bullet"/>
      <w:lvlText w:val="•"/>
      <w:lvlJc w:val="left"/>
      <w:pPr>
        <w:ind w:left="2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D25096">
      <w:start w:val="1"/>
      <w:numFmt w:val="bullet"/>
      <w:lvlText w:val="o"/>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2CA946">
      <w:start w:val="1"/>
      <w:numFmt w:val="bullet"/>
      <w:lvlText w:val="▪"/>
      <w:lvlJc w:val="left"/>
      <w:pPr>
        <w:ind w:left="33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927428">
      <w:start w:val="1"/>
      <w:numFmt w:val="bullet"/>
      <w:lvlText w:val="•"/>
      <w:lvlJc w:val="left"/>
      <w:pPr>
        <w:ind w:left="40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4CCBCC">
      <w:start w:val="1"/>
      <w:numFmt w:val="bullet"/>
      <w:lvlText w:val="o"/>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C0C4578">
      <w:start w:val="1"/>
      <w:numFmt w:val="bullet"/>
      <w:lvlText w:val="▪"/>
      <w:lvlJc w:val="left"/>
      <w:pPr>
        <w:ind w:left="5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1B4AEDC">
      <w:start w:val="1"/>
      <w:numFmt w:val="bullet"/>
      <w:lvlText w:val="•"/>
      <w:lvlJc w:val="left"/>
      <w:pPr>
        <w:ind w:left="6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2C3A28">
      <w:start w:val="1"/>
      <w:numFmt w:val="bullet"/>
      <w:lvlText w:val="o"/>
      <w:lvlJc w:val="left"/>
      <w:pPr>
        <w:ind w:left="6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9643CE0">
      <w:start w:val="1"/>
      <w:numFmt w:val="bullet"/>
      <w:lvlText w:val="▪"/>
      <w:lvlJc w:val="left"/>
      <w:pPr>
        <w:ind w:left="76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034514F"/>
    <w:multiLevelType w:val="hybridMultilevel"/>
    <w:tmpl w:val="0FD00F0E"/>
    <w:lvl w:ilvl="0" w:tplc="027245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D8661E">
      <w:start w:val="1"/>
      <w:numFmt w:val="bullet"/>
      <w:lvlText w:val="o"/>
      <w:lvlJc w:val="left"/>
      <w:pPr>
        <w:ind w:left="7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FC63894">
      <w:start w:val="1"/>
      <w:numFmt w:val="bullet"/>
      <w:lvlRestart w:val="0"/>
      <w:lvlText w:val="•"/>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00A294">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B8B290">
      <w:start w:val="1"/>
      <w:numFmt w:val="bullet"/>
      <w:lvlText w:val="o"/>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FC3B44">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FB6FE1E">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8AD5DA">
      <w:start w:val="1"/>
      <w:numFmt w:val="bullet"/>
      <w:lvlText w:val="o"/>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83E97E8">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7553DCA"/>
    <w:multiLevelType w:val="hybridMultilevel"/>
    <w:tmpl w:val="53820F2C"/>
    <w:lvl w:ilvl="0" w:tplc="708E920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AAD316">
      <w:start w:val="1"/>
      <w:numFmt w:val="bullet"/>
      <w:lvlText w:val="o"/>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782F76">
      <w:start w:val="1"/>
      <w:numFmt w:val="bullet"/>
      <w:lvlRestart w:val="0"/>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C280E86">
      <w:start w:val="1"/>
      <w:numFmt w:val="bullet"/>
      <w:lvlText w:val="•"/>
      <w:lvlJc w:val="left"/>
      <w:pPr>
        <w:ind w:left="1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0836E6">
      <w:start w:val="1"/>
      <w:numFmt w:val="bullet"/>
      <w:lvlText w:val="o"/>
      <w:lvlJc w:val="left"/>
      <w:pPr>
        <w:ind w:left="2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938DEDA">
      <w:start w:val="1"/>
      <w:numFmt w:val="bullet"/>
      <w:lvlText w:val="▪"/>
      <w:lvlJc w:val="left"/>
      <w:pPr>
        <w:ind w:left="3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48EC28">
      <w:start w:val="1"/>
      <w:numFmt w:val="bullet"/>
      <w:lvlText w:val="•"/>
      <w:lvlJc w:val="left"/>
      <w:pPr>
        <w:ind w:left="3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D8470C">
      <w:start w:val="1"/>
      <w:numFmt w:val="bullet"/>
      <w:lvlText w:val="o"/>
      <w:lvlJc w:val="left"/>
      <w:pPr>
        <w:ind w:left="4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B7CBAD0">
      <w:start w:val="1"/>
      <w:numFmt w:val="bullet"/>
      <w:lvlText w:val="▪"/>
      <w:lvlJc w:val="left"/>
      <w:pPr>
        <w:ind w:left="5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18A5F45"/>
    <w:multiLevelType w:val="hybridMultilevel"/>
    <w:tmpl w:val="5770FAA2"/>
    <w:lvl w:ilvl="0" w:tplc="D30862C2">
      <w:start w:val="1"/>
      <w:numFmt w:val="bullet"/>
      <w:lvlText w:val="-"/>
      <w:lvlJc w:val="left"/>
      <w:pPr>
        <w:ind w:left="72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3508D18E">
      <w:start w:val="1"/>
      <w:numFmt w:val="bullet"/>
      <w:lvlText w:val="o"/>
      <w:lvlJc w:val="left"/>
      <w:pPr>
        <w:ind w:left="145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EC9C9BCA">
      <w:start w:val="1"/>
      <w:numFmt w:val="bullet"/>
      <w:lvlText w:val="▪"/>
      <w:lvlJc w:val="left"/>
      <w:pPr>
        <w:ind w:left="217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40DEF7F2">
      <w:start w:val="1"/>
      <w:numFmt w:val="bullet"/>
      <w:lvlText w:val="•"/>
      <w:lvlJc w:val="left"/>
      <w:pPr>
        <w:ind w:left="289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B9AA3412">
      <w:start w:val="1"/>
      <w:numFmt w:val="bullet"/>
      <w:lvlText w:val="o"/>
      <w:lvlJc w:val="left"/>
      <w:pPr>
        <w:ind w:left="361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EBD63082">
      <w:start w:val="1"/>
      <w:numFmt w:val="bullet"/>
      <w:lvlText w:val="▪"/>
      <w:lvlJc w:val="left"/>
      <w:pPr>
        <w:ind w:left="433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6D6895D8">
      <w:start w:val="1"/>
      <w:numFmt w:val="bullet"/>
      <w:lvlText w:val="•"/>
      <w:lvlJc w:val="left"/>
      <w:pPr>
        <w:ind w:left="505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F0904EA8">
      <w:start w:val="1"/>
      <w:numFmt w:val="bullet"/>
      <w:lvlText w:val="o"/>
      <w:lvlJc w:val="left"/>
      <w:pPr>
        <w:ind w:left="577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DDBAE576">
      <w:start w:val="1"/>
      <w:numFmt w:val="bullet"/>
      <w:lvlText w:val="▪"/>
      <w:lvlJc w:val="left"/>
      <w:pPr>
        <w:ind w:left="649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B771DED"/>
    <w:multiLevelType w:val="hybridMultilevel"/>
    <w:tmpl w:val="6E7884F4"/>
    <w:lvl w:ilvl="0" w:tplc="0ED21248">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7897EE">
      <w:start w:val="1"/>
      <w:numFmt w:val="bullet"/>
      <w:lvlText w:val="-"/>
      <w:lvlJc w:val="left"/>
      <w:pPr>
        <w:ind w:left="2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D2C8B32">
      <w:start w:val="1"/>
      <w:numFmt w:val="bullet"/>
      <w:lvlText w:val="▪"/>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4CE15DE">
      <w:start w:val="1"/>
      <w:numFmt w:val="bullet"/>
      <w:lvlText w:val="•"/>
      <w:lvlJc w:val="left"/>
      <w:pPr>
        <w:ind w:left="3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6C804C">
      <w:start w:val="1"/>
      <w:numFmt w:val="bullet"/>
      <w:lvlText w:val="o"/>
      <w:lvlJc w:val="left"/>
      <w:pPr>
        <w:ind w:left="4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DC233B4">
      <w:start w:val="1"/>
      <w:numFmt w:val="bullet"/>
      <w:lvlText w:val="▪"/>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DAEB38">
      <w:start w:val="1"/>
      <w:numFmt w:val="bullet"/>
      <w:lvlText w:val="•"/>
      <w:lvlJc w:val="left"/>
      <w:pPr>
        <w:ind w:left="6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8E26FE">
      <w:start w:val="1"/>
      <w:numFmt w:val="bullet"/>
      <w:lvlText w:val="o"/>
      <w:lvlJc w:val="left"/>
      <w:pPr>
        <w:ind w:left="6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E0EB1A0">
      <w:start w:val="1"/>
      <w:numFmt w:val="bullet"/>
      <w:lvlText w:val="▪"/>
      <w:lvlJc w:val="left"/>
      <w:pPr>
        <w:ind w:left="75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FBA2AE1"/>
    <w:multiLevelType w:val="hybridMultilevel"/>
    <w:tmpl w:val="798A33F0"/>
    <w:lvl w:ilvl="0" w:tplc="D1D8FF8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F45E9C">
      <w:start w:val="1"/>
      <w:numFmt w:val="bullet"/>
      <w:lvlText w:val="o"/>
      <w:lvlJc w:val="left"/>
      <w:pPr>
        <w:ind w:left="9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1EA89AA">
      <w:start w:val="1"/>
      <w:numFmt w:val="bullet"/>
      <w:lvlText w:val="▪"/>
      <w:lvlJc w:val="left"/>
      <w:pPr>
        <w:ind w:left="1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CCC70E6">
      <w:start w:val="1"/>
      <w:numFmt w:val="bullet"/>
      <w:lvlRestart w:val="0"/>
      <w:lvlText w:val="-"/>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9A9DB2">
      <w:start w:val="1"/>
      <w:numFmt w:val="bullet"/>
      <w:lvlText w:val="o"/>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B4668E0">
      <w:start w:val="1"/>
      <w:numFmt w:val="bullet"/>
      <w:lvlText w:val="▪"/>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825B5A">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569706">
      <w:start w:val="1"/>
      <w:numFmt w:val="bullet"/>
      <w:lvlText w:val="o"/>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E7DA">
      <w:start w:val="1"/>
      <w:numFmt w:val="bullet"/>
      <w:lvlText w:val="▪"/>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E3070AA"/>
    <w:multiLevelType w:val="hybridMultilevel"/>
    <w:tmpl w:val="F498EB6C"/>
    <w:lvl w:ilvl="0" w:tplc="1BF8483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A4F7C2">
      <w:start w:val="1"/>
      <w:numFmt w:val="bullet"/>
      <w:lvlRestart w:val="0"/>
      <w:lvlText w:val="-"/>
      <w:lvlJc w:val="left"/>
      <w:pPr>
        <w:ind w:left="2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7801812">
      <w:start w:val="1"/>
      <w:numFmt w:val="bullet"/>
      <w:lvlText w:val="▪"/>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164AB2">
      <w:start w:val="1"/>
      <w:numFmt w:val="bullet"/>
      <w:lvlText w:val="•"/>
      <w:lvlJc w:val="left"/>
      <w:pPr>
        <w:ind w:left="3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02B4D8">
      <w:start w:val="1"/>
      <w:numFmt w:val="bullet"/>
      <w:lvlText w:val="o"/>
      <w:lvlJc w:val="left"/>
      <w:pPr>
        <w:ind w:left="4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AAD862">
      <w:start w:val="1"/>
      <w:numFmt w:val="bullet"/>
      <w:lvlText w:val="▪"/>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A20A0A0">
      <w:start w:val="1"/>
      <w:numFmt w:val="bullet"/>
      <w:lvlText w:val="•"/>
      <w:lvlJc w:val="left"/>
      <w:pPr>
        <w:ind w:left="6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064BFC">
      <w:start w:val="1"/>
      <w:numFmt w:val="bullet"/>
      <w:lvlText w:val="o"/>
      <w:lvlJc w:val="left"/>
      <w:pPr>
        <w:ind w:left="6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CF0C072">
      <w:start w:val="1"/>
      <w:numFmt w:val="bullet"/>
      <w:lvlText w:val="▪"/>
      <w:lvlJc w:val="left"/>
      <w:pPr>
        <w:ind w:left="75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309795427">
    <w:abstractNumId w:val="7"/>
  </w:num>
  <w:num w:numId="2" w16cid:durableId="1024945568">
    <w:abstractNumId w:val="12"/>
  </w:num>
  <w:num w:numId="3" w16cid:durableId="1620648408">
    <w:abstractNumId w:val="1"/>
  </w:num>
  <w:num w:numId="4" w16cid:durableId="104471674">
    <w:abstractNumId w:val="6"/>
  </w:num>
  <w:num w:numId="5" w16cid:durableId="2099978044">
    <w:abstractNumId w:val="13"/>
  </w:num>
  <w:num w:numId="6" w16cid:durableId="583802081">
    <w:abstractNumId w:val="2"/>
  </w:num>
  <w:num w:numId="7" w16cid:durableId="1327787099">
    <w:abstractNumId w:val="15"/>
  </w:num>
  <w:num w:numId="8" w16cid:durableId="656153657">
    <w:abstractNumId w:val="0"/>
  </w:num>
  <w:num w:numId="9" w16cid:durableId="2052028264">
    <w:abstractNumId w:val="8"/>
  </w:num>
  <w:num w:numId="10" w16cid:durableId="2126659351">
    <w:abstractNumId w:val="4"/>
  </w:num>
  <w:num w:numId="11" w16cid:durableId="410271914">
    <w:abstractNumId w:val="14"/>
  </w:num>
  <w:num w:numId="12" w16cid:durableId="792135535">
    <w:abstractNumId w:val="3"/>
  </w:num>
  <w:num w:numId="13" w16cid:durableId="174728640">
    <w:abstractNumId w:val="10"/>
  </w:num>
  <w:num w:numId="14" w16cid:durableId="24451806">
    <w:abstractNumId w:val="11"/>
  </w:num>
  <w:num w:numId="15" w16cid:durableId="878665144">
    <w:abstractNumId w:val="9"/>
  </w:num>
  <w:num w:numId="16" w16cid:durableId="21300830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5DD"/>
    <w:rsid w:val="004A35DD"/>
    <w:rsid w:val="00AD2E76"/>
    <w:rsid w:val="00C90AE7"/>
    <w:rsid w:val="00D404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D6934"/>
  <w15:chartTrackingRefBased/>
  <w15:docId w15:val="{B312655C-E594-4F97-9756-7996939B0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A35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A35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A35D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A35D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A35D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A35D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35D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35D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35D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35D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A35D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A35D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A35D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A35D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A35D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A35D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A35D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A35DD"/>
    <w:rPr>
      <w:rFonts w:eastAsiaTheme="majorEastAsia" w:cstheme="majorBidi"/>
      <w:color w:val="272727" w:themeColor="text1" w:themeTint="D8"/>
    </w:rPr>
  </w:style>
  <w:style w:type="paragraph" w:styleId="Ttulo">
    <w:name w:val="Title"/>
    <w:basedOn w:val="Normal"/>
    <w:next w:val="Normal"/>
    <w:link w:val="TtuloCar"/>
    <w:uiPriority w:val="10"/>
    <w:qFormat/>
    <w:rsid w:val="004A35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35D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A35D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35D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A35DD"/>
    <w:pPr>
      <w:spacing w:before="160"/>
      <w:jc w:val="center"/>
    </w:pPr>
    <w:rPr>
      <w:i/>
      <w:iCs/>
      <w:color w:val="404040" w:themeColor="text1" w:themeTint="BF"/>
    </w:rPr>
  </w:style>
  <w:style w:type="character" w:customStyle="1" w:styleId="CitaCar">
    <w:name w:val="Cita Car"/>
    <w:basedOn w:val="Fuentedeprrafopredeter"/>
    <w:link w:val="Cita"/>
    <w:uiPriority w:val="29"/>
    <w:rsid w:val="004A35DD"/>
    <w:rPr>
      <w:i/>
      <w:iCs/>
      <w:color w:val="404040" w:themeColor="text1" w:themeTint="BF"/>
    </w:rPr>
  </w:style>
  <w:style w:type="paragraph" w:styleId="Prrafodelista">
    <w:name w:val="List Paragraph"/>
    <w:basedOn w:val="Normal"/>
    <w:uiPriority w:val="34"/>
    <w:qFormat/>
    <w:rsid w:val="004A35DD"/>
    <w:pPr>
      <w:ind w:left="720"/>
      <w:contextualSpacing/>
    </w:pPr>
  </w:style>
  <w:style w:type="character" w:styleId="nfasisintenso">
    <w:name w:val="Intense Emphasis"/>
    <w:basedOn w:val="Fuentedeprrafopredeter"/>
    <w:uiPriority w:val="21"/>
    <w:qFormat/>
    <w:rsid w:val="004A35DD"/>
    <w:rPr>
      <w:i/>
      <w:iCs/>
      <w:color w:val="2F5496" w:themeColor="accent1" w:themeShade="BF"/>
    </w:rPr>
  </w:style>
  <w:style w:type="paragraph" w:styleId="Citadestacada">
    <w:name w:val="Intense Quote"/>
    <w:basedOn w:val="Normal"/>
    <w:next w:val="Normal"/>
    <w:link w:val="CitadestacadaCar"/>
    <w:uiPriority w:val="30"/>
    <w:qFormat/>
    <w:rsid w:val="004A35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A35DD"/>
    <w:rPr>
      <w:i/>
      <w:iCs/>
      <w:color w:val="2F5496" w:themeColor="accent1" w:themeShade="BF"/>
    </w:rPr>
  </w:style>
  <w:style w:type="character" w:styleId="Referenciaintensa">
    <w:name w:val="Intense Reference"/>
    <w:basedOn w:val="Fuentedeprrafopredeter"/>
    <w:uiPriority w:val="32"/>
    <w:qFormat/>
    <w:rsid w:val="004A35DD"/>
    <w:rPr>
      <w:b/>
      <w:bCs/>
      <w:smallCaps/>
      <w:color w:val="2F5496" w:themeColor="accent1" w:themeShade="BF"/>
      <w:spacing w:val="5"/>
    </w:rPr>
  </w:style>
  <w:style w:type="table" w:customStyle="1" w:styleId="TableGrid">
    <w:name w:val="TableGrid"/>
    <w:rsid w:val="004A35DD"/>
    <w:pPr>
      <w:spacing w:after="0" w:line="240" w:lineRule="auto"/>
    </w:pPr>
    <w:rPr>
      <w:rFonts w:eastAsiaTheme="minorEastAsia"/>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17</Pages>
  <Words>5343</Words>
  <Characters>29391</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dc:description/>
  <cp:lastModifiedBy>Pilar Valls</cp:lastModifiedBy>
  <cp:revision>2</cp:revision>
  <dcterms:created xsi:type="dcterms:W3CDTF">2025-04-07T07:34:00Z</dcterms:created>
  <dcterms:modified xsi:type="dcterms:W3CDTF">2025-04-07T08:25:00Z</dcterms:modified>
</cp:coreProperties>
</file>