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3921" w14:textId="77777777" w:rsidR="005E35EE" w:rsidRPr="00883D1C" w:rsidRDefault="005E35EE" w:rsidP="00883D1C">
      <w:pPr>
        <w:jc w:val="both"/>
        <w:rPr>
          <w:rFonts w:ascii="Arial" w:hAnsi="Arial" w:cs="Arial"/>
          <w:b/>
          <w:bCs/>
          <w:sz w:val="22"/>
          <w:szCs w:val="22"/>
        </w:rPr>
      </w:pPr>
      <w:r w:rsidRPr="00883D1C">
        <w:rPr>
          <w:rFonts w:ascii="Arial" w:hAnsi="Arial" w:cs="Arial"/>
          <w:b/>
          <w:bCs/>
          <w:sz w:val="22"/>
          <w:szCs w:val="22"/>
        </w:rPr>
        <w:t>CONVOCATORIA ESPECÍFICA DE SUBVENCIONES DESTINADAS A AYUDAS INDIVIDUALES DE COMEDOR ESCOLAR PARA NECESIDADES SOCIOECONÓMICAS Y GEOGRÁFICAS PARA EL CURSO 2025/2026</w:t>
      </w:r>
    </w:p>
    <w:p w14:paraId="6A6BA577" w14:textId="77777777" w:rsidR="005E35EE" w:rsidRPr="00883D1C" w:rsidRDefault="005E35EE" w:rsidP="00883D1C">
      <w:pPr>
        <w:jc w:val="both"/>
        <w:rPr>
          <w:rFonts w:ascii="Arial" w:hAnsi="Arial" w:cs="Arial"/>
          <w:b/>
          <w:bCs/>
          <w:sz w:val="22"/>
          <w:szCs w:val="22"/>
        </w:rPr>
      </w:pPr>
      <w:r w:rsidRPr="00883D1C">
        <w:rPr>
          <w:rFonts w:ascii="Arial" w:hAnsi="Arial" w:cs="Arial"/>
          <w:b/>
          <w:bCs/>
          <w:sz w:val="22"/>
          <w:szCs w:val="22"/>
        </w:rPr>
        <w:t>1. Bases reguladoras</w:t>
      </w:r>
    </w:p>
    <w:p w14:paraId="3EB7B77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Estas subvenciones se regirán por lo fijado en la presente convocatoria y por las bases reguladoras de la misma.</w:t>
      </w:r>
    </w:p>
    <w:p w14:paraId="29057BD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Decreto 160/1996, de 14 de mayo (DOGC núm. 2208, de 20 de mayo de 1996), por el que se regula el servicio escolar de comedor en los centros docentes públicos de titularidad del Departamento de Enseñanza establece, en el artículo 21, la posibilidad de que las administraciones públicas, dentro de sus disponibilidades presupuesto solicite sin que le corresponda la gratuidad del servicio. </w:t>
      </w:r>
    </w:p>
    <w:p w14:paraId="526D92E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La disposición adicional segunda determina que corresponde a los consejos comarcales la gestión de las ayudas de comedor por necesidades socioeconómicas o de situación geográfica del alumnado, cuando hayan asumido esta competencia o bien la asuman, y firmen los correspondientes convenios con el Departamento de Enseñanza.</w:t>
      </w:r>
    </w:p>
    <w:p w14:paraId="04A67755" w14:textId="50A92B37" w:rsidR="005E35EE" w:rsidRPr="00883D1C" w:rsidRDefault="005E35EE" w:rsidP="00883D1C">
      <w:pPr>
        <w:jc w:val="both"/>
        <w:rPr>
          <w:rFonts w:ascii="Arial" w:hAnsi="Arial" w:cs="Arial"/>
          <w:sz w:val="22"/>
          <w:szCs w:val="22"/>
        </w:rPr>
      </w:pPr>
      <w:r w:rsidRPr="00883D1C">
        <w:rPr>
          <w:rFonts w:ascii="Arial" w:hAnsi="Arial" w:cs="Arial"/>
          <w:sz w:val="22"/>
          <w:szCs w:val="22"/>
        </w:rPr>
        <w:t>Tal y como se hace anualmente, desde el Departamento de Educación se han revisado los criterios para la asignación de estas ayudas de cara al curso 2025/26, a partir de las aportaciones de un grupo trabajo constituido por representantes de los Consejos Comarcales, de la Asociación Catalana de Municipios, de la Federación de Municipios de Cataluña y del propio Departamento.</w:t>
      </w:r>
    </w:p>
    <w:p w14:paraId="3F46EA15"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2. Créditos presupuestarios</w:t>
      </w:r>
    </w:p>
    <w:p w14:paraId="1E8EF029"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Los créditos presupuestarios a los que se imputa la subvención son los siguientes:</w:t>
      </w:r>
    </w:p>
    <w:tbl>
      <w:tblPr>
        <w:tblStyle w:val="TableGrid"/>
        <w:tblW w:w="7099" w:type="dxa"/>
        <w:tblInd w:w="893" w:type="dxa"/>
        <w:tblCellMar>
          <w:top w:w="0" w:type="dxa"/>
          <w:left w:w="106" w:type="dxa"/>
          <w:bottom w:w="0" w:type="dxa"/>
          <w:right w:w="106" w:type="dxa"/>
        </w:tblCellMar>
        <w:tblLook w:val="04A0" w:firstRow="1" w:lastRow="0" w:firstColumn="1" w:lastColumn="0" w:noHBand="0" w:noVBand="1"/>
      </w:tblPr>
      <w:tblGrid>
        <w:gridCol w:w="1473"/>
        <w:gridCol w:w="3528"/>
        <w:gridCol w:w="2098"/>
      </w:tblGrid>
      <w:tr w:rsidR="005E35EE" w:rsidRPr="00883D1C" w14:paraId="1B322F3D" w14:textId="77777777" w:rsidTr="00664195">
        <w:trPr>
          <w:trHeight w:val="527"/>
        </w:trPr>
        <w:tc>
          <w:tcPr>
            <w:tcW w:w="147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3545DD43" w14:textId="77777777" w:rsidR="005E35EE" w:rsidRPr="004A35DD" w:rsidRDefault="005E35EE" w:rsidP="00883D1C">
            <w:pPr>
              <w:spacing w:line="259" w:lineRule="auto"/>
              <w:jc w:val="both"/>
              <w:rPr>
                <w:rFonts w:ascii="Arial" w:eastAsia="Arial" w:hAnsi="Arial" w:cs="Arial"/>
                <w:color w:val="000000"/>
                <w:sz w:val="22"/>
                <w:szCs w:val="22"/>
              </w:rPr>
            </w:pPr>
            <w:r w:rsidRPr="004A35DD">
              <w:rPr>
                <w:rFonts w:ascii="Arial" w:eastAsia="Arial" w:hAnsi="Arial" w:cs="Arial"/>
                <w:b/>
                <w:color w:val="000000"/>
                <w:sz w:val="22"/>
                <w:szCs w:val="22"/>
              </w:rPr>
              <w:t>ANUALITAT</w:t>
            </w:r>
          </w:p>
        </w:tc>
        <w:tc>
          <w:tcPr>
            <w:tcW w:w="3529"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4461FFE" w14:textId="174E5D3D" w:rsidR="005E35EE" w:rsidRPr="004A35DD" w:rsidRDefault="005E35EE" w:rsidP="00883D1C">
            <w:pPr>
              <w:spacing w:line="259" w:lineRule="auto"/>
              <w:ind w:left="2"/>
              <w:jc w:val="both"/>
              <w:rPr>
                <w:rFonts w:ascii="Arial" w:eastAsia="Arial" w:hAnsi="Arial" w:cs="Arial"/>
                <w:color w:val="000000"/>
                <w:sz w:val="22"/>
                <w:szCs w:val="22"/>
              </w:rPr>
            </w:pPr>
            <w:r w:rsidRPr="004A35DD">
              <w:rPr>
                <w:rFonts w:ascii="Arial" w:eastAsia="Arial" w:hAnsi="Arial" w:cs="Arial"/>
                <w:b/>
                <w:color w:val="000000"/>
                <w:sz w:val="22"/>
                <w:szCs w:val="22"/>
              </w:rPr>
              <w:t>APLICACIÓ</w:t>
            </w:r>
            <w:r w:rsidRPr="00883D1C">
              <w:rPr>
                <w:rFonts w:ascii="Arial" w:eastAsia="Arial" w:hAnsi="Arial" w:cs="Arial"/>
                <w:b/>
                <w:color w:val="000000"/>
                <w:sz w:val="22"/>
                <w:szCs w:val="22"/>
              </w:rPr>
              <w:t>N</w:t>
            </w:r>
            <w:r w:rsidRPr="004A35DD">
              <w:rPr>
                <w:rFonts w:ascii="Arial" w:eastAsia="Arial" w:hAnsi="Arial" w:cs="Arial"/>
                <w:b/>
                <w:color w:val="000000"/>
                <w:sz w:val="22"/>
                <w:szCs w:val="22"/>
              </w:rPr>
              <w:t xml:space="preserve"> PRESUPOST</w:t>
            </w:r>
            <w:r w:rsidRPr="00883D1C">
              <w:rPr>
                <w:rFonts w:ascii="Arial" w:eastAsia="Arial" w:hAnsi="Arial" w:cs="Arial"/>
                <w:b/>
                <w:color w:val="000000"/>
                <w:sz w:val="22"/>
                <w:szCs w:val="22"/>
              </w:rPr>
              <w:t>A</w:t>
            </w:r>
            <w:r w:rsidRPr="004A35DD">
              <w:rPr>
                <w:rFonts w:ascii="Arial" w:eastAsia="Arial" w:hAnsi="Arial" w:cs="Arial"/>
                <w:b/>
                <w:color w:val="000000"/>
                <w:sz w:val="22"/>
                <w:szCs w:val="22"/>
              </w:rPr>
              <w:t>RIA</w:t>
            </w:r>
          </w:p>
        </w:tc>
        <w:tc>
          <w:tcPr>
            <w:tcW w:w="209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1462625" w14:textId="345BA55B" w:rsidR="005E35EE" w:rsidRPr="004A35DD" w:rsidRDefault="005E35EE" w:rsidP="00883D1C">
            <w:pPr>
              <w:spacing w:line="259" w:lineRule="auto"/>
              <w:ind w:left="3"/>
              <w:jc w:val="both"/>
              <w:rPr>
                <w:rFonts w:ascii="Arial" w:eastAsia="Arial" w:hAnsi="Arial" w:cs="Arial"/>
                <w:color w:val="000000"/>
                <w:sz w:val="22"/>
                <w:szCs w:val="22"/>
              </w:rPr>
            </w:pPr>
            <w:r w:rsidRPr="004A35DD">
              <w:rPr>
                <w:rFonts w:ascii="Arial" w:eastAsia="Arial" w:hAnsi="Arial" w:cs="Arial"/>
                <w:b/>
                <w:color w:val="000000"/>
                <w:sz w:val="22"/>
                <w:szCs w:val="22"/>
              </w:rPr>
              <w:t>IMPORT</w:t>
            </w:r>
            <w:r w:rsidRPr="00883D1C">
              <w:rPr>
                <w:rFonts w:ascii="Arial" w:eastAsia="Arial" w:hAnsi="Arial" w:cs="Arial"/>
                <w:b/>
                <w:color w:val="000000"/>
                <w:sz w:val="22"/>
                <w:szCs w:val="22"/>
              </w:rPr>
              <w:t>E</w:t>
            </w:r>
          </w:p>
        </w:tc>
      </w:tr>
      <w:tr w:rsidR="005E35EE" w:rsidRPr="00883D1C" w14:paraId="6E07966C" w14:textId="77777777" w:rsidTr="00664195">
        <w:trPr>
          <w:trHeight w:val="534"/>
        </w:trPr>
        <w:tc>
          <w:tcPr>
            <w:tcW w:w="1473" w:type="dxa"/>
            <w:tcBorders>
              <w:top w:val="single" w:sz="4" w:space="0" w:color="999999"/>
              <w:left w:val="single" w:sz="4" w:space="0" w:color="999999"/>
              <w:bottom w:val="single" w:sz="4" w:space="0" w:color="999999"/>
              <w:right w:val="single" w:sz="4" w:space="0" w:color="999999"/>
            </w:tcBorders>
            <w:vAlign w:val="center"/>
          </w:tcPr>
          <w:p w14:paraId="6F4AE9CF" w14:textId="77777777" w:rsidR="005E35EE" w:rsidRPr="004A35DD" w:rsidRDefault="005E35EE" w:rsidP="00883D1C">
            <w:pPr>
              <w:spacing w:line="259" w:lineRule="auto"/>
              <w:ind w:right="2"/>
              <w:jc w:val="both"/>
              <w:rPr>
                <w:rFonts w:ascii="Arial" w:eastAsia="Arial" w:hAnsi="Arial" w:cs="Arial"/>
                <w:color w:val="000000"/>
                <w:sz w:val="22"/>
                <w:szCs w:val="22"/>
              </w:rPr>
            </w:pPr>
            <w:r w:rsidRPr="004A35DD">
              <w:rPr>
                <w:rFonts w:ascii="Arial" w:eastAsia="Arial" w:hAnsi="Arial" w:cs="Arial"/>
                <w:color w:val="000000"/>
                <w:sz w:val="22"/>
                <w:szCs w:val="22"/>
              </w:rPr>
              <w:t>2025</w:t>
            </w:r>
          </w:p>
        </w:tc>
        <w:tc>
          <w:tcPr>
            <w:tcW w:w="3529" w:type="dxa"/>
            <w:tcBorders>
              <w:top w:val="single" w:sz="4" w:space="0" w:color="999999"/>
              <w:left w:val="single" w:sz="4" w:space="0" w:color="999999"/>
              <w:bottom w:val="single" w:sz="4" w:space="0" w:color="999999"/>
              <w:right w:val="single" w:sz="4" w:space="0" w:color="999999"/>
            </w:tcBorders>
            <w:vAlign w:val="center"/>
          </w:tcPr>
          <w:p w14:paraId="27F8A250" w14:textId="77777777" w:rsidR="005E35EE" w:rsidRPr="004A35DD" w:rsidRDefault="005E35EE" w:rsidP="00883D1C">
            <w:pPr>
              <w:spacing w:line="259" w:lineRule="auto"/>
              <w:jc w:val="both"/>
              <w:rPr>
                <w:rFonts w:ascii="Arial" w:eastAsia="Arial" w:hAnsi="Arial" w:cs="Arial"/>
                <w:color w:val="000000"/>
                <w:sz w:val="22"/>
                <w:szCs w:val="22"/>
              </w:rPr>
            </w:pPr>
            <w:r w:rsidRPr="004A35DD">
              <w:rPr>
                <w:rFonts w:ascii="Arial" w:eastAsia="Arial" w:hAnsi="Arial" w:cs="Arial"/>
                <w:color w:val="000000"/>
                <w:sz w:val="22"/>
                <w:szCs w:val="22"/>
              </w:rPr>
              <w:t>54.3202.48000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08779123" w14:textId="77777777" w:rsidR="005E35EE" w:rsidRPr="004A35DD" w:rsidRDefault="005E35EE" w:rsidP="00883D1C">
            <w:pPr>
              <w:spacing w:line="259" w:lineRule="auto"/>
              <w:ind w:left="3"/>
              <w:jc w:val="both"/>
              <w:rPr>
                <w:rFonts w:ascii="Arial" w:eastAsia="Arial" w:hAnsi="Arial" w:cs="Arial"/>
                <w:color w:val="000000"/>
                <w:sz w:val="22"/>
                <w:szCs w:val="22"/>
              </w:rPr>
            </w:pPr>
            <w:r w:rsidRPr="004A35DD">
              <w:rPr>
                <w:rFonts w:ascii="Arial" w:eastAsia="Arial" w:hAnsi="Arial" w:cs="Arial"/>
                <w:color w:val="000000"/>
                <w:sz w:val="22"/>
                <w:szCs w:val="22"/>
              </w:rPr>
              <w:t>2.600.000 euros</w:t>
            </w:r>
          </w:p>
        </w:tc>
      </w:tr>
      <w:tr w:rsidR="005E35EE" w:rsidRPr="00883D1C" w14:paraId="02FDF86D" w14:textId="77777777" w:rsidTr="00664195">
        <w:trPr>
          <w:trHeight w:val="532"/>
        </w:trPr>
        <w:tc>
          <w:tcPr>
            <w:tcW w:w="1473" w:type="dxa"/>
            <w:tcBorders>
              <w:top w:val="single" w:sz="4" w:space="0" w:color="999999"/>
              <w:left w:val="single" w:sz="4" w:space="0" w:color="999999"/>
              <w:bottom w:val="single" w:sz="4" w:space="0" w:color="999999"/>
              <w:right w:val="single" w:sz="4" w:space="0" w:color="999999"/>
            </w:tcBorders>
            <w:vAlign w:val="center"/>
          </w:tcPr>
          <w:p w14:paraId="34229B9B" w14:textId="77777777" w:rsidR="005E35EE" w:rsidRPr="004A35DD" w:rsidRDefault="005E35EE" w:rsidP="00883D1C">
            <w:pPr>
              <w:spacing w:line="259" w:lineRule="auto"/>
              <w:ind w:right="2"/>
              <w:jc w:val="both"/>
              <w:rPr>
                <w:rFonts w:ascii="Arial" w:eastAsia="Arial" w:hAnsi="Arial" w:cs="Arial"/>
                <w:color w:val="000000"/>
                <w:sz w:val="22"/>
                <w:szCs w:val="22"/>
              </w:rPr>
            </w:pPr>
            <w:r w:rsidRPr="004A35DD">
              <w:rPr>
                <w:rFonts w:ascii="Arial" w:eastAsia="Arial" w:hAnsi="Arial" w:cs="Arial"/>
                <w:color w:val="000000"/>
                <w:sz w:val="22"/>
                <w:szCs w:val="22"/>
              </w:rPr>
              <w:t>2026</w:t>
            </w:r>
          </w:p>
        </w:tc>
        <w:tc>
          <w:tcPr>
            <w:tcW w:w="3529" w:type="dxa"/>
            <w:tcBorders>
              <w:top w:val="single" w:sz="4" w:space="0" w:color="999999"/>
              <w:left w:val="single" w:sz="4" w:space="0" w:color="999999"/>
              <w:bottom w:val="single" w:sz="4" w:space="0" w:color="999999"/>
              <w:right w:val="single" w:sz="4" w:space="0" w:color="999999"/>
            </w:tcBorders>
            <w:vAlign w:val="center"/>
          </w:tcPr>
          <w:p w14:paraId="2EB85237" w14:textId="77777777" w:rsidR="005E35EE" w:rsidRPr="004A35DD" w:rsidRDefault="005E35EE" w:rsidP="00883D1C">
            <w:pPr>
              <w:spacing w:line="259" w:lineRule="auto"/>
              <w:jc w:val="both"/>
              <w:rPr>
                <w:rFonts w:ascii="Arial" w:eastAsia="Arial" w:hAnsi="Arial" w:cs="Arial"/>
                <w:color w:val="000000"/>
                <w:sz w:val="22"/>
                <w:szCs w:val="22"/>
              </w:rPr>
            </w:pPr>
            <w:r w:rsidRPr="004A35DD">
              <w:rPr>
                <w:rFonts w:ascii="Arial" w:eastAsia="Arial" w:hAnsi="Arial" w:cs="Arial"/>
                <w:color w:val="000000"/>
                <w:sz w:val="22"/>
                <w:szCs w:val="22"/>
              </w:rPr>
              <w:t>54.3202.48000</w:t>
            </w:r>
          </w:p>
        </w:tc>
        <w:tc>
          <w:tcPr>
            <w:tcW w:w="2098" w:type="dxa"/>
            <w:tcBorders>
              <w:top w:val="single" w:sz="4" w:space="0" w:color="999999"/>
              <w:left w:val="single" w:sz="4" w:space="0" w:color="999999"/>
              <w:bottom w:val="single" w:sz="4" w:space="0" w:color="999999"/>
              <w:right w:val="single" w:sz="4" w:space="0" w:color="999999"/>
            </w:tcBorders>
            <w:vAlign w:val="center"/>
          </w:tcPr>
          <w:p w14:paraId="7036D7B4" w14:textId="77777777" w:rsidR="005E35EE" w:rsidRPr="004A35DD" w:rsidRDefault="005E35EE" w:rsidP="00883D1C">
            <w:pPr>
              <w:spacing w:line="259" w:lineRule="auto"/>
              <w:ind w:left="2"/>
              <w:jc w:val="both"/>
              <w:rPr>
                <w:rFonts w:ascii="Arial" w:eastAsia="Arial" w:hAnsi="Arial" w:cs="Arial"/>
                <w:color w:val="000000"/>
                <w:sz w:val="22"/>
                <w:szCs w:val="22"/>
              </w:rPr>
            </w:pPr>
            <w:r w:rsidRPr="004A35DD">
              <w:rPr>
                <w:rFonts w:ascii="Arial" w:eastAsia="Arial" w:hAnsi="Arial" w:cs="Arial"/>
                <w:color w:val="000000"/>
                <w:sz w:val="22"/>
                <w:szCs w:val="22"/>
              </w:rPr>
              <w:t>4.000.000 euros (*)</w:t>
            </w:r>
          </w:p>
        </w:tc>
      </w:tr>
    </w:tbl>
    <w:p w14:paraId="6EE91B68" w14:textId="77777777" w:rsidR="005E35EE" w:rsidRPr="00883D1C" w:rsidRDefault="005E35EE" w:rsidP="00883D1C">
      <w:pPr>
        <w:jc w:val="both"/>
        <w:rPr>
          <w:rFonts w:ascii="Arial" w:hAnsi="Arial" w:cs="Arial"/>
          <w:sz w:val="22"/>
          <w:szCs w:val="22"/>
        </w:rPr>
      </w:pPr>
    </w:p>
    <w:p w14:paraId="4C8F332B" w14:textId="433BF9C0" w:rsidR="005E35EE" w:rsidRPr="00883D1C" w:rsidRDefault="005E35EE" w:rsidP="00883D1C">
      <w:pPr>
        <w:jc w:val="both"/>
        <w:rPr>
          <w:rFonts w:ascii="Arial" w:hAnsi="Arial" w:cs="Arial"/>
          <w:sz w:val="22"/>
          <w:szCs w:val="22"/>
        </w:rPr>
      </w:pPr>
      <w:r w:rsidRPr="00883D1C">
        <w:rPr>
          <w:rFonts w:ascii="Arial" w:hAnsi="Arial" w:cs="Arial"/>
          <w:sz w:val="22"/>
          <w:szCs w:val="22"/>
        </w:rPr>
        <w:t>(*) De conformidad con el artículo 174 Real Decreto Legislativo 2/2004, de 5 de marzo, por el que se aprueba el Texto refundido de la Ley Reguladora de las Haciendas Locales, la autorización o realización de los gastos de carácter plurianual quedarán subordinadas al crédito que para cada ejercicio autoricen los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p>
    <w:p w14:paraId="2CAAE57E"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3. Objeto</w:t>
      </w:r>
    </w:p>
    <w:p w14:paraId="61C5E87A" w14:textId="3332E9B1"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objeto de esta convocatoria es el otorgamiento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w:t>
      </w:r>
      <w:r w:rsidRPr="00883D1C">
        <w:rPr>
          <w:rFonts w:ascii="Arial" w:hAnsi="Arial" w:cs="Arial"/>
          <w:sz w:val="22"/>
          <w:szCs w:val="22"/>
        </w:rPr>
        <w:lastRenderedPageBreak/>
        <w:t>el principio de igualdad de oportunidades en la población escolar situaciones socioeconómicas desfavorables.</w:t>
      </w:r>
    </w:p>
    <w:p w14:paraId="41FF5ACE"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4. Beneficiarios y requisitos</w:t>
      </w:r>
    </w:p>
    <w:p w14:paraId="7C4B654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4.1. Los beneficiarios de ayuda de comedor escolar son los alumnos que reúnan los siguientes requisitos:</w:t>
      </w:r>
    </w:p>
    <w:p w14:paraId="737949D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a) Se podrá acoger a estas ayudas de comedor a aquel alumnado que tenga residencia en Cataluña.</w:t>
      </w:r>
    </w:p>
    <w:p w14:paraId="0F123FB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b) Estar matriculado en un centro escolar de la comarca sostenido con fondos públicos de Cataluña, en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14:paraId="4A23AA3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c) Hacer uso del servicio de comedor escolar.</w:t>
      </w:r>
    </w:p>
    <w:p w14:paraId="5545220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d) Carecer del servicio de comedor con carácter gratuito.</w:t>
      </w:r>
    </w:p>
    <w:p w14:paraId="5836FC3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 No estar en acogimiento residencial.</w:t>
      </w:r>
    </w:p>
    <w:p w14:paraId="5075F6F6"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Excepcionalmente el alumnado con escolarización compartida podrá obtener dos ayudas, las cuales en su conjunto nunca podrán superar el número de días lectivos totales del curso escolar.</w:t>
      </w:r>
    </w:p>
    <w:p w14:paraId="290EF500" w14:textId="4E1ABCD1" w:rsidR="005E35EE" w:rsidRPr="00883D1C" w:rsidRDefault="005E35EE" w:rsidP="00883D1C">
      <w:pPr>
        <w:jc w:val="both"/>
        <w:rPr>
          <w:rFonts w:ascii="Arial" w:hAnsi="Arial" w:cs="Arial"/>
          <w:sz w:val="22"/>
          <w:szCs w:val="22"/>
        </w:rPr>
      </w:pPr>
      <w:r w:rsidRPr="00883D1C">
        <w:rPr>
          <w:rFonts w:ascii="Arial" w:hAnsi="Arial" w:cs="Arial"/>
          <w:sz w:val="22"/>
          <w:szCs w:val="22"/>
        </w:rPr>
        <w:t>- Por la naturaleza de la ayuda y la especificidad del colectivo, para obtener la condición de beneficiario no es necesario acreditar el cumplimiento de los requisitos establecidos en el artículo</w:t>
      </w:r>
      <w:r w:rsidR="00FA5C90">
        <w:rPr>
          <w:rFonts w:ascii="Arial" w:hAnsi="Arial" w:cs="Arial"/>
          <w:sz w:val="22"/>
          <w:szCs w:val="22"/>
        </w:rPr>
        <w:t xml:space="preserve"> </w:t>
      </w:r>
      <w:r w:rsidRPr="00883D1C">
        <w:rPr>
          <w:rFonts w:ascii="Arial" w:hAnsi="Arial" w:cs="Arial"/>
          <w:sz w:val="22"/>
          <w:szCs w:val="22"/>
        </w:rPr>
        <w:t>13.2 de la Ley 38/2003, de 17 de noviembre, general de subvenciones.</w:t>
      </w:r>
    </w:p>
    <w:p w14:paraId="434F12F7" w14:textId="3DD9BAEC" w:rsidR="005E35EE" w:rsidRPr="00883D1C" w:rsidRDefault="005E35EE" w:rsidP="00883D1C">
      <w:pPr>
        <w:jc w:val="both"/>
        <w:rPr>
          <w:rFonts w:ascii="Arial" w:hAnsi="Arial" w:cs="Arial"/>
          <w:sz w:val="22"/>
          <w:szCs w:val="22"/>
        </w:rPr>
      </w:pPr>
      <w:r w:rsidRPr="00883D1C">
        <w:rPr>
          <w:rFonts w:ascii="Arial" w:hAnsi="Arial" w:cs="Arial"/>
          <w:sz w:val="22"/>
          <w:szCs w:val="22"/>
        </w:rPr>
        <w:t>- Las ayudas convocadas son compatibles con cualquier otra que se pueda recibir, para la misma finalidad, de otras entidades o personas públicas o privadas. En ningún caso, el importe de las ayudas concurrentes puede superar el coste del gasto realizado.</w:t>
      </w:r>
    </w:p>
    <w:p w14:paraId="7C189904"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5. Órgano competente para la instrucción y resolución del procedimiento</w:t>
      </w:r>
    </w:p>
    <w:p w14:paraId="56B33912" w14:textId="4D634C3F"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órgano competente para la instrucción del expediente es el </w:t>
      </w:r>
      <w:proofErr w:type="spellStart"/>
      <w:r w:rsidR="00FA5C90">
        <w:rPr>
          <w:rFonts w:ascii="Arial" w:hAnsi="Arial" w:cs="Arial"/>
          <w:sz w:val="22"/>
          <w:szCs w:val="22"/>
        </w:rPr>
        <w:t>Cap</w:t>
      </w:r>
      <w:proofErr w:type="spellEnd"/>
      <w:r w:rsidR="00FA5C90">
        <w:rPr>
          <w:rFonts w:ascii="Arial" w:hAnsi="Arial" w:cs="Arial"/>
          <w:sz w:val="22"/>
          <w:szCs w:val="22"/>
        </w:rPr>
        <w:t xml:space="preserve"> de la </w:t>
      </w:r>
      <w:proofErr w:type="spellStart"/>
      <w:r w:rsidR="00FA5C90">
        <w:rPr>
          <w:rFonts w:ascii="Arial" w:hAnsi="Arial" w:cs="Arial"/>
          <w:sz w:val="22"/>
          <w:szCs w:val="22"/>
        </w:rPr>
        <w:t>Unitat</w:t>
      </w:r>
      <w:proofErr w:type="spellEnd"/>
      <w:r w:rsidR="00FA5C90">
        <w:rPr>
          <w:rFonts w:ascii="Arial" w:hAnsi="Arial" w:cs="Arial"/>
          <w:sz w:val="22"/>
          <w:szCs w:val="22"/>
        </w:rPr>
        <w:t xml:space="preserve"> </w:t>
      </w:r>
      <w:proofErr w:type="spellStart"/>
      <w:r w:rsidR="00FA5C90">
        <w:rPr>
          <w:rFonts w:ascii="Arial" w:hAnsi="Arial" w:cs="Arial"/>
          <w:sz w:val="22"/>
          <w:szCs w:val="22"/>
        </w:rPr>
        <w:t>d’Educació</w:t>
      </w:r>
      <w:proofErr w:type="spellEnd"/>
      <w:r w:rsidRPr="00883D1C">
        <w:rPr>
          <w:rFonts w:ascii="Arial" w:hAnsi="Arial" w:cs="Arial"/>
          <w:sz w:val="22"/>
          <w:szCs w:val="22"/>
        </w:rPr>
        <w:t xml:space="preserve"> del </w:t>
      </w:r>
      <w:r w:rsidR="00FA5C90">
        <w:rPr>
          <w:rFonts w:ascii="Arial" w:hAnsi="Arial" w:cs="Arial"/>
          <w:sz w:val="22"/>
          <w:szCs w:val="22"/>
        </w:rPr>
        <w:t>Consell Comarcal de la Selva</w:t>
      </w:r>
      <w:r w:rsidRPr="00883D1C">
        <w:rPr>
          <w:rFonts w:ascii="Arial" w:hAnsi="Arial" w:cs="Arial"/>
          <w:sz w:val="22"/>
          <w:szCs w:val="22"/>
        </w:rPr>
        <w:t>.</w:t>
      </w:r>
    </w:p>
    <w:p w14:paraId="34A142E1"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14:paraId="298F7553" w14:textId="566B1544"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órgano competente para resolver será la Presidencia del </w:t>
      </w:r>
      <w:r w:rsidR="00FA5C90">
        <w:rPr>
          <w:rFonts w:ascii="Arial" w:hAnsi="Arial" w:cs="Arial"/>
          <w:sz w:val="22"/>
          <w:szCs w:val="22"/>
        </w:rPr>
        <w:t>Consell Comarcal de la Selva</w:t>
      </w:r>
      <w:r w:rsidRPr="00883D1C">
        <w:rPr>
          <w:rFonts w:ascii="Arial" w:hAnsi="Arial" w:cs="Arial"/>
          <w:sz w:val="22"/>
          <w:szCs w:val="22"/>
        </w:rPr>
        <w:t>.</w:t>
      </w:r>
    </w:p>
    <w:p w14:paraId="7F94C4D8"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6. Plazo de presentación de solicitudes</w:t>
      </w:r>
    </w:p>
    <w:p w14:paraId="09508E8E" w14:textId="0AF89263"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w:t>
      </w:r>
      <w:r w:rsidR="00FA5C90">
        <w:rPr>
          <w:rFonts w:ascii="Arial" w:hAnsi="Arial" w:cs="Arial"/>
          <w:sz w:val="22"/>
          <w:szCs w:val="22"/>
        </w:rPr>
        <w:t xml:space="preserve">Consell Comarcal </w:t>
      </w:r>
      <w:r w:rsidRPr="00883D1C">
        <w:rPr>
          <w:rFonts w:ascii="Arial" w:hAnsi="Arial" w:cs="Arial"/>
          <w:sz w:val="22"/>
          <w:szCs w:val="22"/>
        </w:rPr>
        <w:t xml:space="preserve">publicará el edicto de convocatoria de las ayudas en el Boletín Oficial de la Provincia (BOP) y en el e-tablero del Consejo Comarcal. El plazo de presentación de solicitudes se iniciará al día siguiente de la publicación definitiva en el BOP. </w:t>
      </w:r>
    </w:p>
    <w:p w14:paraId="7279894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De acuerdo con la Resolución 17/XI del Parlamento de Cataluña, la convocatoria de acceso a las ayudas del comedor escolar quedará abierta durante todo el curso escolar.</w:t>
      </w:r>
    </w:p>
    <w:p w14:paraId="3B93F1EF"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Para que las ayudas sean de aplicación el primero de día de curso, habrá que solicitarlas, a más tardar, el día 1 de junio (excepto en los casos de alumnos que cursarán I3, que esta fecha se alargará hasta el 15 de julio, debido a que su matriculación es más tardía).</w:t>
      </w:r>
    </w:p>
    <w:p w14:paraId="34AEE543" w14:textId="35B53DF5" w:rsidR="005E35EE" w:rsidRPr="00883D1C" w:rsidRDefault="005E35EE" w:rsidP="00883D1C">
      <w:pPr>
        <w:jc w:val="both"/>
        <w:rPr>
          <w:rFonts w:ascii="Arial" w:hAnsi="Arial" w:cs="Arial"/>
          <w:sz w:val="22"/>
          <w:szCs w:val="22"/>
        </w:rPr>
      </w:pPr>
      <w:r w:rsidRPr="00883D1C">
        <w:rPr>
          <w:rFonts w:ascii="Arial" w:hAnsi="Arial" w:cs="Arial"/>
          <w:sz w:val="22"/>
          <w:szCs w:val="22"/>
        </w:rPr>
        <w:t>Las solicitudes recibidas entre el 2 de junio y el 10 de septiembre y sean resueltas favorablemente, se aplicarán a partir del día 1 de octubre.</w:t>
      </w:r>
    </w:p>
    <w:p w14:paraId="5527B32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A partir de ahí, las solicitudes recibidas entre el día 11 de cada mes y el día 10 del mes siguiente, y que sean resueltas favorablemente, se aplicarán a partir del día 1 del mes posterior a este último.</w:t>
      </w:r>
    </w:p>
    <w:p w14:paraId="6F10602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Asimismo, también será necesario prever solicitudes por cambios de situación cuando se acrediten situaciones sobrevenidas que comporten cambios sustanciales en la situación socioeconómica de la unidad familiar.</w:t>
      </w:r>
    </w:p>
    <w:p w14:paraId="5426822A" w14:textId="62452CC7" w:rsidR="005E35EE" w:rsidRPr="00883D1C" w:rsidRDefault="005E35EE" w:rsidP="00883D1C">
      <w:pPr>
        <w:jc w:val="both"/>
        <w:rPr>
          <w:rFonts w:ascii="Arial" w:hAnsi="Arial" w:cs="Arial"/>
          <w:sz w:val="22"/>
          <w:szCs w:val="22"/>
        </w:rPr>
      </w:pPr>
      <w:r w:rsidRPr="00883D1C">
        <w:rPr>
          <w:rFonts w:ascii="Arial" w:hAnsi="Arial" w:cs="Arial"/>
          <w:sz w:val="22"/>
          <w:szCs w:val="22"/>
        </w:rPr>
        <w:t>Para que estas solicitudes puedan ser valoradas es necesario que la persona solicitante exponga y acredite documentalmente los hechos causantes de la nueva situación y aporte la documentación económica correspondiente a fin de determinar los nuevos rendimientos de la unidad familiar.</w:t>
      </w:r>
    </w:p>
    <w:p w14:paraId="6AD7B03A"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Las solicitudes por cambios de situación se valoran de la misma forma que el resto de solicitudes con aplicación de los criterios establecidos en estas Directrices.</w:t>
      </w:r>
    </w:p>
    <w:p w14:paraId="6F907FA1"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7. Solicitudes y documentación</w:t>
      </w:r>
    </w:p>
    <w:p w14:paraId="157D265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7.1 Documentación obligatoria</w:t>
      </w:r>
    </w:p>
    <w:p w14:paraId="7D33E1B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Las personas interesadas en esta convocatoria deben presentar la siguiente documentación obligatoria:</w:t>
      </w:r>
    </w:p>
    <w:p w14:paraId="4A681A94" w14:textId="5CD47580" w:rsidR="005E35EE" w:rsidRPr="00FA5C90" w:rsidRDefault="005E35EE" w:rsidP="00FA5C90">
      <w:pPr>
        <w:pStyle w:val="Prrafodelista"/>
        <w:numPr>
          <w:ilvl w:val="0"/>
          <w:numId w:val="2"/>
        </w:numPr>
        <w:jc w:val="both"/>
        <w:rPr>
          <w:rFonts w:ascii="Arial" w:hAnsi="Arial" w:cs="Arial"/>
          <w:sz w:val="22"/>
          <w:szCs w:val="22"/>
        </w:rPr>
      </w:pPr>
      <w:r w:rsidRPr="00FA5C90">
        <w:rPr>
          <w:rFonts w:ascii="Arial" w:hAnsi="Arial" w:cs="Arial"/>
          <w:sz w:val="22"/>
          <w:szCs w:val="22"/>
        </w:rPr>
        <w:t xml:space="preserve">Modelo de solicitud. Cada familia presentará una solicitud única por el número de hermanos escolarizados en el mismo centro escolar. Las solicitudes se podrán presentar a través de los siguientes canales: </w:t>
      </w:r>
    </w:p>
    <w:p w14:paraId="16D0709E" w14:textId="1DA4C987" w:rsidR="005E35EE" w:rsidRPr="00FA5C90" w:rsidRDefault="005E35EE" w:rsidP="00FA5C90">
      <w:pPr>
        <w:pStyle w:val="Prrafodelista"/>
        <w:numPr>
          <w:ilvl w:val="1"/>
          <w:numId w:val="2"/>
        </w:numPr>
        <w:jc w:val="both"/>
        <w:rPr>
          <w:rFonts w:ascii="Arial" w:hAnsi="Arial" w:cs="Arial"/>
          <w:sz w:val="22"/>
          <w:szCs w:val="22"/>
        </w:rPr>
      </w:pPr>
      <w:r w:rsidRPr="00FA5C90">
        <w:rPr>
          <w:rFonts w:ascii="Arial" w:hAnsi="Arial" w:cs="Arial"/>
          <w:sz w:val="22"/>
          <w:szCs w:val="22"/>
        </w:rPr>
        <w:t xml:space="preserve">Impreso normalizado debidamente impreso y firmado, presentado en formato papel en cualquier oficina de registro del </w:t>
      </w:r>
      <w:r w:rsidR="00FA5C90" w:rsidRPr="00FA5C90">
        <w:rPr>
          <w:rFonts w:ascii="Arial" w:hAnsi="Arial" w:cs="Arial"/>
          <w:sz w:val="22"/>
          <w:szCs w:val="22"/>
        </w:rPr>
        <w:t>Consell Comarcal de la Selva</w:t>
      </w:r>
      <w:r w:rsidRPr="00FA5C90">
        <w:rPr>
          <w:rFonts w:ascii="Arial" w:hAnsi="Arial" w:cs="Arial"/>
          <w:sz w:val="22"/>
          <w:szCs w:val="22"/>
        </w:rPr>
        <w:t xml:space="preserve"> o por correo postal administrativo.</w:t>
      </w:r>
    </w:p>
    <w:p w14:paraId="5F24D828" w14:textId="0DA07F6D" w:rsidR="005E35EE" w:rsidRPr="00FA5C90" w:rsidRDefault="005E35EE" w:rsidP="00FA5C90">
      <w:pPr>
        <w:pStyle w:val="Prrafodelista"/>
        <w:numPr>
          <w:ilvl w:val="1"/>
          <w:numId w:val="2"/>
        </w:numPr>
        <w:jc w:val="both"/>
        <w:rPr>
          <w:rFonts w:ascii="Arial" w:hAnsi="Arial" w:cs="Arial"/>
          <w:sz w:val="22"/>
          <w:szCs w:val="22"/>
        </w:rPr>
      </w:pPr>
      <w:r w:rsidRPr="00FA5C90">
        <w:rPr>
          <w:rFonts w:ascii="Arial" w:hAnsi="Arial" w:cs="Arial"/>
          <w:sz w:val="22"/>
          <w:szCs w:val="22"/>
        </w:rPr>
        <w:t xml:space="preserve">Formulario digital firmado electrónicamente o tramitado a través del servicio de instancia electrónica del </w:t>
      </w:r>
      <w:r w:rsidR="00FA5C90" w:rsidRPr="00FA5C90">
        <w:rPr>
          <w:rFonts w:ascii="Arial" w:hAnsi="Arial" w:cs="Arial"/>
          <w:sz w:val="22"/>
          <w:szCs w:val="22"/>
        </w:rPr>
        <w:t>Consell Comarcal de la Selva</w:t>
      </w:r>
      <w:r w:rsidRPr="00FA5C90">
        <w:rPr>
          <w:rFonts w:ascii="Arial" w:hAnsi="Arial" w:cs="Arial"/>
          <w:sz w:val="22"/>
          <w:szCs w:val="22"/>
        </w:rPr>
        <w:t>.</w:t>
      </w:r>
    </w:p>
    <w:p w14:paraId="215C7C8F" w14:textId="250A605C" w:rsidR="005E35EE" w:rsidRPr="00FA5C90" w:rsidRDefault="005E35EE" w:rsidP="00FA5C90">
      <w:pPr>
        <w:pStyle w:val="Prrafodelista"/>
        <w:numPr>
          <w:ilvl w:val="0"/>
          <w:numId w:val="2"/>
        </w:numPr>
        <w:jc w:val="both"/>
        <w:rPr>
          <w:rFonts w:ascii="Arial" w:hAnsi="Arial" w:cs="Arial"/>
          <w:sz w:val="22"/>
          <w:szCs w:val="22"/>
        </w:rPr>
      </w:pPr>
      <w:r w:rsidRPr="00FA5C90">
        <w:rPr>
          <w:rFonts w:ascii="Arial" w:hAnsi="Arial" w:cs="Arial"/>
          <w:sz w:val="22"/>
          <w:szCs w:val="22"/>
        </w:rPr>
        <w:t>Se deberá informar del IDALU (código identificador asignado a cada alumno).</w:t>
      </w:r>
    </w:p>
    <w:p w14:paraId="7423306B" w14:textId="0B787CAA" w:rsidR="005E35EE" w:rsidRPr="00FA5C90" w:rsidRDefault="005E35EE" w:rsidP="00FA5C90">
      <w:pPr>
        <w:pStyle w:val="Prrafodelista"/>
        <w:numPr>
          <w:ilvl w:val="0"/>
          <w:numId w:val="2"/>
        </w:numPr>
        <w:jc w:val="both"/>
        <w:rPr>
          <w:rFonts w:ascii="Arial" w:hAnsi="Arial" w:cs="Arial"/>
          <w:sz w:val="22"/>
          <w:szCs w:val="22"/>
        </w:rPr>
      </w:pPr>
      <w:r w:rsidRPr="00FA5C90">
        <w:rPr>
          <w:rFonts w:ascii="Arial" w:hAnsi="Arial" w:cs="Arial"/>
          <w:sz w:val="22"/>
          <w:szCs w:val="22"/>
        </w:rPr>
        <w:t xml:space="preserve">Relación de miembros de la unidad familiar que conviven en el mismo domicilio, indicando nombre, apellidos y NIF/NIE, en su caso, de cada uno de ellos. </w:t>
      </w:r>
    </w:p>
    <w:p w14:paraId="05057B1A" w14:textId="01705539" w:rsidR="005E35EE" w:rsidRPr="00FA5C90" w:rsidRDefault="005E35EE" w:rsidP="00FA5C90">
      <w:pPr>
        <w:pStyle w:val="Prrafodelista"/>
        <w:numPr>
          <w:ilvl w:val="0"/>
          <w:numId w:val="2"/>
        </w:numPr>
        <w:jc w:val="both"/>
        <w:rPr>
          <w:rFonts w:ascii="Arial" w:hAnsi="Arial" w:cs="Arial"/>
          <w:sz w:val="22"/>
          <w:szCs w:val="22"/>
        </w:rPr>
      </w:pPr>
      <w:r w:rsidRPr="00FA5C90">
        <w:rPr>
          <w:rFonts w:ascii="Arial" w:hAnsi="Arial" w:cs="Arial"/>
          <w:sz w:val="22"/>
          <w:szCs w:val="22"/>
        </w:rPr>
        <w:t>Correo electrónico y teléfono móvil donde podrá informarse de la resolución de las ayudas.</w:t>
      </w:r>
    </w:p>
    <w:p w14:paraId="3E503C3C"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7.2 Documentación complementaria</w:t>
      </w:r>
    </w:p>
    <w:p w14:paraId="27238E9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7.2.1) Acreditación de situaciones específicas de la unidad familiar, en su caso:</w:t>
      </w:r>
    </w:p>
    <w:p w14:paraId="1A21BA3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 Niños en acogimiento: se acreditará mediante la resolución de acogimiento de la Dirección General de Atención a la Infancia y la Adolescencia.</w:t>
      </w:r>
    </w:p>
    <w:p w14:paraId="1AF2239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1A3C1B4C" w14:textId="412A87C3" w:rsidR="005E35EE" w:rsidRPr="00883D1C" w:rsidRDefault="005E35EE" w:rsidP="00883D1C">
      <w:pPr>
        <w:jc w:val="both"/>
        <w:rPr>
          <w:rFonts w:ascii="Arial" w:hAnsi="Arial" w:cs="Arial"/>
          <w:sz w:val="22"/>
          <w:szCs w:val="22"/>
        </w:rPr>
      </w:pPr>
      <w:r w:rsidRPr="00883D1C">
        <w:rPr>
          <w:rFonts w:ascii="Arial" w:hAnsi="Arial" w:cs="Arial"/>
          <w:sz w:val="22"/>
          <w:szCs w:val="22"/>
        </w:rPr>
        <w:t>• Convenio regulador o sentencia de separación/divorcio/, o el acta final de mediación del Departamento de Justicia, o autorización notarial de salida del país y en su caso convenio regulador (adjuntando en idioma original y la traducción jurada al catalán o castellano)</w:t>
      </w:r>
      <w:r w:rsidRPr="00883D1C">
        <w:rPr>
          <w:rFonts w:ascii="Arial" w:hAnsi="Arial" w:cs="Arial"/>
          <w:sz w:val="22"/>
          <w:szCs w:val="22"/>
        </w:rPr>
        <w:t>.</w:t>
      </w:r>
    </w:p>
    <w:p w14:paraId="56C58C48"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En caso de viudedad de un progenitor/a, adjuntar el certificado de defunción.</w:t>
      </w:r>
    </w:p>
    <w:p w14:paraId="73A3776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7.2.2) Valoración por parte de los servicios sociales por situación social de riesgo:</w:t>
      </w:r>
    </w:p>
    <w:p w14:paraId="61279A2E"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Las familias atendidas por los servicios sociales tendrán que declarar esta situación en la solicitud indicando por qué servicios sociales son atendidas.</w:t>
      </w:r>
    </w:p>
    <w:p w14:paraId="4752BDB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A efectos de determinar la puntuación correspondiente en este ámbito, se recomienda tener en cuenta las siguientes circunstancias:</w:t>
      </w:r>
    </w:p>
    <w:p w14:paraId="4C45CC22"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 xml:space="preserve">1. Por situación de riesgo social: </w:t>
      </w:r>
    </w:p>
    <w:p w14:paraId="2CB51157" w14:textId="77777777" w:rsidR="005E35EE" w:rsidRPr="00FA5C90" w:rsidRDefault="005E35EE" w:rsidP="00883D1C">
      <w:pPr>
        <w:jc w:val="both"/>
        <w:rPr>
          <w:rFonts w:ascii="Arial" w:hAnsi="Arial" w:cs="Arial"/>
          <w:i/>
          <w:iCs/>
          <w:sz w:val="22"/>
          <w:szCs w:val="22"/>
        </w:rPr>
      </w:pPr>
      <w:r w:rsidRPr="00FA5C90">
        <w:rPr>
          <w:rFonts w:ascii="Arial" w:hAnsi="Arial" w:cs="Arial"/>
          <w:i/>
          <w:iCs/>
          <w:sz w:val="22"/>
          <w:szCs w:val="22"/>
        </w:rPr>
        <w:t xml:space="preserve">• Observadas en el niño: </w:t>
      </w:r>
    </w:p>
    <w:p w14:paraId="3966FA0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Absentismo escolar </w:t>
      </w:r>
    </w:p>
    <w:p w14:paraId="3E933DC1"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Hábitos de comida: son irregulares y/o inadecuados. - Vestido inadecuado y/o falta de higiene. </w:t>
      </w:r>
    </w:p>
    <w:p w14:paraId="31B4F31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Dificultad de adaptación social (retraimiento, aislamiento, miedos, agresividad, manifestaciones conductuales).</w:t>
      </w:r>
    </w:p>
    <w:p w14:paraId="05DDF13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Niños/as que desde los diferentes servicios observan trastornos de la alimentación. </w:t>
      </w:r>
    </w:p>
    <w:p w14:paraId="0038F8C0" w14:textId="2E7B0E71" w:rsidR="005E35EE" w:rsidRPr="00883D1C" w:rsidRDefault="005E35EE" w:rsidP="00883D1C">
      <w:pPr>
        <w:jc w:val="both"/>
        <w:rPr>
          <w:rFonts w:ascii="Arial" w:hAnsi="Arial" w:cs="Arial"/>
          <w:sz w:val="22"/>
          <w:szCs w:val="22"/>
        </w:rPr>
      </w:pPr>
      <w:r w:rsidRPr="00883D1C">
        <w:rPr>
          <w:rFonts w:ascii="Arial" w:hAnsi="Arial" w:cs="Arial"/>
          <w:sz w:val="22"/>
          <w:szCs w:val="22"/>
        </w:rPr>
        <w:t>- Trastornos emocionales y/o enfermedad mental.</w:t>
      </w:r>
    </w:p>
    <w:p w14:paraId="497DF2E5" w14:textId="77777777" w:rsidR="005E35EE" w:rsidRPr="00FA5C90" w:rsidRDefault="005E35EE" w:rsidP="00883D1C">
      <w:pPr>
        <w:jc w:val="both"/>
        <w:rPr>
          <w:rFonts w:ascii="Arial" w:hAnsi="Arial" w:cs="Arial"/>
          <w:i/>
          <w:iCs/>
          <w:sz w:val="22"/>
          <w:szCs w:val="22"/>
        </w:rPr>
      </w:pPr>
      <w:r w:rsidRPr="00FA5C90">
        <w:rPr>
          <w:rFonts w:ascii="Arial" w:hAnsi="Arial" w:cs="Arial"/>
          <w:i/>
          <w:iCs/>
          <w:sz w:val="22"/>
          <w:szCs w:val="22"/>
        </w:rPr>
        <w:t>• Observadas en la familia:</w:t>
      </w:r>
    </w:p>
    <w:p w14:paraId="7FDC064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Trastornos emocionales y/o enfermedad mental.</w:t>
      </w:r>
    </w:p>
    <w:p w14:paraId="36E95F0E"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Consumo de tóxicos.</w:t>
      </w:r>
    </w:p>
    <w:p w14:paraId="31F07BC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Negligencia leve, cuando la omisión no atenta contra la dignidad física y/o psíquica del menor.</w:t>
      </w:r>
    </w:p>
    <w:p w14:paraId="71C90CAE"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Seguimiento médico excesivo, ausentes o con carencias significativas.</w:t>
      </w:r>
    </w:p>
    <w:p w14:paraId="7B98211E" w14:textId="0869BE0C" w:rsidR="005E35EE" w:rsidRPr="00883D1C" w:rsidRDefault="005E35EE" w:rsidP="00883D1C">
      <w:pPr>
        <w:jc w:val="both"/>
        <w:rPr>
          <w:rFonts w:ascii="Arial" w:hAnsi="Arial" w:cs="Arial"/>
          <w:sz w:val="22"/>
          <w:szCs w:val="22"/>
        </w:rPr>
      </w:pPr>
      <w:r w:rsidRPr="00883D1C">
        <w:rPr>
          <w:rFonts w:ascii="Arial" w:hAnsi="Arial" w:cs="Arial"/>
          <w:sz w:val="22"/>
          <w:szCs w:val="22"/>
        </w:rPr>
        <w:t>En su caso en caso de impago es necesario acreditar con la demanda ejecutiva de cumplimiento de los acuerdos o por sentencia del divorcio o separación.</w:t>
      </w:r>
    </w:p>
    <w:p w14:paraId="263DD533" w14:textId="163B6ED7" w:rsidR="005E35EE" w:rsidRPr="00883D1C" w:rsidRDefault="005E35EE" w:rsidP="00883D1C">
      <w:pPr>
        <w:jc w:val="both"/>
        <w:rPr>
          <w:rFonts w:ascii="Arial" w:hAnsi="Arial" w:cs="Arial"/>
          <w:sz w:val="22"/>
          <w:szCs w:val="22"/>
        </w:rPr>
      </w:pPr>
      <w:r w:rsidRPr="00883D1C">
        <w:rPr>
          <w:rFonts w:ascii="Arial" w:hAnsi="Arial" w:cs="Arial"/>
          <w:sz w:val="22"/>
          <w:szCs w:val="22"/>
        </w:rPr>
        <w:t>- Problemas de vivienda: carencia, desahucio, hacinamiento, estancia en centro de acogida, etc.</w:t>
      </w:r>
    </w:p>
    <w:p w14:paraId="63C0330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Familia monoparental con poco o nulo soporte de familia extensa. </w:t>
      </w:r>
    </w:p>
    <w:p w14:paraId="5F7167F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 Sospechas de la existencia de maltrato (físico, psicológico o emocional)</w:t>
      </w:r>
    </w:p>
    <w:p w14:paraId="1CADFD7E"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 xml:space="preserve">2. Por situación de riesgo social grave: </w:t>
      </w:r>
    </w:p>
    <w:p w14:paraId="59E29C4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Negligencia grave. </w:t>
      </w:r>
    </w:p>
    <w:p w14:paraId="6592DB0F"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Maltrato psíquico. </w:t>
      </w:r>
    </w:p>
    <w:p w14:paraId="4DEACB4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Maltrato físico. - Abuso sexual. </w:t>
      </w:r>
    </w:p>
    <w:p w14:paraId="43855429" w14:textId="7FF26D34"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w:t>
      </w:r>
      <w:r w:rsidR="00FA5C90">
        <w:rPr>
          <w:rFonts w:ascii="Arial" w:hAnsi="Arial" w:cs="Arial"/>
          <w:sz w:val="22"/>
          <w:szCs w:val="22"/>
        </w:rPr>
        <w:t xml:space="preserve">Consell Comarcal </w:t>
      </w:r>
      <w:r w:rsidRPr="00883D1C">
        <w:rPr>
          <w:rFonts w:ascii="Arial" w:hAnsi="Arial" w:cs="Arial"/>
          <w:sz w:val="22"/>
          <w:szCs w:val="22"/>
        </w:rPr>
        <w:t>podrá requerir los documentos complementarios que considere necesarios para un conocimiento adecuado de las circunstancias peculiares de cada caso, a efectos de garantizar la inversión correcta de los recursos presupuestarios destinados al otorgamiento de las ayudas individuales para la utilización del servicio de comedor escolar.</w:t>
      </w:r>
    </w:p>
    <w:p w14:paraId="6CFA7BEA"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7.3 Autorizaciones</w:t>
      </w:r>
    </w:p>
    <w:p w14:paraId="6070A3BC" w14:textId="48EFF14B"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La presentación de la solicitud implica la autorización para que el </w:t>
      </w:r>
      <w:r w:rsidR="00FA5C90">
        <w:rPr>
          <w:rFonts w:ascii="Arial" w:hAnsi="Arial" w:cs="Arial"/>
          <w:sz w:val="22"/>
          <w:szCs w:val="22"/>
        </w:rPr>
        <w:t xml:space="preserve">Consell Comarcal </w:t>
      </w:r>
      <w:r w:rsidRPr="00883D1C">
        <w:rPr>
          <w:rFonts w:ascii="Arial" w:hAnsi="Arial" w:cs="Arial"/>
          <w:sz w:val="22"/>
          <w:szCs w:val="22"/>
        </w:rPr>
        <w:t>pueda trasladar la documentación necesaria a otros Consejos receptores, en caso de que haya un traslado del alumno.</w:t>
      </w:r>
    </w:p>
    <w:p w14:paraId="0FE4B863" w14:textId="3E215673"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La presentación de la solicitud implica la autorización, de todos y cada uno de los miembros de la unidad familiar, para que el </w:t>
      </w:r>
      <w:r w:rsidR="00FA5C90">
        <w:rPr>
          <w:rFonts w:ascii="Arial" w:hAnsi="Arial" w:cs="Arial"/>
          <w:sz w:val="22"/>
          <w:szCs w:val="22"/>
        </w:rPr>
        <w:t xml:space="preserve">Consell Comarcal </w:t>
      </w:r>
      <w:r w:rsidRPr="00883D1C">
        <w:rPr>
          <w:rFonts w:ascii="Arial" w:hAnsi="Arial" w:cs="Arial"/>
          <w:sz w:val="22"/>
          <w:szCs w:val="22"/>
        </w:rPr>
        <w:t>o el Departamento de Educación y Formación Profesional puedan obtener de otras administraciones públicas la información que resulte necesaria para la determinación, conocimiento y comprobación de todos los datos de identificación, situaciones personales, de residencia, académicas y familiares, otras becas y ayudas ciudadanía, ingreso mínimo vital y ayudas al alquiler de la vivienda, entre otras necesarias para la resolución de la solicitud de beca.</w:t>
      </w:r>
    </w:p>
    <w:p w14:paraId="3BE882B5"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8. Criterios para el otorgamiento de las ayudas</w:t>
      </w:r>
    </w:p>
    <w:p w14:paraId="61EB1E16"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Se otorgarán ayudas del 70% o hasta el 100% del coste del comedor a los alumnos que cumplan los requisitos establecidos. El coste diario del comedor será el establecido para cada centro educativo y no podrá superar en ningún caso el precio máximo establecido por el Departamento, en función de la duración del espacio de mediodía.</w:t>
      </w:r>
    </w:p>
    <w:p w14:paraId="13EE250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8.1 Cálculo de la renta familiar</w:t>
      </w:r>
    </w:p>
    <w:p w14:paraId="320E9099" w14:textId="7AA40886"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El Departamento de Educación y Formación Profesional o el </w:t>
      </w:r>
      <w:r w:rsidR="00FA5C90">
        <w:rPr>
          <w:rFonts w:ascii="Arial" w:hAnsi="Arial" w:cs="Arial"/>
          <w:sz w:val="22"/>
          <w:szCs w:val="22"/>
        </w:rPr>
        <w:t xml:space="preserve">Consell Comarcal </w:t>
      </w:r>
      <w:r w:rsidRPr="00883D1C">
        <w:rPr>
          <w:rFonts w:ascii="Arial" w:hAnsi="Arial" w:cs="Arial"/>
          <w:sz w:val="22"/>
          <w:szCs w:val="22"/>
        </w:rPr>
        <w:t>calculará la renta familiar por la agregación de las rentas correspondientes al ejercicio 2024 de cada uno de los miembros computables de la familia que obtenga ingresos de cualquier naturaleza, según se indica en los párrafos siguientes y de conformidad con la normativa reguladora del impuesto sobre la renta de las personas físicas.</w:t>
      </w:r>
    </w:p>
    <w:p w14:paraId="73CE135F"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Para la determinación de la renta de los miembros computables que hayan presentado declaración por el impuesto sobre la renta de las personas físicas, se procederá de la siguiente forma:</w:t>
      </w:r>
    </w:p>
    <w:p w14:paraId="4C0C897E" w14:textId="43CA22E4" w:rsidR="005E35EE" w:rsidRPr="00883D1C" w:rsidRDefault="005E35EE" w:rsidP="00883D1C">
      <w:pPr>
        <w:jc w:val="both"/>
        <w:rPr>
          <w:rFonts w:ascii="Arial" w:hAnsi="Arial" w:cs="Arial"/>
          <w:sz w:val="22"/>
          <w:szCs w:val="22"/>
        </w:rPr>
      </w:pPr>
      <w:r w:rsidRPr="00883D1C">
        <w:rPr>
          <w:rFonts w:ascii="Arial" w:hAnsi="Arial" w:cs="Arial"/>
          <w:sz w:val="22"/>
          <w:szCs w:val="22"/>
        </w:rPr>
        <w:t>• Primero: se sumará la base imponible general con la base imponible del ahorro, excluyendo los saldos netos negativos de ganancias y pérdidas patrimoniales correspondientes de 2020 a 2023, y el saldo neto negativo de rendimientos de capital mobiliario de 2020 a 2023 a integrar en la base.</w:t>
      </w:r>
    </w:p>
    <w:p w14:paraId="1DDB945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 xml:space="preserve">• Segundo: a este resultado se restará la cuota resultante de la autoliquidación. </w:t>
      </w:r>
    </w:p>
    <w:p w14:paraId="0BD5CDA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Para la determinación de la renta de los miembros computables que obtengan ingresos propios y no hayan presentado declaración por el Impuesto sobre la Renta de las Personas Físicas, se seguirá el procedimiento descrito en el apartado primero del punto anterior, quedando del resultado obtenido los pagos a cuenta efectuados.</w:t>
      </w:r>
    </w:p>
    <w:p w14:paraId="243E6A0A" w14:textId="55EC8F76"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Tercero: A los rendimientos obtenidos por las otras dos vías, se les sumarán todos aquellos otros que obtenidos o </w:t>
      </w:r>
      <w:r w:rsidR="00FA5C90" w:rsidRPr="00883D1C">
        <w:rPr>
          <w:rFonts w:ascii="Arial" w:hAnsi="Arial" w:cs="Arial"/>
          <w:sz w:val="22"/>
          <w:szCs w:val="22"/>
        </w:rPr>
        <w:t>facilidades correspondientes</w:t>
      </w:r>
      <w:r w:rsidRPr="00883D1C">
        <w:rPr>
          <w:rFonts w:ascii="Arial" w:hAnsi="Arial" w:cs="Arial"/>
          <w:sz w:val="22"/>
          <w:szCs w:val="22"/>
        </w:rPr>
        <w:t xml:space="preserve"> a rendimiento no tributables o exentos</w:t>
      </w:r>
      <w:r w:rsidR="00FA5C90">
        <w:rPr>
          <w:rFonts w:ascii="Arial" w:hAnsi="Arial" w:cs="Arial"/>
          <w:sz w:val="22"/>
          <w:szCs w:val="22"/>
        </w:rPr>
        <w:t>.</w:t>
      </w:r>
    </w:p>
    <w:p w14:paraId="0976BF3A"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2B92D36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Original y fotocopia del informe de vida laboral actualizado, emitido por la Seguridad Social.</w:t>
      </w:r>
    </w:p>
    <w:p w14:paraId="476B25C3" w14:textId="3AC44319" w:rsidR="005E35EE" w:rsidRPr="00883D1C" w:rsidRDefault="005E35EE" w:rsidP="00883D1C">
      <w:pPr>
        <w:jc w:val="both"/>
        <w:rPr>
          <w:rFonts w:ascii="Arial" w:hAnsi="Arial" w:cs="Arial"/>
          <w:sz w:val="22"/>
          <w:szCs w:val="22"/>
        </w:rPr>
      </w:pPr>
      <w:r w:rsidRPr="00883D1C">
        <w:rPr>
          <w:rFonts w:ascii="Arial" w:hAnsi="Arial" w:cs="Arial"/>
          <w:sz w:val="22"/>
          <w:szCs w:val="22"/>
        </w:rPr>
        <w:t>- Las personas que estén dadas de alta en el sistema especial de trabajadores del hogar de la Seguridad Social, será necesario aportar el certificado de cotizaciones correspondiente al año 2024.</w:t>
      </w:r>
    </w:p>
    <w:p w14:paraId="4DE15CD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En el resto de situaciones no previstas anteriormente el nivel de renta deberá acreditarse mediante cualquier otra documentación fehaciente que será valorada por la Comisión de adjudicación.</w:t>
      </w:r>
    </w:p>
    <w:p w14:paraId="59B3772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8.2 Deducciones de la renta familiar</w:t>
      </w:r>
    </w:p>
    <w:p w14:paraId="54EDEA5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A efectos de la determinación de la renta a que se refieren los párrafos anteriores, una vez calculada la renta familiar a efectos de la ayuda, se aplicarán las siguientes deducciones:</w:t>
      </w:r>
    </w:p>
    <w:p w14:paraId="464475D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El cincuenta por ciento de los ingresos aportados por cualquiera de los miembros computables de la familia distintos de los principales sustentadores.</w:t>
      </w:r>
    </w:p>
    <w:p w14:paraId="4B693EE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La cantidad de 500,00 € por motivos de duración del desplazamiento y distancia, cuando concurran las siguientes situaciones:</w:t>
      </w:r>
    </w:p>
    <w:p w14:paraId="6D6E015F" w14:textId="1F9DF0B1" w:rsidR="005E35EE" w:rsidRPr="00883D1C" w:rsidRDefault="005E35EE" w:rsidP="00883D1C">
      <w:pPr>
        <w:jc w:val="both"/>
        <w:rPr>
          <w:rFonts w:ascii="Arial" w:hAnsi="Arial" w:cs="Arial"/>
          <w:sz w:val="22"/>
          <w:szCs w:val="22"/>
        </w:rPr>
      </w:pPr>
      <w:r w:rsidRPr="00883D1C">
        <w:rPr>
          <w:rFonts w:ascii="Arial" w:hAnsi="Arial" w:cs="Arial"/>
          <w:sz w:val="22"/>
          <w:szCs w:val="22"/>
        </w:rPr>
        <w:t>- Que el alumno se desplace en vehículo un mínimo de 3 km o cuyo desplazamiento tenga una duración superior a 25 minutos desde su domicilio familiar y donde tiene su residencia habitual hasta el centro donde está escolarizado.</w:t>
      </w:r>
    </w:p>
    <w:p w14:paraId="1B36980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cuanto a la educación secundaria obligatoria, se considerará como centro propuesto, aquél que le corresponde, por la Resolución de adscripción. En caso de que el Departamento haya derivado al alumno a un centro diferente, por falta de oferta educativa, también se entenderá que este centro es el propuesto por el Departamento.</w:t>
      </w:r>
    </w:p>
    <w:p w14:paraId="1872A381"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No tener el servicio de comedor escolar con carácter preceptivo y, por </w:t>
      </w:r>
      <w:proofErr w:type="gramStart"/>
      <w:r w:rsidRPr="00883D1C">
        <w:rPr>
          <w:rFonts w:ascii="Arial" w:hAnsi="Arial" w:cs="Arial"/>
          <w:sz w:val="22"/>
          <w:szCs w:val="22"/>
        </w:rPr>
        <w:t>tanto</w:t>
      </w:r>
      <w:proofErr w:type="gramEnd"/>
      <w:r w:rsidRPr="00883D1C">
        <w:rPr>
          <w:rFonts w:ascii="Arial" w:hAnsi="Arial" w:cs="Arial"/>
          <w:sz w:val="22"/>
          <w:szCs w:val="22"/>
        </w:rPr>
        <w:t xml:space="preserve"> gratuito.</w:t>
      </w:r>
    </w:p>
    <w:p w14:paraId="4B08A6D3" w14:textId="27AD6522"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 La cantidad de 1.200,00 € por cada hermano o hermana, incluyendo a la persona solicitante que conviva en el domicilio familiar, cuando acredite la condición de familia monoparental</w:t>
      </w:r>
      <w:r w:rsidRPr="00883D1C">
        <w:rPr>
          <w:rFonts w:ascii="Arial" w:hAnsi="Arial" w:cs="Arial"/>
          <w:sz w:val="22"/>
          <w:szCs w:val="22"/>
        </w:rPr>
        <w:t xml:space="preserve"> </w:t>
      </w:r>
    </w:p>
    <w:p w14:paraId="66621B5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La cantidad de 800,00 €, cuando acrediten la existencia de niños en acogimiento en la unidad familiar extensa o ajena. </w:t>
      </w:r>
    </w:p>
    <w:p w14:paraId="5CBF847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La cantidad de 500,00 € por cada hermano o hermana, incluyendo a la persona solicitante que conviva en el domicilio familiar, cuando se acredite la condición de familia numerosa.</w:t>
      </w:r>
    </w:p>
    <w:p w14:paraId="3A48A07E"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La cantidad de 3.000,00 € por cada hermano o hermana, incluyendo a la persona solicitante que conviva en el domicilio familiar, cuando la persona solicitante acredite la condición de discapacidad de igual o más de un 33%.</w:t>
      </w:r>
    </w:p>
    <w:p w14:paraId="0F41D98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1213EE20" w14:textId="6C426B53" w:rsidR="005E35EE" w:rsidRPr="00883D1C" w:rsidRDefault="005E35EE" w:rsidP="00883D1C">
      <w:pPr>
        <w:jc w:val="both"/>
        <w:rPr>
          <w:rFonts w:ascii="Arial" w:hAnsi="Arial" w:cs="Arial"/>
          <w:sz w:val="22"/>
          <w:szCs w:val="22"/>
        </w:rPr>
      </w:pPr>
      <w:r w:rsidRPr="00883D1C">
        <w:rPr>
          <w:rFonts w:ascii="Arial" w:hAnsi="Arial" w:cs="Arial"/>
          <w:sz w:val="22"/>
          <w:szCs w:val="22"/>
        </w:rPr>
        <w:t>En el caso de unidades familiares que mediante los cruces no se haya obtenido ingresos o que ninguno de los miembros tiene un identificador, será necesario disponer del correspondiente informe de servicios sociales en el que deberá hacer constar aquellos ingresos que puedan tener estas unidades y la valoración por situación social de riesgo, de acuerdo con lo que se establece en el punto 7.2.2) de estos criterios.</w:t>
      </w:r>
    </w:p>
    <w:p w14:paraId="1F7787B9"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8.3 Valoración de situaciones específicas de la unidad familiar</w:t>
      </w:r>
    </w:p>
    <w:p w14:paraId="479E7B81"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Por este concepto, se establece un baremo máximo de hasta 15 puntos, que se calculará por la agregación de los puntos obtenidos, de todos los miembros de la unidad familiar, por los diferentes conceptos que se relacionan a continuación, que deberán acreditarse fehacientemente, mediante certificación del organismo competente.</w:t>
      </w:r>
    </w:p>
    <w:p w14:paraId="25F4DFA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Calificación de familia numerosa general, le corresponde 1,5 puntos.</w:t>
      </w:r>
    </w:p>
    <w:p w14:paraId="3E34D0B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Calificación de familia numerosa especial, le corresponde 3 puntos.</w:t>
      </w:r>
    </w:p>
    <w:p w14:paraId="0B37445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Condición de </w:t>
      </w:r>
      <w:proofErr w:type="spellStart"/>
      <w:r w:rsidRPr="00883D1C">
        <w:rPr>
          <w:rFonts w:ascii="Arial" w:hAnsi="Arial" w:cs="Arial"/>
          <w:sz w:val="22"/>
          <w:szCs w:val="22"/>
        </w:rPr>
        <w:t>monoparentalidad</w:t>
      </w:r>
      <w:proofErr w:type="spellEnd"/>
      <w:r w:rsidRPr="00883D1C">
        <w:rPr>
          <w:rFonts w:ascii="Arial" w:hAnsi="Arial" w:cs="Arial"/>
          <w:sz w:val="22"/>
          <w:szCs w:val="22"/>
        </w:rPr>
        <w:t xml:space="preserve"> general, le corresponde 1,5 puntos.</w:t>
      </w:r>
    </w:p>
    <w:p w14:paraId="6246556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 Condición de </w:t>
      </w:r>
      <w:proofErr w:type="spellStart"/>
      <w:r w:rsidRPr="00883D1C">
        <w:rPr>
          <w:rFonts w:ascii="Arial" w:hAnsi="Arial" w:cs="Arial"/>
          <w:sz w:val="22"/>
          <w:szCs w:val="22"/>
        </w:rPr>
        <w:t>monoparentalidad</w:t>
      </w:r>
      <w:proofErr w:type="spellEnd"/>
      <w:r w:rsidRPr="00883D1C">
        <w:rPr>
          <w:rFonts w:ascii="Arial" w:hAnsi="Arial" w:cs="Arial"/>
          <w:sz w:val="22"/>
          <w:szCs w:val="22"/>
        </w:rPr>
        <w:t xml:space="preserve"> especial, le corresponde 3 puntos.</w:t>
      </w:r>
    </w:p>
    <w:p w14:paraId="3F469A3F"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Existencia de niños en acogimiento en la unidad familiar extensa o ajena, le corresponde 3 puntos.</w:t>
      </w:r>
    </w:p>
    <w:p w14:paraId="1298303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Condición de discapacidad del alumno o hermanos de hasta un 33%, le corresponde 1,5 puntos.</w:t>
      </w:r>
    </w:p>
    <w:p w14:paraId="737E72D6"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Condición de discapacidad del alumno o hermanos de más de un 33%, le corresponde 3 puntos.</w:t>
      </w:r>
    </w:p>
    <w:p w14:paraId="18176811" w14:textId="5508792C" w:rsidR="005E35EE" w:rsidRPr="00883D1C" w:rsidRDefault="005E35EE" w:rsidP="00883D1C">
      <w:pPr>
        <w:jc w:val="both"/>
        <w:rPr>
          <w:rFonts w:ascii="Arial" w:hAnsi="Arial" w:cs="Arial"/>
          <w:sz w:val="22"/>
          <w:szCs w:val="22"/>
        </w:rPr>
      </w:pPr>
      <w:r w:rsidRPr="00883D1C">
        <w:rPr>
          <w:rFonts w:ascii="Arial" w:hAnsi="Arial" w:cs="Arial"/>
          <w:sz w:val="22"/>
          <w:szCs w:val="22"/>
        </w:rPr>
        <w:t>• Redistribución equilibrada de alumnado con necesidades educativas específicas, le corresponde hasta 3 puntos.</w:t>
      </w:r>
    </w:p>
    <w:p w14:paraId="03019879"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La puntuación que se indica para cada concepto es la máxima para ese concepto, por tanto, a efectos de obtener la puntuación es indiferente que la cumplan varios miembros de la unidad familiar.</w:t>
      </w:r>
    </w:p>
    <w:p w14:paraId="6F42FB99"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8.4 Valoración por parte de los servicios sociales por necesidad social</w:t>
      </w:r>
    </w:p>
    <w:p w14:paraId="77BB0BC6"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Por este concepto se establece un baremo máximo de hasta 15 puntos. En este caso, será preceptivo que el alumno esté en seguimiento, por parte de los servicios sociales, mediante el cual se acreditará la existencia de una necesidad social de esta familia. Es necesario que el alumno esté incluido en un plan de intervención o trabajo por riesgo de exclusión social. Se acompañará de un informe y se aplicará la siguiente puntuación:</w:t>
      </w:r>
    </w:p>
    <w:p w14:paraId="5DBFB120"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Situación de riesgo social, 10 puntos.</w:t>
      </w:r>
    </w:p>
    <w:p w14:paraId="2065F9AC" w14:textId="1DFAFEC1" w:rsidR="005E35EE" w:rsidRPr="00883D1C" w:rsidRDefault="005E35EE" w:rsidP="00883D1C">
      <w:pPr>
        <w:jc w:val="both"/>
        <w:rPr>
          <w:rFonts w:ascii="Arial" w:hAnsi="Arial" w:cs="Arial"/>
          <w:sz w:val="22"/>
          <w:szCs w:val="22"/>
        </w:rPr>
      </w:pPr>
      <w:r w:rsidRPr="00883D1C">
        <w:rPr>
          <w:rFonts w:ascii="Arial" w:hAnsi="Arial" w:cs="Arial"/>
          <w:sz w:val="22"/>
          <w:szCs w:val="22"/>
        </w:rPr>
        <w:t>• Situación de riesgo social grave, 15 puntos.</w:t>
      </w:r>
    </w:p>
    <w:p w14:paraId="263E3770"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9. Consideración de los miembros computables de la unidad familiar</w:t>
      </w:r>
    </w:p>
    <w:p w14:paraId="3BE177F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Para el cálculo de la renta familiar a efectos de estas ayudas, son miembros computables los progenitores, en su caso, el/la tutor/a o persona encargada de la guarda y protección del menor, el solicitante, los hermanos solteros menores de veinticinco años y que convivan en el domicilio familiar a los 31 de diciembre del año utilizado en el de personas con discapacidad física, psíquica o sensorial, así como los ascendientes de los padres que justifiquen su residencia en el mismo domicilio que los anteriores con el correspondiente certificado municipal.</w:t>
      </w:r>
    </w:p>
    <w:p w14:paraId="53C4F68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03C39D61" w14:textId="4631ABA6" w:rsidR="005E35EE" w:rsidRPr="00883D1C" w:rsidRDefault="005E35EE" w:rsidP="00883D1C">
      <w:pPr>
        <w:jc w:val="both"/>
        <w:rPr>
          <w:rFonts w:ascii="Arial" w:hAnsi="Arial" w:cs="Arial"/>
          <w:sz w:val="22"/>
          <w:szCs w:val="22"/>
        </w:rPr>
      </w:pPr>
      <w:r w:rsidRPr="00883D1C">
        <w:rPr>
          <w:rFonts w:ascii="Arial" w:hAnsi="Arial" w:cs="Arial"/>
          <w:sz w:val="22"/>
          <w:szCs w:val="22"/>
        </w:rPr>
        <w:t>9.1 Tratamiento específico de determinadas situaciones en relación con la unidad familiar.</w:t>
      </w:r>
    </w:p>
    <w:p w14:paraId="7EDA9DCC"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23E49552"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 xml:space="preserve">En caso de que posteriormente a la tramitación de la ayuda con un solo progenitor el otro progenitor también quiera solicitarlo, se hará una nueva valoración atendiendo al criterio inicial, de acuerdo con lo que se establece en el párrafo anterior. Esta revisión puede comportar cambiar el resultado de la ayuda obtenida con la valoración de un único progenitor. </w:t>
      </w:r>
    </w:p>
    <w:p w14:paraId="6D81BF0B" w14:textId="13412829" w:rsidR="005E35EE" w:rsidRPr="00883D1C" w:rsidRDefault="005E35EE" w:rsidP="00883D1C">
      <w:pPr>
        <w:jc w:val="both"/>
        <w:rPr>
          <w:rFonts w:ascii="Arial" w:hAnsi="Arial" w:cs="Arial"/>
          <w:sz w:val="22"/>
          <w:szCs w:val="22"/>
        </w:rPr>
      </w:pPr>
      <w:r w:rsidRPr="00883D1C">
        <w:rPr>
          <w:rFonts w:ascii="Arial" w:hAnsi="Arial" w:cs="Arial"/>
          <w:sz w:val="22"/>
          <w:szCs w:val="22"/>
        </w:rPr>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machista. 2.5.2008).</w:t>
      </w:r>
    </w:p>
    <w:p w14:paraId="412F9365" w14:textId="77777777" w:rsidR="005E35EE" w:rsidRPr="00FA5C90" w:rsidRDefault="005E35EE" w:rsidP="00883D1C">
      <w:pPr>
        <w:jc w:val="both"/>
        <w:rPr>
          <w:rFonts w:ascii="Arial" w:hAnsi="Arial" w:cs="Arial"/>
          <w:b/>
          <w:bCs/>
          <w:sz w:val="22"/>
          <w:szCs w:val="22"/>
        </w:rPr>
      </w:pPr>
      <w:r w:rsidRPr="00FA5C90">
        <w:rPr>
          <w:rFonts w:ascii="Arial" w:hAnsi="Arial" w:cs="Arial"/>
          <w:b/>
          <w:bCs/>
          <w:sz w:val="22"/>
          <w:szCs w:val="22"/>
        </w:rPr>
        <w:t>10.Umbrales de renta, volumen de negocio, capital mobiliario de patrimonio.</w:t>
      </w:r>
    </w:p>
    <w:p w14:paraId="59365FB5"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ab/>
        <w:t>10.1 Umbral de renta, tramo garantizado de ayuda del 70%:</w:t>
      </w:r>
    </w:p>
    <w:p w14:paraId="160290A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El umbral se calculará en función de los miembros computables de la unidad familiar y por la agregación de las unidades de consumo que se detallan a continuación:</w:t>
      </w:r>
    </w:p>
    <w:p w14:paraId="7B75023A" w14:textId="77777777" w:rsidR="005E35EE" w:rsidRPr="00883D1C" w:rsidRDefault="005E35EE" w:rsidP="00FA5C90">
      <w:pPr>
        <w:spacing w:after="0" w:line="240" w:lineRule="auto"/>
        <w:ind w:firstLine="708"/>
        <w:jc w:val="both"/>
        <w:rPr>
          <w:rFonts w:ascii="Arial" w:hAnsi="Arial" w:cs="Arial"/>
          <w:sz w:val="22"/>
          <w:szCs w:val="22"/>
        </w:rPr>
      </w:pPr>
      <w:r w:rsidRPr="00883D1C">
        <w:rPr>
          <w:rFonts w:ascii="Arial" w:hAnsi="Arial" w:cs="Arial"/>
          <w:sz w:val="22"/>
          <w:szCs w:val="22"/>
        </w:rPr>
        <w:t>• Primer adulto (sustentadores principales): 13.311,20 €.</w:t>
      </w:r>
    </w:p>
    <w:p w14:paraId="52E372EA" w14:textId="77777777" w:rsidR="005E35EE" w:rsidRPr="00883D1C" w:rsidRDefault="005E35EE" w:rsidP="00FA5C90">
      <w:pPr>
        <w:spacing w:after="0" w:line="240" w:lineRule="auto"/>
        <w:ind w:left="708"/>
        <w:jc w:val="both"/>
        <w:rPr>
          <w:rFonts w:ascii="Arial" w:hAnsi="Arial" w:cs="Arial"/>
          <w:sz w:val="22"/>
          <w:szCs w:val="22"/>
        </w:rPr>
      </w:pPr>
      <w:r w:rsidRPr="00883D1C">
        <w:rPr>
          <w:rFonts w:ascii="Arial" w:hAnsi="Arial" w:cs="Arial"/>
          <w:sz w:val="22"/>
          <w:szCs w:val="22"/>
        </w:rPr>
        <w:t>• Segundo adulto (sustentadores principales) y otros adultos que integran la unidad familiar: 6.665.70 €.</w:t>
      </w:r>
    </w:p>
    <w:p w14:paraId="7ABC60FB" w14:textId="77777777" w:rsidR="005E35EE" w:rsidRDefault="005E35EE" w:rsidP="00FA5C90">
      <w:pPr>
        <w:spacing w:after="0" w:line="240" w:lineRule="auto"/>
        <w:ind w:firstLine="708"/>
        <w:jc w:val="both"/>
        <w:rPr>
          <w:rFonts w:ascii="Arial" w:hAnsi="Arial" w:cs="Arial"/>
          <w:sz w:val="22"/>
          <w:szCs w:val="22"/>
        </w:rPr>
      </w:pPr>
      <w:r w:rsidRPr="00883D1C">
        <w:rPr>
          <w:rFonts w:ascii="Arial" w:hAnsi="Arial" w:cs="Arial"/>
          <w:sz w:val="22"/>
          <w:szCs w:val="22"/>
        </w:rPr>
        <w:t>• Para cada niño/a de la unidad familiar: 3.993,40 €.</w:t>
      </w:r>
    </w:p>
    <w:p w14:paraId="6E08D37F" w14:textId="77777777" w:rsidR="00FA5C90" w:rsidRPr="00883D1C" w:rsidRDefault="00FA5C90" w:rsidP="00FA5C90">
      <w:pPr>
        <w:spacing w:after="0" w:line="240" w:lineRule="auto"/>
        <w:jc w:val="both"/>
        <w:rPr>
          <w:rFonts w:ascii="Arial" w:hAnsi="Arial" w:cs="Arial"/>
          <w:sz w:val="22"/>
          <w:szCs w:val="22"/>
        </w:rPr>
      </w:pPr>
    </w:p>
    <w:p w14:paraId="4C581DD5" w14:textId="27E1858E" w:rsidR="005E35EE" w:rsidRPr="00883D1C" w:rsidRDefault="005E35EE" w:rsidP="00883D1C">
      <w:pPr>
        <w:jc w:val="both"/>
        <w:rPr>
          <w:rFonts w:ascii="Arial" w:hAnsi="Arial" w:cs="Arial"/>
          <w:sz w:val="22"/>
          <w:szCs w:val="22"/>
        </w:rPr>
      </w:pPr>
      <w:r w:rsidRPr="00883D1C">
        <w:rPr>
          <w:rFonts w:ascii="Arial" w:hAnsi="Arial" w:cs="Arial"/>
          <w:sz w:val="22"/>
          <w:szCs w:val="22"/>
        </w:rPr>
        <w:t>Si la renta familiar anual, calculada de acuerdo con lo que establecen las bases, no supera este umbral, se concederá una ayuda de hasta un 70% del coste del servicio de comedor, que no podrá superar en ningún caso el precio máximo establecido por el Departamento, en función de la duración del espacio de mediodía. Es necesario fijar este umbral como requisito de acceso a la convocatoria. Aquellas solicitudes que estén por encima de este umbral, constarán como denegadas.</w:t>
      </w:r>
    </w:p>
    <w:p w14:paraId="7B436EE3"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10.2 Umbral de renta, tramo garantizado de ayuda del 100%:</w:t>
      </w:r>
    </w:p>
    <w:p w14:paraId="6501F2B9"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El umbral de renta es el 60% de lo establecido para la obtención de una ayuda del tramo garantizado del 70% y acreditar una puntuación superior o igual a 15 puntos entre los ámbitos b y c.</w:t>
      </w:r>
    </w:p>
    <w:p w14:paraId="16C99194"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Si la renta familiar anual, calculada de acuerdo con lo que establecen las bases, no supera este umbral y se alcanza la puntuación mínima establecida en los ámbitos sociales (b y c), se otorgará una ayuda del 100% del coste del servicio de comedor, que no podrá superar en ningún caso el precio máximo establecido por el Departamento de Educación y Formación Profesional, en función de</w:t>
      </w:r>
    </w:p>
    <w:p w14:paraId="4DE2A398"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10.3 Umbral de renta, tramo garantizado de ayuda del 100% para el alumnado que no tiene la puntuación social mínima:</w:t>
      </w:r>
    </w:p>
    <w:p w14:paraId="0AAAED57"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El umbral de renta es el 50% de lo establecido para la obtención de una ayuda del tramo garantizado del 70%. Si la renta familiar anual, calculada de acuerdo con lo que establecen las bases no supera este umbral, se otorgará una ayuda del 100% del coste del servicio de comedor, que en ningún caso podrá superar el precio máximo establecido por el Departamento de Educación y Formación Profesional, en función de la duración del espacio de mediodía.</w:t>
      </w:r>
    </w:p>
    <w:p w14:paraId="0F4A2CB1" w14:textId="5A5FE464" w:rsidR="005E35EE" w:rsidRPr="00883D1C" w:rsidRDefault="005E35EE" w:rsidP="00883D1C">
      <w:pPr>
        <w:jc w:val="both"/>
        <w:rPr>
          <w:rFonts w:ascii="Arial" w:hAnsi="Arial" w:cs="Arial"/>
          <w:sz w:val="22"/>
          <w:szCs w:val="22"/>
        </w:rPr>
      </w:pPr>
      <w:r w:rsidRPr="00883D1C">
        <w:rPr>
          <w:rFonts w:ascii="Arial" w:hAnsi="Arial" w:cs="Arial"/>
          <w:sz w:val="22"/>
          <w:szCs w:val="22"/>
        </w:rPr>
        <w:t>10.4 Umbral de renta, tramo garantizado de ayuda del 100% para alumnado con una discapacidad acreditada superior o igual al 33%:</w:t>
      </w:r>
    </w:p>
    <w:p w14:paraId="155C479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El umbral de renta es de 2,5 veces a lo establecido para la obtención de una ayuda del tramo garantizado del 70% y acreditar una discapacidad superior o igual a 33%. Si la renta familiar anual, calculada de acuerdo con lo que establecen las bases no supera este umbral, se otorgará una ayuda del 100% del coste del servicio de comedor, que en ningún caso podrá superar el precio máximo establecido por el Departamento de Educación y Formación Profesional, en función de la duración del espacio de mediodía. Esta discapacidad deberá ser acreditada mediante la correspondiente certificación del órgano competente.</w:t>
      </w:r>
    </w:p>
    <w:p w14:paraId="1033B81D"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t>10.5 Umbral de volumen de negocio</w:t>
      </w:r>
    </w:p>
    <w:p w14:paraId="2B2AE9DB" w14:textId="77777777" w:rsidR="005E35EE" w:rsidRPr="00883D1C" w:rsidRDefault="005E35EE" w:rsidP="00883D1C">
      <w:pPr>
        <w:jc w:val="both"/>
        <w:rPr>
          <w:rFonts w:ascii="Arial" w:hAnsi="Arial" w:cs="Arial"/>
          <w:sz w:val="22"/>
          <w:szCs w:val="22"/>
        </w:rPr>
      </w:pPr>
      <w:r w:rsidRPr="00883D1C">
        <w:rPr>
          <w:rFonts w:ascii="Arial" w:hAnsi="Arial" w:cs="Arial"/>
          <w:sz w:val="22"/>
          <w:szCs w:val="22"/>
        </w:rPr>
        <w:lastRenderedPageBreak/>
        <w:t>Podrán optar a las ayudas las unidades familiares con unos ingresos de los tipos que se indican a continuación obtenidos por los miembros computables de la unidad familiar que no superen la cuantía de 155.500,00 €:</w:t>
      </w:r>
    </w:p>
    <w:p w14:paraId="7555257A" w14:textId="285A4EAD" w:rsidR="005E35EE" w:rsidRPr="00883D1C" w:rsidRDefault="005E35EE" w:rsidP="00883D1C">
      <w:pPr>
        <w:jc w:val="both"/>
        <w:rPr>
          <w:rFonts w:ascii="Arial" w:hAnsi="Arial" w:cs="Arial"/>
          <w:sz w:val="22"/>
          <w:szCs w:val="22"/>
        </w:rPr>
      </w:pPr>
      <w:r w:rsidRPr="00883D1C">
        <w:rPr>
          <w:rFonts w:ascii="Arial" w:hAnsi="Arial" w:cs="Arial"/>
          <w:sz w:val="22"/>
          <w:szCs w:val="22"/>
        </w:rPr>
        <w:t>• Ingresos procedentes de actividades económicas en estimación directa o en estimación objetiva.</w:t>
      </w:r>
    </w:p>
    <w:p w14:paraId="65538AC4"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Ingresos procedentes de una participación del conjunto de miembros computables igual o superior al cincuenta por ciento en actividades económicas desarrolladas a través de entidades sin personalidad jurídica o en cualquier otra clase de entidad jurídica, una vez aplicados a los ingresos totales de las actividades el porcentaje de participación de las mismas.</w:t>
      </w:r>
    </w:p>
    <w:p w14:paraId="50FF6468" w14:textId="63A694F6" w:rsidR="00883D1C" w:rsidRPr="00883D1C" w:rsidRDefault="00883D1C" w:rsidP="00883D1C">
      <w:pPr>
        <w:jc w:val="both"/>
        <w:rPr>
          <w:rFonts w:ascii="Arial" w:hAnsi="Arial" w:cs="Arial"/>
          <w:sz w:val="22"/>
          <w:szCs w:val="22"/>
        </w:rPr>
      </w:pPr>
      <w:r w:rsidRPr="00883D1C">
        <w:rPr>
          <w:rFonts w:ascii="Arial" w:hAnsi="Arial" w:cs="Arial"/>
          <w:sz w:val="22"/>
          <w:szCs w:val="22"/>
        </w:rPr>
        <w:t>10.6 Umbral de rendimientos patrimoniales</w:t>
      </w:r>
    </w:p>
    <w:p w14:paraId="70BBD680"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la renta básica de la buena cultura y la emancipación 1.700,00€.</w:t>
      </w:r>
    </w:p>
    <w:p w14:paraId="7120DBD7"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No se tendrán en cuenta a efectos previstos en este apartado los primeros 1.500,00€ de los premios, en metálico o en especie, obtenidos por la participación en juegos, concursos, rifas o combinaciones aleatorias. Las ganancias patrimoniales derivadas de dichos premios se computarán de acuerdo con la normativa del impuesto sobre la renta de las personas físicas.</w:t>
      </w:r>
    </w:p>
    <w:p w14:paraId="43DF7779" w14:textId="149EC450" w:rsidR="005E35EE" w:rsidRPr="00883D1C" w:rsidRDefault="00883D1C" w:rsidP="00883D1C">
      <w:pPr>
        <w:jc w:val="both"/>
        <w:rPr>
          <w:rFonts w:ascii="Arial" w:hAnsi="Arial" w:cs="Arial"/>
          <w:sz w:val="22"/>
          <w:szCs w:val="22"/>
        </w:rPr>
      </w:pPr>
      <w:r w:rsidRPr="00883D1C">
        <w:rPr>
          <w:rFonts w:ascii="Arial" w:hAnsi="Arial" w:cs="Arial"/>
          <w:sz w:val="22"/>
          <w:szCs w:val="22"/>
        </w:rPr>
        <w:t>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w:t>
      </w:r>
    </w:p>
    <w:p w14:paraId="0A463316"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Los elementos indicativos de patrimonio se computarán de conformidad con lo dispuesto en la normativa del impuesto de la renta de las personas físicas por su valor a 31 de diciembre de 2024.</w:t>
      </w:r>
    </w:p>
    <w:p w14:paraId="42229A53"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Cuando sean varios los elementos indicativos del patrimonio que dispongan los miembros computables de la familia, se calculará el porcentaje de valor de cada elemento respecto del umbral correspondiente. Se denegarán las ayudas solicitadas cuando la suma de dichos porcentajes supere el valor de cien.</w:t>
      </w:r>
    </w:p>
    <w:p w14:paraId="4397B125" w14:textId="448738FF" w:rsidR="00883D1C" w:rsidRPr="00883D1C" w:rsidRDefault="00883D1C" w:rsidP="00883D1C">
      <w:pPr>
        <w:jc w:val="both"/>
        <w:rPr>
          <w:rFonts w:ascii="Arial" w:hAnsi="Arial" w:cs="Arial"/>
          <w:sz w:val="22"/>
          <w:szCs w:val="22"/>
        </w:rPr>
      </w:pPr>
      <w:r w:rsidRPr="00883D1C">
        <w:rPr>
          <w:rFonts w:ascii="Arial" w:hAnsi="Arial" w:cs="Arial"/>
          <w:sz w:val="22"/>
          <w:szCs w:val="22"/>
        </w:rPr>
        <w:t>10.7 Umbral de valores catastrales de fincas urbanas</w:t>
      </w:r>
    </w:p>
    <w:p w14:paraId="1346C2D8"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Podrán optar a las ayudas las unidades familiares en las que la suma de los valores catastrales de las fincas urbanas y de las construcciones ubicadas en fincas rústicas de los miembros computables que componen la unidad familiar, excluida la vivienda habitual, no supere los 42.900,00 euros en el caso de inmuebles en que la fecha de efecto de la fecha efecto de la 1990 y 31 de diciembre de 2002, se multiplican los valores catastrales por 0,49.</w:t>
      </w:r>
    </w:p>
    <w:p w14:paraId="1CAD825B"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0,43 los revisados ​​en 2003.</w:t>
      </w:r>
    </w:p>
    <w:p w14:paraId="476EA524"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0,37 los revisados ​​en 2004.</w:t>
      </w:r>
    </w:p>
    <w:p w14:paraId="7AC225E0"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lastRenderedPageBreak/>
        <w:t>Por 0,30 los revisados ​​en 2005.</w:t>
      </w:r>
    </w:p>
    <w:p w14:paraId="0533ED60"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0,26 los revisados ​​en 2006.</w:t>
      </w:r>
    </w:p>
    <w:p w14:paraId="34263E0A"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0,25 los revisados ​​en 2007.</w:t>
      </w:r>
    </w:p>
    <w:p w14:paraId="3A26C805"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0,25 los revisados ​​en 2008. Por 0,26 los revisados ​​en 2009.</w:t>
      </w:r>
    </w:p>
    <w:p w14:paraId="7CD43F1B"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0,28 los revisados ​​en 2010 Por 0,30 los revisados ​​en 2011.</w:t>
      </w:r>
    </w:p>
    <w:p w14:paraId="7585E019"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0,32 los revisados ​​en 2012.</w:t>
      </w:r>
    </w:p>
    <w:p w14:paraId="2BF31180"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0,34 los revisados ​​en 2013.</w:t>
      </w:r>
    </w:p>
    <w:p w14:paraId="26F31D10"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0,36 los revistados entre 2014 y 2021, ambos incluidos</w:t>
      </w:r>
    </w:p>
    <w:p w14:paraId="57AEC62E"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0,35 los revisados ​​en 2022</w:t>
      </w:r>
    </w:p>
    <w:p w14:paraId="66F5A49B" w14:textId="77777777"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0,34 los revisados ​​en 2023</w:t>
      </w:r>
    </w:p>
    <w:p w14:paraId="78CEA1AD" w14:textId="78B8BC9A" w:rsidR="00883D1C" w:rsidRPr="00883D1C" w:rsidRDefault="00883D1C" w:rsidP="00FA5C90">
      <w:pPr>
        <w:spacing w:after="0" w:line="240" w:lineRule="auto"/>
        <w:jc w:val="both"/>
        <w:rPr>
          <w:rFonts w:ascii="Arial" w:hAnsi="Arial" w:cs="Arial"/>
          <w:sz w:val="22"/>
          <w:szCs w:val="22"/>
        </w:rPr>
      </w:pPr>
      <w:r w:rsidRPr="00883D1C">
        <w:rPr>
          <w:rFonts w:ascii="Arial" w:hAnsi="Arial" w:cs="Arial"/>
          <w:sz w:val="22"/>
          <w:szCs w:val="22"/>
        </w:rPr>
        <w:t>Por 0,33 los revisados ​​en 2024</w:t>
      </w:r>
    </w:p>
    <w:p w14:paraId="0C5F1059" w14:textId="77777777" w:rsidR="0023213D" w:rsidRDefault="0023213D" w:rsidP="00883D1C">
      <w:pPr>
        <w:jc w:val="both"/>
        <w:rPr>
          <w:rFonts w:ascii="Arial" w:hAnsi="Arial" w:cs="Arial"/>
          <w:sz w:val="22"/>
          <w:szCs w:val="22"/>
        </w:rPr>
      </w:pPr>
    </w:p>
    <w:p w14:paraId="391ADE53" w14:textId="6AA30E0E" w:rsidR="00883D1C" w:rsidRPr="00883D1C" w:rsidRDefault="00883D1C" w:rsidP="00883D1C">
      <w:pPr>
        <w:jc w:val="both"/>
        <w:rPr>
          <w:rFonts w:ascii="Arial" w:hAnsi="Arial" w:cs="Arial"/>
          <w:sz w:val="22"/>
          <w:szCs w:val="22"/>
        </w:rPr>
      </w:pPr>
      <w:r w:rsidRPr="00883D1C">
        <w:rPr>
          <w:rFonts w:ascii="Arial" w:hAnsi="Arial" w:cs="Arial"/>
          <w:sz w:val="22"/>
          <w:szCs w:val="22"/>
        </w:rPr>
        <w:t>10.8 Umbral de valores catastrales de fincas rústicas</w:t>
      </w:r>
    </w:p>
    <w:p w14:paraId="56CFE547"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3E658CF0" w14:textId="009BA771" w:rsidR="00883D1C" w:rsidRPr="00883D1C" w:rsidRDefault="00883D1C" w:rsidP="00883D1C">
      <w:pPr>
        <w:jc w:val="both"/>
        <w:rPr>
          <w:rFonts w:ascii="Arial" w:hAnsi="Arial" w:cs="Arial"/>
          <w:sz w:val="22"/>
          <w:szCs w:val="22"/>
        </w:rPr>
      </w:pPr>
      <w:r w:rsidRPr="00883D1C">
        <w:rPr>
          <w:rFonts w:ascii="Arial" w:hAnsi="Arial" w:cs="Arial"/>
          <w:sz w:val="22"/>
          <w:szCs w:val="22"/>
        </w:rP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2024 y se deducirá el 50 por ciento del valor de los que pertenezcan a cualquier miembro.</w:t>
      </w:r>
    </w:p>
    <w:p w14:paraId="07B47DA2"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11. Cuantía y pago de las ayudas</w:t>
      </w:r>
    </w:p>
    <w:p w14:paraId="324463EE"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La cuantía individual de la ayuda se determinará en función del número total de días lectivos del curso escolar con servicio de comedor por una cantidad del 70% del coste del servicio.</w:t>
      </w:r>
    </w:p>
    <w:p w14:paraId="04BA5E28"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En casos excepcionales, previo informe de los servicios sociales que lo justifique, podrá autorizarse la compactación de las ayudas para determinados días en una misma semana. </w:t>
      </w:r>
    </w:p>
    <w:p w14:paraId="7CBADCF3"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Sin embargo, en este caso esta situación excepcional de compactación, debe hacerse de forma distribuida, es decir, se puede compactar en períodos semanales (p. ej. 3 días de cada semana) y no a lo largo de unos meses (p. ej. de septiembre a febrero). Sin embargo, será necesaria la solicitud explícita por parte de la familia antes de la fecha de inicio de la utilización de la beca compactada. </w:t>
      </w:r>
    </w:p>
    <w:p w14:paraId="5A748E91" w14:textId="27BB4DDD" w:rsidR="00883D1C" w:rsidRPr="00883D1C" w:rsidRDefault="00883D1C" w:rsidP="00883D1C">
      <w:pPr>
        <w:jc w:val="both"/>
        <w:rPr>
          <w:rFonts w:ascii="Arial" w:hAnsi="Arial" w:cs="Arial"/>
          <w:sz w:val="22"/>
          <w:szCs w:val="22"/>
        </w:rPr>
      </w:pPr>
      <w:r w:rsidRPr="00883D1C">
        <w:rPr>
          <w:rFonts w:ascii="Arial" w:hAnsi="Arial" w:cs="Arial"/>
          <w:sz w:val="22"/>
          <w:szCs w:val="22"/>
        </w:rPr>
        <w:t>En cualquier caso, el importe diario de la beca compactada no podrá superar el precio máximo del servicio de comedor establecido por el Departamento. En cuanto al alumnado beneficiario de una ayuda de comedor escolar del 70% y que haya optado por compactar esta ayuda, se tendrá en cuenta un número total de hasta 125 días (curso escolar 178 días lectivos).</w:t>
      </w:r>
    </w:p>
    <w:p w14:paraId="2B97D85F"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En situaciones sociales o económicas muy graves, bien acreditadas documentalmente, la cuantía de la ayuda puede llegar al 100% del coste del comedor escolar, según los umbrales establecidos en el artículo 10.2, 10.3 y 10.4.</w:t>
      </w:r>
    </w:p>
    <w:p w14:paraId="7B547B04" w14:textId="72CEC7EC" w:rsidR="00883D1C" w:rsidRPr="00883D1C" w:rsidRDefault="00883D1C" w:rsidP="00883D1C">
      <w:pPr>
        <w:jc w:val="both"/>
        <w:rPr>
          <w:rFonts w:ascii="Arial" w:hAnsi="Arial" w:cs="Arial"/>
          <w:sz w:val="22"/>
          <w:szCs w:val="22"/>
        </w:rPr>
      </w:pPr>
      <w:r w:rsidRPr="00883D1C">
        <w:rPr>
          <w:rFonts w:ascii="Arial" w:hAnsi="Arial" w:cs="Arial"/>
          <w:sz w:val="22"/>
          <w:szCs w:val="22"/>
        </w:rPr>
        <w:lastRenderedPageBreak/>
        <w:t xml:space="preserve">En el caso de gestión de comedor a cargo del </w:t>
      </w:r>
      <w:r w:rsidR="00FA5C90">
        <w:rPr>
          <w:rFonts w:ascii="Arial" w:hAnsi="Arial" w:cs="Arial"/>
          <w:sz w:val="22"/>
          <w:szCs w:val="22"/>
        </w:rPr>
        <w:t>Consell Comarcal de la Selva</w:t>
      </w:r>
      <w:r w:rsidRPr="00883D1C">
        <w:rPr>
          <w:rFonts w:ascii="Arial" w:hAnsi="Arial" w:cs="Arial"/>
          <w:sz w:val="22"/>
          <w:szCs w:val="22"/>
        </w:rPr>
        <w:t>, o empresa contratada por el propio Consejo, el abono de la ayuda se realizará automáticamente mediante compensación con el recibo mensual de cada beneficiario.</w:t>
      </w:r>
    </w:p>
    <w:p w14:paraId="730045BB"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En el resto de casos, el pago de las ayudas se realizará directamente en el AMPA del centro docente del alumno beneficiario de la ayuda (o directamente en el centro en los casos de centros privados concertados) y por el número de días lectivos con servicio de comedor correspondiente al período por el que se hace el abono durante los cuales el alumno haya hecho uso efectivo del servicio, a partir de la fecha especificada en la notificación.</w:t>
      </w:r>
    </w:p>
    <w:p w14:paraId="6C800BBF"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12. Motivos de denegación</w:t>
      </w:r>
    </w:p>
    <w:p w14:paraId="0AEE8234"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 Superar cualquiera de los umbrales económicos de concesión. </w:t>
      </w:r>
    </w:p>
    <w:p w14:paraId="39E7B106" w14:textId="7E292146" w:rsidR="00883D1C" w:rsidRPr="00883D1C" w:rsidRDefault="00883D1C" w:rsidP="00883D1C">
      <w:pPr>
        <w:jc w:val="both"/>
        <w:rPr>
          <w:rFonts w:ascii="Arial" w:hAnsi="Arial" w:cs="Arial"/>
          <w:sz w:val="22"/>
          <w:szCs w:val="22"/>
        </w:rPr>
      </w:pPr>
      <w:r w:rsidRPr="00883D1C">
        <w:rPr>
          <w:rFonts w:ascii="Arial" w:hAnsi="Arial" w:cs="Arial"/>
          <w:sz w:val="22"/>
          <w:szCs w:val="22"/>
        </w:rPr>
        <w:t>- Solicitud no ajustada en las bases de la convocatoria.</w:t>
      </w:r>
    </w:p>
    <w:p w14:paraId="6B7A859D"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13. Concesión de las ayudas</w:t>
      </w:r>
    </w:p>
    <w:p w14:paraId="5664CDF9" w14:textId="6F2C387D"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La presidencia del </w:t>
      </w:r>
      <w:r w:rsidR="00FA5C90">
        <w:rPr>
          <w:rFonts w:ascii="Arial" w:hAnsi="Arial" w:cs="Arial"/>
          <w:sz w:val="22"/>
          <w:szCs w:val="22"/>
        </w:rPr>
        <w:t>Consell Comarcal de la Selva</w:t>
      </w:r>
      <w:r w:rsidRPr="00883D1C">
        <w:rPr>
          <w:rFonts w:ascii="Arial" w:hAnsi="Arial" w:cs="Arial"/>
          <w:sz w:val="22"/>
          <w:szCs w:val="22"/>
        </w:rPr>
        <w:t xml:space="preserve">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correspondiente motivación.</w:t>
      </w:r>
    </w:p>
    <w:p w14:paraId="743E9FB2" w14:textId="3C0859FC"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Antes de que transcurran quince días desde la fecha de elevación de la propuesta de resolución, la presidencia del </w:t>
      </w:r>
      <w:r w:rsidR="00FA5C90">
        <w:rPr>
          <w:rFonts w:ascii="Arial" w:hAnsi="Arial" w:cs="Arial"/>
          <w:sz w:val="22"/>
          <w:szCs w:val="22"/>
        </w:rPr>
        <w:t xml:space="preserve">Consell Comarcal </w:t>
      </w:r>
      <w:r w:rsidRPr="00883D1C">
        <w:rPr>
          <w:rFonts w:ascii="Arial" w:hAnsi="Arial" w:cs="Arial"/>
          <w:sz w:val="22"/>
          <w:szCs w:val="22"/>
        </w:rPr>
        <w:t>dictará resolución definitiva de otorgamiento de las citadas ayudas.</w:t>
      </w:r>
    </w:p>
    <w:p w14:paraId="3593B23A" w14:textId="319159D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La resolución del otorgamiento o denegación de la ayuda, que pondrá fin a la vía administrativa, será publicada en la sede electrónica del </w:t>
      </w:r>
      <w:r w:rsidR="00FA5C90">
        <w:rPr>
          <w:rFonts w:ascii="Arial" w:hAnsi="Arial" w:cs="Arial"/>
          <w:sz w:val="22"/>
          <w:szCs w:val="22"/>
        </w:rPr>
        <w:t xml:space="preserve">Consell Comarcal </w:t>
      </w:r>
      <w:r w:rsidRPr="00883D1C">
        <w:rPr>
          <w:rFonts w:ascii="Arial" w:hAnsi="Arial" w:cs="Arial"/>
          <w:sz w:val="22"/>
          <w:szCs w:val="22"/>
        </w:rPr>
        <w:t>e informada en los correos electrónicos y/o teléfonos móviles facilitados por los peticionarios. Ésta sustituirá la notificación individualizada, de conformidad con lo dispuesto en el artículo</w:t>
      </w:r>
    </w:p>
    <w:p w14:paraId="21BAEFA8"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45.1.b) de la Ley 30/2015, de 1 de octubre, Procedimiento Administrativo Común de las Administraciones Públicas.</w:t>
      </w:r>
    </w:p>
    <w:p w14:paraId="1B88CF02"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Los beneficiarios de las ayudas quedan obligadas a facilitar la información requerida por los órganos de control de la Administración. </w:t>
      </w:r>
    </w:p>
    <w:p w14:paraId="6A7A446F" w14:textId="4C23A100"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El pago de las ayudas se realizará mensualmente, previa justificación de los días y comensales beneficiarios de las ayudas, de acuerdo con el punto 8 de estas bases. Los centros remitirán la justificación definitiva de usuarios y días de utilización del total del curso escolar en el </w:t>
      </w:r>
      <w:r w:rsidR="00FA5C90">
        <w:rPr>
          <w:rFonts w:ascii="Arial" w:hAnsi="Arial" w:cs="Arial"/>
          <w:sz w:val="22"/>
          <w:szCs w:val="22"/>
        </w:rPr>
        <w:t xml:space="preserve">Consell Comarcal </w:t>
      </w:r>
      <w:r w:rsidRPr="00883D1C">
        <w:rPr>
          <w:rFonts w:ascii="Arial" w:hAnsi="Arial" w:cs="Arial"/>
          <w:sz w:val="22"/>
          <w:szCs w:val="22"/>
        </w:rPr>
        <w:t>antes del 30 de junio de 2026.</w:t>
      </w:r>
    </w:p>
    <w:p w14:paraId="6FA045D1"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En las siguientes Resoluciones de Presidencia se seguirá el procedimiento descrito hasta agotar la partida presupuestaria según cada caso.</w:t>
      </w:r>
    </w:p>
    <w:p w14:paraId="72A3478D"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14. Propuesta de resolución provisional, resolución definitiva, plazos y notificación</w:t>
      </w:r>
    </w:p>
    <w:p w14:paraId="15B8049F" w14:textId="5E9DA36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Una vez evaluadas las solicitudes, por el órgano instructor se formulará la propuesta de resolución provisional, debidamente motivada, que será publicada en el tablón de </w:t>
      </w:r>
      <w:r w:rsidRPr="00883D1C">
        <w:rPr>
          <w:rFonts w:ascii="Arial" w:hAnsi="Arial" w:cs="Arial"/>
          <w:sz w:val="22"/>
          <w:szCs w:val="22"/>
        </w:rPr>
        <w:lastRenderedPageBreak/>
        <w:t xml:space="preserve">anuncios del </w:t>
      </w:r>
      <w:r w:rsidR="00FA5C90">
        <w:rPr>
          <w:rFonts w:ascii="Arial" w:hAnsi="Arial" w:cs="Arial"/>
          <w:sz w:val="22"/>
          <w:szCs w:val="22"/>
        </w:rPr>
        <w:t>Consell Comarcal de la Selva</w:t>
      </w:r>
      <w:r w:rsidRPr="00883D1C">
        <w:rPr>
          <w:rFonts w:ascii="Arial" w:hAnsi="Arial" w:cs="Arial"/>
          <w:sz w:val="22"/>
          <w:szCs w:val="22"/>
        </w:rPr>
        <w:t xml:space="preserve"> concediendo un plazo de 10 días para presentar alegaciones.</w:t>
      </w:r>
    </w:p>
    <w:p w14:paraId="402504B7"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6732CA21"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2998F277" w14:textId="2281322D" w:rsidR="00883D1C" w:rsidRPr="00883D1C" w:rsidRDefault="00883D1C" w:rsidP="00883D1C">
      <w:pPr>
        <w:jc w:val="both"/>
        <w:rPr>
          <w:rFonts w:ascii="Arial" w:hAnsi="Arial" w:cs="Arial"/>
          <w:sz w:val="22"/>
          <w:szCs w:val="22"/>
        </w:rPr>
      </w:pPr>
      <w:r w:rsidRPr="00883D1C">
        <w:rPr>
          <w:rFonts w:ascii="Arial" w:hAnsi="Arial" w:cs="Arial"/>
          <w:sz w:val="22"/>
          <w:szCs w:val="22"/>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356DA935"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Una vez comunicada la concesión de la ayuda, si en el plazo de un mes no se manifiesta lo contrario, se entenderá aceptada la subvención, así como las condiciones generales y específicas fijadas para su aplicación.</w:t>
      </w:r>
    </w:p>
    <w:p w14:paraId="4B013736"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 xml:space="preserve">El plazo de resolución y notificación será de tres meses. </w:t>
      </w:r>
    </w:p>
    <w:p w14:paraId="08AFEE1C"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El vencimiento del plazo máximo sin haberse notificado la resolución legitima a los interesados ​​para entender desestimada por silencio administrativo la solicitud de concesión de la subvención.</w:t>
      </w:r>
    </w:p>
    <w:p w14:paraId="604E5354"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15. Reformulación de solicitudes</w:t>
      </w:r>
    </w:p>
    <w:p w14:paraId="1D3709FD" w14:textId="37DFAF55" w:rsidR="00883D1C" w:rsidRPr="00883D1C" w:rsidRDefault="00883D1C" w:rsidP="00883D1C">
      <w:pPr>
        <w:jc w:val="both"/>
        <w:rPr>
          <w:rFonts w:ascii="Arial" w:hAnsi="Arial" w:cs="Arial"/>
          <w:sz w:val="22"/>
          <w:szCs w:val="22"/>
        </w:rPr>
      </w:pPr>
      <w:r w:rsidRPr="00883D1C">
        <w:rPr>
          <w:rFonts w:ascii="Arial" w:hAnsi="Arial" w:cs="Arial"/>
          <w:sz w:val="22"/>
          <w:szCs w:val="22"/>
        </w:rPr>
        <w:t>Cuando la subvención tenga por objeto el resarcimiento de gastos efectuados por el solicitante y el importe de la subvención de la propuesta de resolución provisional sea inferior al que figura en la solicitud presentada, se podrá instar del beneficiario a la reformulación de su solicitud para ajustar los compromisos y las condiciones a la subvención otorgable.</w:t>
      </w:r>
    </w:p>
    <w:p w14:paraId="0D4D4B5D"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Si la solicitud merece la conformidad del órgano colegiado, se remitirá con todo lo actuado al órgano competente para que dicte la resolución. Debe respetar, en cualquier caso, el objeto, condiciones y finalidad de la subvención, así como los criterios de valoración establecidos respecto de las solicitudes o peticiones.</w:t>
      </w:r>
    </w:p>
    <w:p w14:paraId="6950E644"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t>16. Fin de la vía administrativa</w:t>
      </w:r>
    </w:p>
    <w:p w14:paraId="5F9EBF17" w14:textId="77777777" w:rsidR="00883D1C" w:rsidRPr="00883D1C" w:rsidRDefault="00883D1C" w:rsidP="00883D1C">
      <w:pPr>
        <w:jc w:val="both"/>
        <w:rPr>
          <w:rFonts w:ascii="Arial" w:hAnsi="Arial" w:cs="Arial"/>
          <w:sz w:val="22"/>
          <w:szCs w:val="22"/>
        </w:rPr>
      </w:pPr>
      <w:r w:rsidRPr="00883D1C">
        <w:rPr>
          <w:rFonts w:ascii="Arial" w:hAnsi="Arial" w:cs="Arial"/>
          <w:sz w:val="22"/>
          <w:szCs w:val="22"/>
        </w:rPr>
        <w:t>El acto de resolución de la subvención agota la vía administrativa.</w:t>
      </w:r>
    </w:p>
    <w:p w14:paraId="5309EF56" w14:textId="6815CB97" w:rsidR="00883D1C" w:rsidRPr="00883D1C" w:rsidRDefault="00883D1C" w:rsidP="00883D1C">
      <w:pPr>
        <w:jc w:val="both"/>
        <w:rPr>
          <w:rFonts w:ascii="Arial" w:hAnsi="Arial" w:cs="Arial"/>
          <w:sz w:val="22"/>
          <w:szCs w:val="22"/>
        </w:rPr>
      </w:pPr>
      <w:r w:rsidRPr="00883D1C">
        <w:rPr>
          <w:rFonts w:ascii="Arial" w:hAnsi="Arial" w:cs="Arial"/>
          <w:sz w:val="22"/>
          <w:szCs w:val="22"/>
        </w:rPr>
        <w:t>De acuerdo con lo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1309F703" w14:textId="77777777" w:rsidR="00883D1C" w:rsidRPr="0023213D" w:rsidRDefault="00883D1C" w:rsidP="00883D1C">
      <w:pPr>
        <w:jc w:val="both"/>
        <w:rPr>
          <w:rFonts w:ascii="Arial" w:hAnsi="Arial" w:cs="Arial"/>
          <w:b/>
          <w:bCs/>
          <w:sz w:val="22"/>
          <w:szCs w:val="22"/>
        </w:rPr>
      </w:pPr>
      <w:r w:rsidRPr="0023213D">
        <w:rPr>
          <w:rFonts w:ascii="Arial" w:hAnsi="Arial" w:cs="Arial"/>
          <w:b/>
          <w:bCs/>
          <w:sz w:val="22"/>
          <w:szCs w:val="22"/>
        </w:rPr>
        <w:lastRenderedPageBreak/>
        <w:t>17. Medios de notificación o publicación</w:t>
      </w:r>
    </w:p>
    <w:p w14:paraId="03BFC9B2" w14:textId="0055E77D" w:rsidR="00883D1C" w:rsidRPr="00883D1C" w:rsidRDefault="00883D1C" w:rsidP="00883D1C">
      <w:pPr>
        <w:jc w:val="both"/>
        <w:rPr>
          <w:rFonts w:ascii="Arial" w:hAnsi="Arial" w:cs="Arial"/>
          <w:sz w:val="22"/>
          <w:szCs w:val="22"/>
        </w:rPr>
      </w:pPr>
      <w:r w:rsidRPr="00883D1C">
        <w:rPr>
          <w:rFonts w:ascii="Arial" w:hAnsi="Arial" w:cs="Arial"/>
          <w:sz w:val="22"/>
          <w:szCs w:val="22"/>
        </w:rPr>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p>
    <w:sectPr w:rsidR="00883D1C" w:rsidRPr="00883D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D3C3F"/>
    <w:multiLevelType w:val="hybridMultilevel"/>
    <w:tmpl w:val="0EF8B0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C25461A"/>
    <w:multiLevelType w:val="hybridMultilevel"/>
    <w:tmpl w:val="2C10BFE0"/>
    <w:lvl w:ilvl="0" w:tplc="D31ED134">
      <w:numFmt w:val="bullet"/>
      <w:lvlText w:val="•"/>
      <w:lvlJc w:val="left"/>
      <w:pPr>
        <w:ind w:left="720" w:hanging="360"/>
      </w:pPr>
      <w:rPr>
        <w:rFonts w:ascii="Arial" w:eastAsiaTheme="minorHAnsi" w:hAnsi="Arial" w:cs="Arial" w:hint="default"/>
      </w:rPr>
    </w:lvl>
    <w:lvl w:ilvl="1" w:tplc="6A84B63A">
      <w:numFmt w:val="bullet"/>
      <w:lvlText w:val=""/>
      <w:lvlJc w:val="left"/>
      <w:pPr>
        <w:ind w:left="1440" w:hanging="360"/>
      </w:pPr>
      <w:rPr>
        <w:rFonts w:ascii="Symbol" w:eastAsiaTheme="minorHAnsi"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70210643">
    <w:abstractNumId w:val="0"/>
  </w:num>
  <w:num w:numId="2" w16cid:durableId="740755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5EE"/>
    <w:rsid w:val="0023213D"/>
    <w:rsid w:val="005E35EE"/>
    <w:rsid w:val="00883D1C"/>
    <w:rsid w:val="00C90AE7"/>
    <w:rsid w:val="00FA5C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4C24F"/>
  <w15:chartTrackingRefBased/>
  <w15:docId w15:val="{A80EF2FA-248D-4601-9E3D-C3E53488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E35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E35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E35E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E35E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E35E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E35E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35E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35E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35E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35E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E35E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E35E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E35E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E35E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E35E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35E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35E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35EE"/>
    <w:rPr>
      <w:rFonts w:eastAsiaTheme="majorEastAsia" w:cstheme="majorBidi"/>
      <w:color w:val="272727" w:themeColor="text1" w:themeTint="D8"/>
    </w:rPr>
  </w:style>
  <w:style w:type="paragraph" w:styleId="Ttulo">
    <w:name w:val="Title"/>
    <w:basedOn w:val="Normal"/>
    <w:next w:val="Normal"/>
    <w:link w:val="TtuloCar"/>
    <w:uiPriority w:val="10"/>
    <w:qFormat/>
    <w:rsid w:val="005E35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E35E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35E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35E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35EE"/>
    <w:pPr>
      <w:spacing w:before="160"/>
      <w:jc w:val="center"/>
    </w:pPr>
    <w:rPr>
      <w:i/>
      <w:iCs/>
      <w:color w:val="404040" w:themeColor="text1" w:themeTint="BF"/>
    </w:rPr>
  </w:style>
  <w:style w:type="character" w:customStyle="1" w:styleId="CitaCar">
    <w:name w:val="Cita Car"/>
    <w:basedOn w:val="Fuentedeprrafopredeter"/>
    <w:link w:val="Cita"/>
    <w:uiPriority w:val="29"/>
    <w:rsid w:val="005E35EE"/>
    <w:rPr>
      <w:i/>
      <w:iCs/>
      <w:color w:val="404040" w:themeColor="text1" w:themeTint="BF"/>
    </w:rPr>
  </w:style>
  <w:style w:type="paragraph" w:styleId="Prrafodelista">
    <w:name w:val="List Paragraph"/>
    <w:basedOn w:val="Normal"/>
    <w:uiPriority w:val="34"/>
    <w:qFormat/>
    <w:rsid w:val="005E35EE"/>
    <w:pPr>
      <w:ind w:left="720"/>
      <w:contextualSpacing/>
    </w:pPr>
  </w:style>
  <w:style w:type="character" w:styleId="nfasisintenso">
    <w:name w:val="Intense Emphasis"/>
    <w:basedOn w:val="Fuentedeprrafopredeter"/>
    <w:uiPriority w:val="21"/>
    <w:qFormat/>
    <w:rsid w:val="005E35EE"/>
    <w:rPr>
      <w:i/>
      <w:iCs/>
      <w:color w:val="2F5496" w:themeColor="accent1" w:themeShade="BF"/>
    </w:rPr>
  </w:style>
  <w:style w:type="paragraph" w:styleId="Citadestacada">
    <w:name w:val="Intense Quote"/>
    <w:basedOn w:val="Normal"/>
    <w:next w:val="Normal"/>
    <w:link w:val="CitadestacadaCar"/>
    <w:uiPriority w:val="30"/>
    <w:qFormat/>
    <w:rsid w:val="005E35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E35EE"/>
    <w:rPr>
      <w:i/>
      <w:iCs/>
      <w:color w:val="2F5496" w:themeColor="accent1" w:themeShade="BF"/>
    </w:rPr>
  </w:style>
  <w:style w:type="character" w:styleId="Referenciaintensa">
    <w:name w:val="Intense Reference"/>
    <w:basedOn w:val="Fuentedeprrafopredeter"/>
    <w:uiPriority w:val="32"/>
    <w:qFormat/>
    <w:rsid w:val="005E35EE"/>
    <w:rPr>
      <w:b/>
      <w:bCs/>
      <w:smallCaps/>
      <w:color w:val="2F5496" w:themeColor="accent1" w:themeShade="BF"/>
      <w:spacing w:val="5"/>
    </w:rPr>
  </w:style>
  <w:style w:type="table" w:customStyle="1" w:styleId="TableGrid">
    <w:name w:val="TableGrid"/>
    <w:rsid w:val="005E35EE"/>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5423</Words>
  <Characters>29832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dc:description/>
  <cp:lastModifiedBy>Pilar Valls</cp:lastModifiedBy>
  <cp:revision>1</cp:revision>
  <dcterms:created xsi:type="dcterms:W3CDTF">2025-04-07T07:54:00Z</dcterms:created>
  <dcterms:modified xsi:type="dcterms:W3CDTF">2025-04-07T08:25:00Z</dcterms:modified>
</cp:coreProperties>
</file>