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263D" w:rsidRPr="00022FAE" w:rsidRDefault="00D325A5">
      <w:pPr>
        <w:rPr>
          <w:rFonts w:ascii="Arial" w:hAnsi="Arial" w:cs="Arial"/>
          <w:b/>
        </w:rPr>
      </w:pPr>
      <w:r w:rsidRPr="00022FAE">
        <w:rPr>
          <w:noProof/>
          <w:lang w:eastAsia="es-ES"/>
        </w:rPr>
        <w:t>DIPUTACIÓ</w:t>
      </w:r>
      <w:r w:rsidR="000F3FEA" w:rsidRPr="00022FAE">
        <w:rPr>
          <w:noProof/>
          <w:lang w:eastAsia="es-ES"/>
        </w:rPr>
        <w:t>N</w:t>
      </w:r>
      <w:r w:rsidRPr="00022FAE">
        <w:rPr>
          <w:noProof/>
          <w:lang w:eastAsia="es-ES"/>
        </w:rPr>
        <w:t xml:space="preserve"> DE GIRONA</w:t>
      </w:r>
    </w:p>
    <w:p w:rsidR="000C7341" w:rsidRPr="00022FAE" w:rsidRDefault="0063598E">
      <w:pPr>
        <w:rPr>
          <w:rFonts w:ascii="Arial" w:hAnsi="Arial" w:cs="Arial"/>
          <w:b/>
        </w:rPr>
      </w:pPr>
      <w:r w:rsidRPr="00022FAE">
        <w:rPr>
          <w:rFonts w:ascii="Arial" w:hAnsi="Arial" w:cs="Arial"/>
          <w:b/>
        </w:rPr>
        <w:t>E</w:t>
      </w:r>
      <w:r w:rsidR="000F3FEA" w:rsidRPr="00022FAE">
        <w:rPr>
          <w:rFonts w:ascii="Arial" w:hAnsi="Arial" w:cs="Arial"/>
          <w:b/>
        </w:rPr>
        <w:t>xtracto del acue</w:t>
      </w:r>
      <w:r w:rsidR="00D325A5" w:rsidRPr="00022FAE">
        <w:rPr>
          <w:rFonts w:ascii="Arial" w:hAnsi="Arial" w:cs="Arial"/>
          <w:b/>
        </w:rPr>
        <w:t>rd</w:t>
      </w:r>
      <w:r w:rsidR="000F3FEA" w:rsidRPr="00022FAE">
        <w:rPr>
          <w:rFonts w:ascii="Arial" w:hAnsi="Arial" w:cs="Arial"/>
          <w:b/>
        </w:rPr>
        <w:t>o</w:t>
      </w:r>
      <w:r w:rsidR="00764F55" w:rsidRPr="00022FAE">
        <w:rPr>
          <w:rFonts w:ascii="Arial" w:hAnsi="Arial" w:cs="Arial"/>
          <w:b/>
        </w:rPr>
        <w:t xml:space="preserve"> de la Junta de Gobie</w:t>
      </w:r>
      <w:r w:rsidR="00D325A5" w:rsidRPr="00022FAE">
        <w:rPr>
          <w:rFonts w:ascii="Arial" w:hAnsi="Arial" w:cs="Arial"/>
          <w:b/>
        </w:rPr>
        <w:t>rn</w:t>
      </w:r>
      <w:r w:rsidR="00764F55" w:rsidRPr="00022FAE">
        <w:rPr>
          <w:rFonts w:ascii="Arial" w:hAnsi="Arial" w:cs="Arial"/>
          <w:b/>
        </w:rPr>
        <w:t>o</w:t>
      </w:r>
      <w:r w:rsidR="00D325A5" w:rsidRPr="00022FAE">
        <w:rPr>
          <w:rFonts w:ascii="Arial" w:hAnsi="Arial" w:cs="Arial"/>
          <w:b/>
        </w:rPr>
        <w:t xml:space="preserve"> de la Diputació</w:t>
      </w:r>
      <w:r w:rsidR="00764F55" w:rsidRPr="00022FAE">
        <w:rPr>
          <w:rFonts w:ascii="Arial" w:hAnsi="Arial" w:cs="Arial"/>
          <w:b/>
        </w:rPr>
        <w:t>n</w:t>
      </w:r>
      <w:r w:rsidR="00D325A5" w:rsidRPr="00022FAE">
        <w:rPr>
          <w:rFonts w:ascii="Arial" w:hAnsi="Arial" w:cs="Arial"/>
          <w:b/>
        </w:rPr>
        <w:t xml:space="preserve"> de Girona en la </w:t>
      </w:r>
      <w:r w:rsidR="00764F55" w:rsidRPr="00022FAE">
        <w:rPr>
          <w:rFonts w:ascii="Arial" w:hAnsi="Arial" w:cs="Arial"/>
          <w:b/>
        </w:rPr>
        <w:t>sesión</w:t>
      </w:r>
      <w:r w:rsidR="00D325A5" w:rsidRPr="00022FAE">
        <w:rPr>
          <w:rFonts w:ascii="Arial" w:hAnsi="Arial" w:cs="Arial"/>
          <w:b/>
        </w:rPr>
        <w:t xml:space="preserve"> de</w:t>
      </w:r>
      <w:r w:rsidR="00764F55" w:rsidRPr="00022FAE">
        <w:rPr>
          <w:rFonts w:ascii="Arial" w:hAnsi="Arial" w:cs="Arial"/>
          <w:b/>
        </w:rPr>
        <w:t>l</w:t>
      </w:r>
      <w:r w:rsidR="00D325A5" w:rsidRPr="00022FAE">
        <w:rPr>
          <w:rFonts w:ascii="Arial" w:hAnsi="Arial" w:cs="Arial"/>
          <w:b/>
        </w:rPr>
        <w:t xml:space="preserve"> 5 de </w:t>
      </w:r>
      <w:r w:rsidR="00764F55" w:rsidRPr="00022FAE">
        <w:rPr>
          <w:rFonts w:ascii="Arial" w:hAnsi="Arial" w:cs="Arial"/>
          <w:b/>
        </w:rPr>
        <w:t>septiembre</w:t>
      </w:r>
      <w:r w:rsidR="00D325A5" w:rsidRPr="00022FAE">
        <w:rPr>
          <w:rFonts w:ascii="Arial" w:hAnsi="Arial" w:cs="Arial"/>
          <w:b/>
        </w:rPr>
        <w:t xml:space="preserve"> de 2023, de la </w:t>
      </w:r>
      <w:r w:rsidR="00764F55" w:rsidRPr="00022FAE">
        <w:rPr>
          <w:rFonts w:ascii="Arial" w:hAnsi="Arial" w:cs="Arial"/>
          <w:b/>
        </w:rPr>
        <w:t>convocatoria</w:t>
      </w:r>
      <w:r w:rsidR="00D325A5" w:rsidRPr="00022FAE">
        <w:rPr>
          <w:rFonts w:ascii="Arial" w:hAnsi="Arial" w:cs="Arial"/>
          <w:b/>
        </w:rPr>
        <w:t xml:space="preserve"> de </w:t>
      </w:r>
      <w:r w:rsidR="00764F55" w:rsidRPr="00022FAE">
        <w:rPr>
          <w:rFonts w:ascii="Arial" w:hAnsi="Arial" w:cs="Arial"/>
          <w:b/>
        </w:rPr>
        <w:t>subvenciones para la adquisición de equipos con</w:t>
      </w:r>
      <w:r w:rsidRPr="00022FAE">
        <w:rPr>
          <w:rFonts w:ascii="Arial" w:hAnsi="Arial" w:cs="Arial"/>
          <w:b/>
        </w:rPr>
        <w:t xml:space="preserve"> </w:t>
      </w:r>
      <w:r w:rsidR="00764F55" w:rsidRPr="00022FAE">
        <w:rPr>
          <w:rFonts w:ascii="Arial" w:hAnsi="Arial" w:cs="Arial"/>
          <w:b/>
        </w:rPr>
        <w:t>tecnología RFID para</w:t>
      </w:r>
      <w:r w:rsidRPr="00022FAE">
        <w:rPr>
          <w:rFonts w:ascii="Arial" w:hAnsi="Arial" w:cs="Arial"/>
          <w:b/>
        </w:rPr>
        <w:t xml:space="preserve"> la gestió</w:t>
      </w:r>
      <w:r w:rsidR="00764F55" w:rsidRPr="00022FAE">
        <w:rPr>
          <w:rFonts w:ascii="Arial" w:hAnsi="Arial" w:cs="Arial"/>
          <w:b/>
        </w:rPr>
        <w:t>n de bibliotecas</w:t>
      </w:r>
      <w:r w:rsidRPr="00022FAE">
        <w:rPr>
          <w:rFonts w:ascii="Arial" w:hAnsi="Arial" w:cs="Arial"/>
          <w:b/>
        </w:rPr>
        <w:t xml:space="preserve"> del</w:t>
      </w:r>
      <w:r w:rsidR="00764F55" w:rsidRPr="00022FAE">
        <w:rPr>
          <w:rFonts w:ascii="Arial" w:hAnsi="Arial" w:cs="Arial"/>
          <w:b/>
        </w:rPr>
        <w:t xml:space="preserve"> Sistema de Lectura Pública del año</w:t>
      </w:r>
      <w:r w:rsidRPr="00022FAE">
        <w:rPr>
          <w:rFonts w:ascii="Arial" w:hAnsi="Arial" w:cs="Arial"/>
          <w:b/>
        </w:rPr>
        <w:t xml:space="preserve"> 2023</w:t>
      </w:r>
    </w:p>
    <w:p w:rsidR="0063598E" w:rsidRPr="00022FAE" w:rsidRDefault="0063598E">
      <w:pPr>
        <w:rPr>
          <w:rFonts w:ascii="Arial" w:hAnsi="Arial" w:cs="Arial"/>
        </w:rPr>
      </w:pPr>
    </w:p>
    <w:p w:rsidR="00D325A5" w:rsidRPr="00022FAE" w:rsidRDefault="00764F55">
      <w:pPr>
        <w:rPr>
          <w:rFonts w:ascii="Arial" w:hAnsi="Arial" w:cs="Arial"/>
        </w:rPr>
      </w:pPr>
      <w:r w:rsidRPr="00022FAE">
        <w:rPr>
          <w:rFonts w:ascii="Arial" w:hAnsi="Arial" w:cs="Arial"/>
        </w:rPr>
        <w:t>De conformidad con lo que prevén los artículos 17.3.b y</w:t>
      </w:r>
      <w:r w:rsidR="00D325A5" w:rsidRPr="00022FAE">
        <w:rPr>
          <w:rFonts w:ascii="Arial" w:hAnsi="Arial" w:cs="Arial"/>
        </w:rPr>
        <w:t xml:space="preserve"> 20.8.a de la </w:t>
      </w:r>
      <w:r w:rsidRPr="00022FAE">
        <w:rPr>
          <w:rFonts w:ascii="Arial" w:hAnsi="Arial" w:cs="Arial"/>
        </w:rPr>
        <w:t>Ley</w:t>
      </w:r>
      <w:r w:rsidR="00D325A5" w:rsidRPr="00022FAE">
        <w:rPr>
          <w:rFonts w:ascii="Arial" w:hAnsi="Arial" w:cs="Arial"/>
        </w:rPr>
        <w:t xml:space="preserve"> 38/2003, de</w:t>
      </w:r>
      <w:r w:rsidRPr="00022FAE">
        <w:rPr>
          <w:rFonts w:ascii="Arial" w:hAnsi="Arial" w:cs="Arial"/>
        </w:rPr>
        <w:t>l</w:t>
      </w:r>
      <w:r w:rsidR="00D325A5" w:rsidRPr="00022FAE">
        <w:rPr>
          <w:rFonts w:ascii="Arial" w:hAnsi="Arial" w:cs="Arial"/>
        </w:rPr>
        <w:t xml:space="preserve"> 17 de </w:t>
      </w:r>
      <w:r w:rsidRPr="00022FAE">
        <w:rPr>
          <w:rFonts w:ascii="Arial" w:hAnsi="Arial" w:cs="Arial"/>
        </w:rPr>
        <w:t>noviembre</w:t>
      </w:r>
      <w:r w:rsidR="00D325A5" w:rsidRPr="00022FAE">
        <w:rPr>
          <w:rFonts w:ascii="Arial" w:hAnsi="Arial" w:cs="Arial"/>
        </w:rPr>
        <w:t xml:space="preserve">, general de </w:t>
      </w:r>
      <w:r w:rsidRPr="00022FAE">
        <w:rPr>
          <w:rFonts w:ascii="Arial" w:hAnsi="Arial" w:cs="Arial"/>
        </w:rPr>
        <w:t>subvenciones, se</w:t>
      </w:r>
      <w:r w:rsidR="00D325A5" w:rsidRPr="00022FAE">
        <w:rPr>
          <w:rFonts w:ascii="Arial" w:hAnsi="Arial" w:cs="Arial"/>
        </w:rPr>
        <w:t xml:space="preserve"> publi</w:t>
      </w:r>
      <w:r w:rsidRPr="00022FAE">
        <w:rPr>
          <w:rFonts w:ascii="Arial" w:hAnsi="Arial" w:cs="Arial"/>
        </w:rPr>
        <w:t>ca el extracto</w:t>
      </w:r>
      <w:r w:rsidR="00D325A5" w:rsidRPr="00022FAE">
        <w:rPr>
          <w:rFonts w:ascii="Arial" w:hAnsi="Arial" w:cs="Arial"/>
        </w:rPr>
        <w:t xml:space="preserve"> de la </w:t>
      </w:r>
      <w:r w:rsidRPr="00022FAE">
        <w:rPr>
          <w:rFonts w:ascii="Arial" w:hAnsi="Arial" w:cs="Arial"/>
        </w:rPr>
        <w:t>convocatoria con</w:t>
      </w:r>
      <w:r w:rsidR="00D325A5" w:rsidRPr="00022FAE">
        <w:rPr>
          <w:rFonts w:ascii="Arial" w:hAnsi="Arial" w:cs="Arial"/>
        </w:rPr>
        <w:t xml:space="preserve"> el </w:t>
      </w:r>
      <w:r w:rsidRPr="00022FAE">
        <w:rPr>
          <w:rFonts w:ascii="Arial" w:hAnsi="Arial" w:cs="Arial"/>
        </w:rPr>
        <w:t>texto</w:t>
      </w:r>
      <w:r w:rsidR="00D325A5" w:rsidRPr="00022FAE">
        <w:rPr>
          <w:rFonts w:ascii="Arial" w:hAnsi="Arial" w:cs="Arial"/>
        </w:rPr>
        <w:t xml:space="preserve"> complet</w:t>
      </w:r>
      <w:r w:rsidRPr="00022FAE">
        <w:rPr>
          <w:rFonts w:ascii="Arial" w:hAnsi="Arial" w:cs="Arial"/>
        </w:rPr>
        <w:t>o el cual se puede consultar en la Base de Dato</w:t>
      </w:r>
      <w:r w:rsidR="00D325A5" w:rsidRPr="00022FAE">
        <w:rPr>
          <w:rFonts w:ascii="Arial" w:hAnsi="Arial" w:cs="Arial"/>
        </w:rPr>
        <w:t>s Nacional de Subvencion</w:t>
      </w:r>
      <w:r w:rsidRPr="00022FAE">
        <w:rPr>
          <w:rFonts w:ascii="Arial" w:hAnsi="Arial" w:cs="Arial"/>
        </w:rPr>
        <w:t>e</w:t>
      </w:r>
      <w:r w:rsidR="00D325A5" w:rsidRPr="00022FAE">
        <w:rPr>
          <w:rFonts w:ascii="Arial" w:hAnsi="Arial" w:cs="Arial"/>
        </w:rPr>
        <w:t>s</w:t>
      </w:r>
      <w:r w:rsidRPr="00022FAE">
        <w:rPr>
          <w:rFonts w:ascii="Arial" w:hAnsi="Arial" w:cs="Arial"/>
        </w:rPr>
        <w:t>.</w:t>
      </w:r>
    </w:p>
    <w:p w:rsidR="0063598E" w:rsidRPr="00022FAE" w:rsidRDefault="0063598E" w:rsidP="0063598E">
      <w:pPr>
        <w:ind w:right="170"/>
        <w:rPr>
          <w:rFonts w:ascii="Arial" w:hAnsi="Arial" w:cs="Arial"/>
          <w:b/>
          <w:sz w:val="20"/>
          <w:szCs w:val="20"/>
        </w:rPr>
      </w:pPr>
    </w:p>
    <w:p w:rsidR="000F3FEA" w:rsidRPr="00022FAE" w:rsidRDefault="000F3FEA" w:rsidP="000F3FEA">
      <w:pPr>
        <w:ind w:right="170"/>
        <w:rPr>
          <w:rFonts w:ascii="Arial" w:hAnsi="Arial" w:cs="Arial"/>
          <w:b/>
          <w:bCs/>
          <w:sz w:val="20"/>
          <w:szCs w:val="20"/>
        </w:rPr>
      </w:pPr>
      <w:r w:rsidRPr="00022FAE">
        <w:rPr>
          <w:rFonts w:ascii="Arial" w:hAnsi="Arial" w:cs="Arial"/>
          <w:b/>
          <w:bCs/>
          <w:sz w:val="20"/>
          <w:szCs w:val="20"/>
        </w:rPr>
        <w:t>1. Objeto y finalidad</w:t>
      </w:r>
    </w:p>
    <w:p w:rsidR="000F3FEA" w:rsidRPr="00022FAE" w:rsidRDefault="000F3FEA" w:rsidP="000F3FEA">
      <w:pPr>
        <w:ind w:right="170"/>
        <w:rPr>
          <w:rFonts w:ascii="Arial" w:hAnsi="Arial" w:cs="Arial"/>
          <w:sz w:val="20"/>
          <w:szCs w:val="20"/>
        </w:rPr>
      </w:pPr>
      <w:r w:rsidRPr="00022FAE">
        <w:rPr>
          <w:rFonts w:ascii="Arial" w:hAnsi="Arial" w:cs="Arial"/>
          <w:sz w:val="20"/>
          <w:szCs w:val="20"/>
        </w:rPr>
        <w:t xml:space="preserve">Subvencionas en régimen de concurrencia competitiva para ayuntamientos con bibliotecas integradas en el Sistema de Lectura Pública de Cataluña y que superen la media de la demarcación en lo relacionado a préstamos y usuarios activos por número de habitantes (1,65 préstamos/habitante y 0,11 usuarios activos por habitante el año 2022) destinadas al financiamiento de </w:t>
      </w:r>
      <w:r w:rsidRPr="00022FAE">
        <w:rPr>
          <w:rFonts w:ascii="Arial" w:eastAsia="Calibri" w:hAnsi="Arial" w:cs="Arial"/>
          <w:sz w:val="20"/>
          <w:szCs w:val="20"/>
        </w:rPr>
        <w:t>la adquisición de equipos de radiofrecuencia (RFID) para la gestión de las bibliotecas públicas</w:t>
      </w:r>
      <w:r w:rsidRPr="00022FAE">
        <w:rPr>
          <w:rFonts w:ascii="Arial" w:hAnsi="Arial" w:cs="Arial"/>
          <w:sz w:val="20"/>
          <w:szCs w:val="20"/>
        </w:rPr>
        <w:t xml:space="preserve">, de acuerdo con las bases específicas reguladores aprobadas por el Pleno de la Diputación en la sesión del 9 de mayo de 2023 y publicadas en el </w:t>
      </w:r>
      <w:r w:rsidRPr="00022FAE">
        <w:rPr>
          <w:rFonts w:ascii="Arial" w:hAnsi="Arial" w:cs="Arial"/>
          <w:i/>
          <w:sz w:val="20"/>
          <w:szCs w:val="20"/>
        </w:rPr>
        <w:t>Boletín Oficial de la Provincia de Girona</w:t>
      </w:r>
      <w:r w:rsidRPr="00022FAE">
        <w:rPr>
          <w:rFonts w:ascii="Arial" w:hAnsi="Arial" w:cs="Arial"/>
          <w:sz w:val="20"/>
          <w:szCs w:val="20"/>
        </w:rPr>
        <w:t xml:space="preserve"> (BOPG) número 96, de fecha 18 de mayo de 2023.</w:t>
      </w:r>
    </w:p>
    <w:p w:rsidR="000F3FEA" w:rsidRPr="00022FAE" w:rsidRDefault="000F3FEA" w:rsidP="000F3FEA">
      <w:pPr>
        <w:ind w:right="170"/>
        <w:rPr>
          <w:rFonts w:ascii="Arial" w:hAnsi="Arial" w:cs="Arial"/>
          <w:i/>
          <w:sz w:val="20"/>
          <w:szCs w:val="20"/>
        </w:rPr>
      </w:pPr>
    </w:p>
    <w:p w:rsidR="000F3FEA" w:rsidRPr="00022FAE" w:rsidRDefault="000F3FEA" w:rsidP="000F3FEA">
      <w:pPr>
        <w:ind w:right="170"/>
        <w:rPr>
          <w:rFonts w:ascii="Arial" w:hAnsi="Arial" w:cs="Arial"/>
          <w:sz w:val="20"/>
          <w:szCs w:val="20"/>
        </w:rPr>
      </w:pPr>
      <w:r w:rsidRPr="00022FAE">
        <w:rPr>
          <w:rFonts w:ascii="Arial" w:hAnsi="Arial" w:cs="Arial"/>
          <w:sz w:val="20"/>
          <w:szCs w:val="20"/>
        </w:rPr>
        <w:t>CRITERIOS DE VALORACIÓN</w:t>
      </w:r>
    </w:p>
    <w:p w:rsidR="000F3FEA" w:rsidRPr="00022FAE" w:rsidRDefault="000F3FEA" w:rsidP="000F3FEA">
      <w:pPr>
        <w:autoSpaceDE w:val="0"/>
        <w:autoSpaceDN w:val="0"/>
        <w:adjustRightInd w:val="0"/>
        <w:ind w:right="170"/>
        <w:rPr>
          <w:rFonts w:ascii="Arial" w:hAnsi="Arial" w:cs="Arial"/>
          <w:i/>
          <w:iCs/>
          <w:color w:val="FF0000"/>
          <w:sz w:val="20"/>
          <w:szCs w:val="20"/>
        </w:rPr>
      </w:pPr>
      <w:r w:rsidRPr="00022FAE">
        <w:rPr>
          <w:rFonts w:ascii="Arial" w:hAnsi="Arial" w:cs="Arial"/>
          <w:sz w:val="20"/>
          <w:szCs w:val="20"/>
        </w:rPr>
        <w:t>Las solicitudes se evalúan mediante la documentación presentada por las entidades peticionarias, de acuerdo con la puntuación que corresponda en función de los parámetros siguientes:</w:t>
      </w:r>
    </w:p>
    <w:p w:rsidR="000F3FEA" w:rsidRPr="00022FAE" w:rsidRDefault="000F3FEA" w:rsidP="000F3FEA">
      <w:pPr>
        <w:autoSpaceDE w:val="0"/>
        <w:autoSpaceDN w:val="0"/>
        <w:adjustRightInd w:val="0"/>
        <w:ind w:right="170"/>
        <w:rPr>
          <w:rFonts w:ascii="Arial" w:hAnsi="Arial" w:cs="Arial"/>
          <w:sz w:val="20"/>
          <w:szCs w:val="20"/>
        </w:rPr>
      </w:pPr>
      <w:r w:rsidRPr="00022FAE">
        <w:rPr>
          <w:rFonts w:ascii="Arial" w:hAnsi="Arial" w:cs="Arial"/>
          <w:i/>
          <w:sz w:val="20"/>
          <w:szCs w:val="20"/>
        </w:rPr>
        <w:t>a</w:t>
      </w:r>
      <w:r w:rsidRPr="00022FAE">
        <w:rPr>
          <w:rFonts w:ascii="Arial" w:hAnsi="Arial" w:cs="Arial"/>
          <w:sz w:val="20"/>
          <w:szCs w:val="20"/>
        </w:rPr>
        <w:t xml:space="preserve">) Superación de la media provincial de los indicadores de préstamo y usuarios activos por habitante (hasta 20 puntos) </w:t>
      </w:r>
    </w:p>
    <w:p w:rsidR="000F3FEA" w:rsidRPr="00022FAE" w:rsidRDefault="000F3FEA" w:rsidP="000F3FEA">
      <w:pPr>
        <w:autoSpaceDE w:val="0"/>
        <w:autoSpaceDN w:val="0"/>
        <w:adjustRightInd w:val="0"/>
        <w:ind w:right="170"/>
        <w:rPr>
          <w:rFonts w:ascii="Arial" w:hAnsi="Arial" w:cs="Arial"/>
          <w:sz w:val="20"/>
          <w:szCs w:val="20"/>
        </w:rPr>
      </w:pPr>
      <w:r w:rsidRPr="00022FAE">
        <w:rPr>
          <w:rFonts w:ascii="Arial" w:hAnsi="Arial" w:cs="Arial"/>
          <w:sz w:val="20"/>
          <w:szCs w:val="20"/>
        </w:rPr>
        <w:t>Al porcentaje más alto en cada uno de los indicadores se le dan automáticamente 10 puntos. A las demás solicitudes se les hace un reparto proporcional a partir de estos 10 puntos para cada uno de los conceptos.</w:t>
      </w:r>
    </w:p>
    <w:p w:rsidR="000F3FEA" w:rsidRPr="00022FAE" w:rsidRDefault="000F3FEA" w:rsidP="000F3FEA">
      <w:pPr>
        <w:shd w:val="clear" w:color="auto" w:fill="FFFFFF"/>
        <w:ind w:right="170"/>
        <w:mirrorIndents/>
        <w:textAlignment w:val="baseline"/>
        <w:rPr>
          <w:rFonts w:ascii="Arial" w:hAnsi="Arial" w:cs="Arial"/>
          <w:color w:val="000000"/>
          <w:sz w:val="20"/>
          <w:szCs w:val="20"/>
        </w:rPr>
      </w:pPr>
    </w:p>
    <w:p w:rsidR="000F3FEA" w:rsidRPr="00022FAE" w:rsidRDefault="000F3FEA" w:rsidP="000F3FEA">
      <w:pPr>
        <w:autoSpaceDE w:val="0"/>
        <w:autoSpaceDN w:val="0"/>
        <w:adjustRightInd w:val="0"/>
        <w:ind w:right="170"/>
        <w:rPr>
          <w:rFonts w:ascii="Arial" w:hAnsi="Arial" w:cs="Arial"/>
          <w:sz w:val="20"/>
          <w:szCs w:val="20"/>
        </w:rPr>
      </w:pPr>
      <w:r w:rsidRPr="00022FAE">
        <w:rPr>
          <w:rFonts w:ascii="Arial" w:hAnsi="Arial" w:cs="Arial"/>
          <w:i/>
          <w:sz w:val="20"/>
          <w:szCs w:val="20"/>
        </w:rPr>
        <w:t>b</w:t>
      </w:r>
      <w:r w:rsidRPr="00022FAE">
        <w:rPr>
          <w:rFonts w:ascii="Arial" w:hAnsi="Arial" w:cs="Arial"/>
          <w:sz w:val="20"/>
          <w:szCs w:val="20"/>
        </w:rPr>
        <w:t>) Porcentaje de propuesta de cofinanciamiento (hasta 10 puntos)</w:t>
      </w:r>
    </w:p>
    <w:p w:rsidR="000F3FEA" w:rsidRPr="00022FAE" w:rsidRDefault="000F3FEA" w:rsidP="000F3FEA">
      <w:pPr>
        <w:autoSpaceDE w:val="0"/>
        <w:autoSpaceDN w:val="0"/>
        <w:adjustRightInd w:val="0"/>
        <w:ind w:right="170"/>
        <w:rPr>
          <w:rFonts w:ascii="Arial" w:hAnsi="Arial" w:cs="Arial"/>
          <w:sz w:val="20"/>
          <w:szCs w:val="20"/>
        </w:rPr>
      </w:pPr>
      <w:r w:rsidRPr="00022FAE">
        <w:rPr>
          <w:rFonts w:ascii="Arial" w:eastAsia="Calibri" w:hAnsi="Arial" w:cs="Arial"/>
          <w:sz w:val="20"/>
          <w:szCs w:val="20"/>
        </w:rPr>
        <w:t xml:space="preserve">Al porcentaje más alto a cargo del presupuesto municipal dedicado al proyecto por el cual se pide la subvención se le dan automáticamente 10 puntos. </w:t>
      </w:r>
      <w:r w:rsidRPr="00022FAE">
        <w:rPr>
          <w:rFonts w:ascii="Arial" w:hAnsi="Arial" w:cs="Arial"/>
          <w:sz w:val="20"/>
          <w:szCs w:val="20"/>
        </w:rPr>
        <w:t>A las demás solicitudes se les hace un reparto proporcional a partir de estos 10 puntos.</w:t>
      </w:r>
    </w:p>
    <w:p w:rsidR="000F3FEA" w:rsidRPr="00022FAE" w:rsidRDefault="000F3FEA" w:rsidP="000F3FEA">
      <w:pPr>
        <w:autoSpaceDE w:val="0"/>
        <w:autoSpaceDN w:val="0"/>
        <w:adjustRightInd w:val="0"/>
        <w:ind w:right="170"/>
        <w:rPr>
          <w:rFonts w:ascii="Arial" w:eastAsia="Calibri" w:hAnsi="Arial" w:cs="Arial"/>
          <w:sz w:val="20"/>
          <w:szCs w:val="20"/>
        </w:rPr>
      </w:pPr>
    </w:p>
    <w:p w:rsidR="000F3FEA" w:rsidRPr="00022FAE" w:rsidRDefault="000F3FEA" w:rsidP="000F3FEA">
      <w:pPr>
        <w:autoSpaceDE w:val="0"/>
        <w:autoSpaceDN w:val="0"/>
        <w:adjustRightInd w:val="0"/>
        <w:ind w:right="170"/>
        <w:rPr>
          <w:rFonts w:ascii="Arial" w:eastAsia="Calibri" w:hAnsi="Arial" w:cs="Arial"/>
          <w:sz w:val="20"/>
          <w:szCs w:val="20"/>
        </w:rPr>
      </w:pPr>
      <w:r w:rsidRPr="00022FAE">
        <w:rPr>
          <w:rFonts w:ascii="Arial" w:eastAsia="Calibri" w:hAnsi="Arial" w:cs="Arial"/>
          <w:i/>
          <w:sz w:val="20"/>
          <w:szCs w:val="20"/>
        </w:rPr>
        <w:t>c</w:t>
      </w:r>
      <w:r w:rsidRPr="00022FAE">
        <w:rPr>
          <w:rFonts w:ascii="Arial" w:eastAsia="Calibri" w:hAnsi="Arial" w:cs="Arial"/>
          <w:sz w:val="20"/>
          <w:szCs w:val="20"/>
        </w:rPr>
        <w:t>) Adecuación total del municipio a los parámetros del Mapa de lectura pública (hasta 40 puntos)</w:t>
      </w:r>
    </w:p>
    <w:p w:rsidR="00D325A5" w:rsidRPr="00022FAE" w:rsidRDefault="000F3FEA" w:rsidP="000F3FEA">
      <w:pPr>
        <w:autoSpaceDE w:val="0"/>
        <w:autoSpaceDN w:val="0"/>
        <w:adjustRightInd w:val="0"/>
        <w:ind w:right="170"/>
        <w:rPr>
          <w:rFonts w:ascii="Arial" w:eastAsia="Calibri" w:hAnsi="Arial" w:cs="Arial"/>
          <w:sz w:val="20"/>
          <w:szCs w:val="20"/>
        </w:rPr>
      </w:pPr>
      <w:r w:rsidRPr="00022FAE">
        <w:rPr>
          <w:rFonts w:ascii="Arial" w:eastAsia="Calibri" w:hAnsi="Arial" w:cs="Arial"/>
          <w:sz w:val="20"/>
          <w:szCs w:val="20"/>
        </w:rPr>
        <w:t>Superficie (</w:t>
      </w:r>
      <w:r w:rsidR="00D325A5" w:rsidRPr="00022FAE">
        <w:rPr>
          <w:rFonts w:ascii="Arial" w:eastAsia="Calibri" w:hAnsi="Arial" w:cs="Arial"/>
          <w:sz w:val="20"/>
          <w:szCs w:val="20"/>
        </w:rPr>
        <w:t xml:space="preserve">10 </w:t>
      </w:r>
      <w:r w:rsidRPr="00022FAE">
        <w:rPr>
          <w:rFonts w:ascii="Arial" w:eastAsia="Calibri" w:hAnsi="Arial" w:cs="Arial"/>
          <w:sz w:val="20"/>
          <w:szCs w:val="20"/>
        </w:rPr>
        <w:t>puntos</w:t>
      </w:r>
      <w:r w:rsidR="00D325A5" w:rsidRPr="00022FAE">
        <w:rPr>
          <w:rFonts w:ascii="Arial" w:eastAsia="Calibri" w:hAnsi="Arial" w:cs="Arial"/>
          <w:sz w:val="20"/>
          <w:szCs w:val="20"/>
        </w:rPr>
        <w:t>)</w:t>
      </w:r>
    </w:p>
    <w:p w:rsidR="00D325A5" w:rsidRPr="00022FAE" w:rsidRDefault="000F3FEA" w:rsidP="0063598E">
      <w:pPr>
        <w:autoSpaceDE w:val="0"/>
        <w:autoSpaceDN w:val="0"/>
        <w:adjustRightInd w:val="0"/>
        <w:ind w:right="170"/>
        <w:rPr>
          <w:rFonts w:ascii="Arial" w:eastAsia="Calibri" w:hAnsi="Arial" w:cs="Arial"/>
          <w:sz w:val="20"/>
          <w:szCs w:val="20"/>
        </w:rPr>
      </w:pPr>
      <w:r w:rsidRPr="00022FAE">
        <w:rPr>
          <w:rFonts w:ascii="Arial" w:eastAsia="Calibri" w:hAnsi="Arial" w:cs="Arial"/>
          <w:sz w:val="20"/>
          <w:szCs w:val="20"/>
        </w:rPr>
        <w:t xml:space="preserve">Fondo </w:t>
      </w:r>
      <w:r w:rsidR="00D325A5" w:rsidRPr="00022FAE">
        <w:rPr>
          <w:rFonts w:ascii="Arial" w:eastAsia="Calibri" w:hAnsi="Arial" w:cs="Arial"/>
          <w:sz w:val="20"/>
          <w:szCs w:val="20"/>
        </w:rPr>
        <w:t xml:space="preserve">(5 </w:t>
      </w:r>
      <w:r w:rsidRPr="00022FAE">
        <w:rPr>
          <w:rFonts w:ascii="Arial" w:eastAsia="Calibri" w:hAnsi="Arial" w:cs="Arial"/>
          <w:sz w:val="20"/>
          <w:szCs w:val="20"/>
        </w:rPr>
        <w:t>puntos</w:t>
      </w:r>
      <w:r w:rsidR="00D325A5" w:rsidRPr="00022FAE">
        <w:rPr>
          <w:rFonts w:ascii="Arial" w:eastAsia="Calibri" w:hAnsi="Arial" w:cs="Arial"/>
          <w:sz w:val="20"/>
          <w:szCs w:val="20"/>
        </w:rPr>
        <w:t>)</w:t>
      </w:r>
    </w:p>
    <w:p w:rsidR="00D325A5" w:rsidRPr="00022FAE" w:rsidRDefault="00D325A5" w:rsidP="0063598E">
      <w:pPr>
        <w:autoSpaceDE w:val="0"/>
        <w:autoSpaceDN w:val="0"/>
        <w:adjustRightInd w:val="0"/>
        <w:ind w:right="170"/>
        <w:rPr>
          <w:rFonts w:ascii="Arial" w:eastAsia="Calibri" w:hAnsi="Arial" w:cs="Arial"/>
          <w:sz w:val="20"/>
          <w:szCs w:val="20"/>
        </w:rPr>
      </w:pPr>
      <w:r w:rsidRPr="00022FAE">
        <w:rPr>
          <w:rFonts w:ascii="Arial" w:eastAsia="Calibri" w:hAnsi="Arial" w:cs="Arial"/>
          <w:sz w:val="20"/>
          <w:szCs w:val="20"/>
        </w:rPr>
        <w:t xml:space="preserve">Recursos </w:t>
      </w:r>
      <w:r w:rsidR="000F3FEA" w:rsidRPr="00022FAE">
        <w:rPr>
          <w:rFonts w:ascii="Arial" w:eastAsia="Calibri" w:hAnsi="Arial" w:cs="Arial"/>
          <w:sz w:val="20"/>
          <w:szCs w:val="20"/>
        </w:rPr>
        <w:t>humanos</w:t>
      </w:r>
      <w:r w:rsidRPr="00022FAE">
        <w:rPr>
          <w:rFonts w:ascii="Arial" w:eastAsia="Calibri" w:hAnsi="Arial" w:cs="Arial"/>
          <w:sz w:val="20"/>
          <w:szCs w:val="20"/>
        </w:rPr>
        <w:t xml:space="preserve"> (15 </w:t>
      </w:r>
      <w:r w:rsidR="000F3FEA" w:rsidRPr="00022FAE">
        <w:rPr>
          <w:rFonts w:ascii="Arial" w:eastAsia="Calibri" w:hAnsi="Arial" w:cs="Arial"/>
          <w:sz w:val="20"/>
          <w:szCs w:val="20"/>
        </w:rPr>
        <w:t>puntos</w:t>
      </w:r>
      <w:r w:rsidRPr="00022FAE">
        <w:rPr>
          <w:rFonts w:ascii="Arial" w:eastAsia="Calibri" w:hAnsi="Arial" w:cs="Arial"/>
          <w:sz w:val="20"/>
          <w:szCs w:val="20"/>
        </w:rPr>
        <w:t>)</w:t>
      </w:r>
    </w:p>
    <w:p w:rsidR="00D325A5" w:rsidRPr="00022FAE" w:rsidRDefault="000F3FEA" w:rsidP="0063598E">
      <w:pPr>
        <w:autoSpaceDE w:val="0"/>
        <w:autoSpaceDN w:val="0"/>
        <w:adjustRightInd w:val="0"/>
        <w:ind w:right="170"/>
        <w:rPr>
          <w:rFonts w:ascii="Arial" w:eastAsia="Calibri" w:hAnsi="Arial" w:cs="Arial"/>
          <w:sz w:val="20"/>
          <w:szCs w:val="20"/>
        </w:rPr>
      </w:pPr>
      <w:r w:rsidRPr="00022FAE">
        <w:rPr>
          <w:rFonts w:ascii="Arial" w:eastAsia="Calibri" w:hAnsi="Arial" w:cs="Arial"/>
          <w:sz w:val="20"/>
          <w:szCs w:val="20"/>
        </w:rPr>
        <w:t>Horario</w:t>
      </w:r>
      <w:r w:rsidR="00D325A5" w:rsidRPr="00022FAE">
        <w:rPr>
          <w:rFonts w:ascii="Arial" w:eastAsia="Calibri" w:hAnsi="Arial" w:cs="Arial"/>
          <w:sz w:val="20"/>
          <w:szCs w:val="20"/>
        </w:rPr>
        <w:t xml:space="preserve"> (10 </w:t>
      </w:r>
      <w:r w:rsidRPr="00022FAE">
        <w:rPr>
          <w:rFonts w:ascii="Arial" w:eastAsia="Calibri" w:hAnsi="Arial" w:cs="Arial"/>
          <w:sz w:val="20"/>
          <w:szCs w:val="20"/>
        </w:rPr>
        <w:t>puntos</w:t>
      </w:r>
      <w:r w:rsidR="00D325A5" w:rsidRPr="00022FAE">
        <w:rPr>
          <w:rFonts w:ascii="Arial" w:eastAsia="Calibri" w:hAnsi="Arial" w:cs="Arial"/>
          <w:sz w:val="20"/>
          <w:szCs w:val="20"/>
        </w:rPr>
        <w:t>)</w:t>
      </w:r>
    </w:p>
    <w:p w:rsidR="0063598E" w:rsidRPr="00022FAE" w:rsidRDefault="0063598E" w:rsidP="0063598E">
      <w:pPr>
        <w:ind w:right="170"/>
        <w:mirrorIndents/>
        <w:rPr>
          <w:rFonts w:ascii="Arial" w:eastAsia="Calibri" w:hAnsi="Arial" w:cs="Arial"/>
          <w:sz w:val="20"/>
          <w:szCs w:val="20"/>
        </w:rPr>
      </w:pPr>
    </w:p>
    <w:p w:rsidR="00764F55" w:rsidRPr="00022FAE" w:rsidRDefault="00764F55" w:rsidP="00764F55">
      <w:pPr>
        <w:autoSpaceDE w:val="0"/>
        <w:autoSpaceDN w:val="0"/>
        <w:adjustRightInd w:val="0"/>
        <w:ind w:right="170"/>
        <w:rPr>
          <w:rFonts w:ascii="Arial" w:eastAsia="Calibri" w:hAnsi="Arial" w:cs="Arial"/>
          <w:sz w:val="20"/>
          <w:szCs w:val="20"/>
        </w:rPr>
      </w:pPr>
      <w:r w:rsidRPr="00022FAE">
        <w:rPr>
          <w:rFonts w:ascii="Arial" w:eastAsia="Calibri" w:hAnsi="Arial" w:cs="Arial"/>
          <w:sz w:val="20"/>
          <w:szCs w:val="20"/>
        </w:rPr>
        <w:t>El 100 % de la adecuación a los mínimos que, para cada uno de los conceptos, establece el Mapa de lectura pública se valora con la máxima puntuación. El porcentaje de cumplimento se traduce en una puntuación proporcional en cada caso.</w:t>
      </w:r>
    </w:p>
    <w:p w:rsidR="00764F55" w:rsidRPr="00022FAE" w:rsidRDefault="00764F55" w:rsidP="00764F55">
      <w:pPr>
        <w:autoSpaceDE w:val="0"/>
        <w:autoSpaceDN w:val="0"/>
        <w:adjustRightInd w:val="0"/>
        <w:ind w:right="170"/>
        <w:rPr>
          <w:rFonts w:ascii="Arial" w:eastAsia="Calibri" w:hAnsi="Arial" w:cs="Arial"/>
          <w:sz w:val="20"/>
          <w:szCs w:val="20"/>
        </w:rPr>
      </w:pPr>
    </w:p>
    <w:p w:rsidR="00764F55" w:rsidRPr="00022FAE" w:rsidRDefault="00764F55" w:rsidP="00764F55">
      <w:pPr>
        <w:autoSpaceDE w:val="0"/>
        <w:autoSpaceDN w:val="0"/>
        <w:adjustRightInd w:val="0"/>
        <w:ind w:right="170"/>
        <w:rPr>
          <w:rFonts w:ascii="Arial" w:eastAsia="Calibri" w:hAnsi="Arial" w:cs="Arial"/>
          <w:sz w:val="20"/>
          <w:szCs w:val="20"/>
        </w:rPr>
      </w:pPr>
      <w:r w:rsidRPr="00022FAE">
        <w:rPr>
          <w:rFonts w:ascii="Arial" w:eastAsia="Calibri" w:hAnsi="Arial" w:cs="Arial"/>
          <w:i/>
          <w:sz w:val="20"/>
          <w:szCs w:val="20"/>
        </w:rPr>
        <w:t>d</w:t>
      </w:r>
      <w:r w:rsidRPr="00022FAE">
        <w:rPr>
          <w:rFonts w:ascii="Arial" w:eastAsia="Calibri" w:hAnsi="Arial" w:cs="Arial"/>
          <w:sz w:val="20"/>
          <w:szCs w:val="20"/>
        </w:rPr>
        <w:t>) Concesión de subvenciones de la Diputación de Girona de la misma línea durante el año anterior (hasta 10 puntos)</w:t>
      </w:r>
    </w:p>
    <w:p w:rsidR="00D325A5" w:rsidRPr="00022FAE" w:rsidRDefault="00764F55" w:rsidP="0063598E">
      <w:pPr>
        <w:autoSpaceDE w:val="0"/>
        <w:autoSpaceDN w:val="0"/>
        <w:adjustRightInd w:val="0"/>
        <w:ind w:right="170"/>
        <w:rPr>
          <w:rFonts w:ascii="Arial" w:eastAsia="SymbolMT" w:hAnsi="Arial" w:cs="Arial"/>
          <w:sz w:val="20"/>
          <w:szCs w:val="20"/>
        </w:rPr>
      </w:pPr>
      <w:r w:rsidRPr="00022FAE">
        <w:rPr>
          <w:rFonts w:ascii="Arial" w:eastAsia="SymbolMT" w:hAnsi="Arial" w:cs="Arial"/>
          <w:sz w:val="20"/>
          <w:szCs w:val="20"/>
        </w:rPr>
        <w:t>Se ha concedido</w:t>
      </w:r>
      <w:r w:rsidR="00D325A5" w:rsidRPr="00022FAE">
        <w:rPr>
          <w:rFonts w:ascii="Arial" w:eastAsia="SymbolMT" w:hAnsi="Arial" w:cs="Arial"/>
          <w:sz w:val="20"/>
          <w:szCs w:val="20"/>
        </w:rPr>
        <w:t xml:space="preserve"> alguna </w:t>
      </w:r>
      <w:r w:rsidRPr="00022FAE">
        <w:rPr>
          <w:rFonts w:ascii="Arial" w:eastAsia="SymbolMT" w:hAnsi="Arial" w:cs="Arial"/>
          <w:sz w:val="20"/>
          <w:szCs w:val="20"/>
        </w:rPr>
        <w:t>subvención y</w:t>
      </w:r>
      <w:r w:rsidR="00D325A5" w:rsidRPr="00022FAE">
        <w:rPr>
          <w:rFonts w:ascii="Arial" w:eastAsia="SymbolMT" w:hAnsi="Arial" w:cs="Arial"/>
          <w:sz w:val="20"/>
          <w:szCs w:val="20"/>
        </w:rPr>
        <w:t xml:space="preserve"> no s</w:t>
      </w:r>
      <w:r w:rsidRPr="00022FAE">
        <w:rPr>
          <w:rFonts w:ascii="Arial" w:eastAsia="SymbolMT" w:hAnsi="Arial" w:cs="Arial"/>
          <w:sz w:val="20"/>
          <w:szCs w:val="20"/>
        </w:rPr>
        <w:t xml:space="preserve">e </w:t>
      </w:r>
      <w:r w:rsidR="00D325A5" w:rsidRPr="00022FAE">
        <w:rPr>
          <w:rFonts w:ascii="Arial" w:eastAsia="SymbolMT" w:hAnsi="Arial" w:cs="Arial"/>
          <w:sz w:val="20"/>
          <w:szCs w:val="20"/>
        </w:rPr>
        <w:t xml:space="preserve">ha </w:t>
      </w:r>
      <w:r w:rsidRPr="00022FAE">
        <w:rPr>
          <w:rFonts w:ascii="Arial" w:eastAsia="SymbolMT" w:hAnsi="Arial" w:cs="Arial"/>
          <w:sz w:val="20"/>
          <w:szCs w:val="20"/>
        </w:rPr>
        <w:t>ejecutado</w:t>
      </w:r>
      <w:r w:rsidR="00D325A5" w:rsidRPr="00022FAE">
        <w:rPr>
          <w:rFonts w:ascii="Arial" w:eastAsia="SymbolMT" w:hAnsi="Arial" w:cs="Arial"/>
          <w:sz w:val="20"/>
          <w:szCs w:val="20"/>
        </w:rPr>
        <w:t xml:space="preserve"> (0 </w:t>
      </w:r>
      <w:r w:rsidRPr="00022FAE">
        <w:rPr>
          <w:rFonts w:ascii="Arial" w:eastAsia="SymbolMT" w:hAnsi="Arial" w:cs="Arial"/>
          <w:sz w:val="20"/>
          <w:szCs w:val="20"/>
        </w:rPr>
        <w:t>puntos</w:t>
      </w:r>
      <w:r w:rsidR="00D325A5" w:rsidRPr="00022FAE">
        <w:rPr>
          <w:rFonts w:ascii="Arial" w:eastAsia="SymbolMT" w:hAnsi="Arial" w:cs="Arial"/>
          <w:sz w:val="20"/>
          <w:szCs w:val="20"/>
        </w:rPr>
        <w:t>)</w:t>
      </w:r>
    </w:p>
    <w:p w:rsidR="0063598E" w:rsidRPr="00022FAE" w:rsidRDefault="00764F55" w:rsidP="00D325A5">
      <w:pPr>
        <w:autoSpaceDE w:val="0"/>
        <w:autoSpaceDN w:val="0"/>
        <w:adjustRightInd w:val="0"/>
        <w:ind w:right="170"/>
        <w:rPr>
          <w:rFonts w:ascii="Arial" w:eastAsia="Calibri" w:hAnsi="Arial" w:cs="Arial"/>
          <w:sz w:val="20"/>
          <w:szCs w:val="20"/>
        </w:rPr>
      </w:pPr>
      <w:r w:rsidRPr="00022FAE">
        <w:rPr>
          <w:rFonts w:ascii="Arial" w:eastAsia="SymbolMT" w:hAnsi="Arial" w:cs="Arial"/>
          <w:sz w:val="20"/>
          <w:szCs w:val="20"/>
        </w:rPr>
        <w:t>No se ha concedido ninguna</w:t>
      </w:r>
      <w:r w:rsidR="00D325A5" w:rsidRPr="00022FAE">
        <w:rPr>
          <w:rFonts w:ascii="Arial" w:eastAsia="SymbolMT" w:hAnsi="Arial" w:cs="Arial"/>
          <w:sz w:val="20"/>
          <w:szCs w:val="20"/>
        </w:rPr>
        <w:t xml:space="preserve"> </w:t>
      </w:r>
      <w:r w:rsidRPr="00022FAE">
        <w:rPr>
          <w:rFonts w:ascii="Arial" w:eastAsia="SymbolMT" w:hAnsi="Arial" w:cs="Arial"/>
          <w:sz w:val="20"/>
          <w:szCs w:val="20"/>
        </w:rPr>
        <w:t>subvención</w:t>
      </w:r>
      <w:r w:rsidR="00D325A5" w:rsidRPr="00022FAE">
        <w:rPr>
          <w:rFonts w:ascii="Arial" w:eastAsia="SymbolMT" w:hAnsi="Arial" w:cs="Arial"/>
          <w:sz w:val="20"/>
          <w:szCs w:val="20"/>
        </w:rPr>
        <w:t xml:space="preserve"> (10 </w:t>
      </w:r>
      <w:r w:rsidRPr="00022FAE">
        <w:rPr>
          <w:rFonts w:ascii="Arial" w:eastAsia="SymbolMT" w:hAnsi="Arial" w:cs="Arial"/>
          <w:sz w:val="20"/>
          <w:szCs w:val="20"/>
        </w:rPr>
        <w:t>puntos</w:t>
      </w:r>
      <w:r w:rsidR="00D325A5" w:rsidRPr="00022FAE">
        <w:rPr>
          <w:rFonts w:ascii="Arial" w:eastAsia="SymbolMT" w:hAnsi="Arial" w:cs="Arial"/>
          <w:sz w:val="20"/>
          <w:szCs w:val="20"/>
        </w:rPr>
        <w:t>)</w:t>
      </w:r>
    </w:p>
    <w:p w:rsidR="0063598E" w:rsidRPr="00022FAE" w:rsidRDefault="0063598E" w:rsidP="0063598E">
      <w:pPr>
        <w:ind w:right="170"/>
        <w:rPr>
          <w:rFonts w:ascii="Arial" w:hAnsi="Arial" w:cs="Arial"/>
          <w:b/>
          <w:bCs/>
          <w:sz w:val="20"/>
          <w:szCs w:val="20"/>
        </w:rPr>
      </w:pPr>
    </w:p>
    <w:p w:rsidR="008304DF" w:rsidRPr="00022FAE" w:rsidRDefault="008304DF" w:rsidP="008304DF">
      <w:pPr>
        <w:ind w:right="170"/>
        <w:rPr>
          <w:rFonts w:ascii="Arial" w:hAnsi="Arial" w:cs="Arial"/>
          <w:b/>
          <w:bCs/>
          <w:sz w:val="20"/>
          <w:szCs w:val="20"/>
        </w:rPr>
      </w:pPr>
      <w:r w:rsidRPr="00022FAE">
        <w:rPr>
          <w:rFonts w:ascii="Arial" w:hAnsi="Arial" w:cs="Arial"/>
          <w:b/>
          <w:bCs/>
          <w:sz w:val="20"/>
          <w:szCs w:val="20"/>
        </w:rPr>
        <w:t>2. Dotación económica y determinación de la aplicación presupuestaria</w:t>
      </w:r>
    </w:p>
    <w:p w:rsidR="008304DF" w:rsidRPr="00022FAE" w:rsidRDefault="008304DF" w:rsidP="008304DF">
      <w:pPr>
        <w:ind w:right="170"/>
        <w:rPr>
          <w:rFonts w:ascii="Arial" w:hAnsi="Arial" w:cs="Arial"/>
          <w:sz w:val="20"/>
          <w:szCs w:val="20"/>
        </w:rPr>
      </w:pPr>
      <w:r w:rsidRPr="00022FAE">
        <w:rPr>
          <w:rFonts w:ascii="Arial" w:hAnsi="Arial" w:cs="Arial"/>
          <w:sz w:val="20"/>
          <w:szCs w:val="20"/>
        </w:rPr>
        <w:t xml:space="preserve">El importe total destinado a la convocatoria es de 30.000 €. La aplicación presupuestaria a la cual se carga el crédito presupuestario y el importe son los que se detallan a continuación. </w:t>
      </w:r>
    </w:p>
    <w:p w:rsidR="00330D11" w:rsidRPr="00022FAE" w:rsidRDefault="008304DF" w:rsidP="0063598E">
      <w:pPr>
        <w:ind w:right="170"/>
        <w:rPr>
          <w:rFonts w:ascii="Arial" w:hAnsi="Arial" w:cs="Arial"/>
          <w:sz w:val="20"/>
          <w:szCs w:val="20"/>
        </w:rPr>
      </w:pPr>
      <w:r w:rsidRPr="00022FAE">
        <w:rPr>
          <w:rFonts w:ascii="Arial" w:hAnsi="Arial" w:cs="Arial"/>
          <w:sz w:val="20"/>
          <w:szCs w:val="20"/>
        </w:rPr>
        <w:t>Aplicación presupuestaria e</w:t>
      </w:r>
      <w:r w:rsidR="00330D11" w:rsidRPr="00022FAE">
        <w:rPr>
          <w:rFonts w:ascii="Arial" w:hAnsi="Arial" w:cs="Arial"/>
          <w:sz w:val="20"/>
          <w:szCs w:val="20"/>
        </w:rPr>
        <w:t xml:space="preserve"> import</w:t>
      </w:r>
      <w:r w:rsidRPr="00022FAE">
        <w:rPr>
          <w:rFonts w:ascii="Arial" w:hAnsi="Arial" w:cs="Arial"/>
          <w:sz w:val="20"/>
          <w:szCs w:val="20"/>
        </w:rPr>
        <w:t>e</w:t>
      </w:r>
      <w:r w:rsidR="00330D11" w:rsidRPr="00022FAE">
        <w:rPr>
          <w:rFonts w:ascii="Arial" w:hAnsi="Arial" w:cs="Arial"/>
          <w:sz w:val="20"/>
          <w:szCs w:val="20"/>
        </w:rPr>
        <w:t xml:space="preserve"> (en €)</w:t>
      </w:r>
    </w:p>
    <w:p w:rsidR="00330D11" w:rsidRPr="00022FAE" w:rsidRDefault="00330D11" w:rsidP="0063598E">
      <w:pPr>
        <w:ind w:right="170"/>
        <w:rPr>
          <w:rFonts w:ascii="Arial" w:hAnsi="Arial" w:cs="Arial"/>
          <w:sz w:val="20"/>
          <w:szCs w:val="20"/>
        </w:rPr>
      </w:pPr>
      <w:r w:rsidRPr="00022FAE">
        <w:rPr>
          <w:rFonts w:ascii="Arial" w:hAnsi="Arial" w:cs="Arial"/>
          <w:sz w:val="20"/>
          <w:szCs w:val="20"/>
        </w:rPr>
        <w:t>301 3321 76202 00 – 30.000€</w:t>
      </w:r>
    </w:p>
    <w:p w:rsidR="0063598E" w:rsidRPr="00022FAE" w:rsidRDefault="00330D11" w:rsidP="0063598E">
      <w:pPr>
        <w:ind w:right="170"/>
        <w:rPr>
          <w:rFonts w:ascii="Arial" w:hAnsi="Arial" w:cs="Arial"/>
          <w:sz w:val="20"/>
          <w:szCs w:val="20"/>
        </w:rPr>
      </w:pPr>
      <w:r w:rsidRPr="00022FAE">
        <w:rPr>
          <w:rFonts w:ascii="Arial" w:hAnsi="Arial" w:cs="Arial"/>
          <w:sz w:val="20"/>
          <w:szCs w:val="20"/>
        </w:rPr>
        <w:t>Total – 30.000€</w:t>
      </w:r>
    </w:p>
    <w:p w:rsidR="0063598E" w:rsidRPr="00022FAE" w:rsidRDefault="0063598E" w:rsidP="0063598E">
      <w:pPr>
        <w:ind w:right="170"/>
        <w:rPr>
          <w:rFonts w:ascii="Arial" w:hAnsi="Arial" w:cs="Arial"/>
          <w:sz w:val="20"/>
          <w:szCs w:val="20"/>
        </w:rPr>
      </w:pPr>
    </w:p>
    <w:p w:rsidR="00022FAE" w:rsidRPr="00022FAE" w:rsidRDefault="00022FAE" w:rsidP="00022FAE">
      <w:pPr>
        <w:ind w:right="170"/>
        <w:rPr>
          <w:rFonts w:ascii="Arial" w:hAnsi="Arial" w:cs="Arial"/>
          <w:b/>
          <w:bCs/>
          <w:sz w:val="20"/>
          <w:szCs w:val="20"/>
        </w:rPr>
      </w:pPr>
      <w:r w:rsidRPr="00022FAE">
        <w:rPr>
          <w:rFonts w:ascii="Arial" w:hAnsi="Arial" w:cs="Arial"/>
          <w:b/>
          <w:bCs/>
          <w:sz w:val="20"/>
          <w:szCs w:val="20"/>
        </w:rPr>
        <w:t>3. Plazo de presentación de solicitudes</w:t>
      </w:r>
    </w:p>
    <w:p w:rsidR="00022FAE" w:rsidRPr="00022FAE" w:rsidRDefault="00022FAE" w:rsidP="00022FAE">
      <w:pPr>
        <w:ind w:right="170"/>
        <w:rPr>
          <w:rFonts w:ascii="Arial" w:hAnsi="Arial" w:cs="Arial"/>
          <w:sz w:val="20"/>
          <w:szCs w:val="20"/>
        </w:rPr>
      </w:pPr>
      <w:r w:rsidRPr="00022FAE">
        <w:rPr>
          <w:rFonts w:ascii="Arial" w:hAnsi="Arial" w:cs="Arial"/>
          <w:sz w:val="20"/>
          <w:szCs w:val="20"/>
        </w:rPr>
        <w:t>El plazo de presentación de solicitudes es de veinte días hábiles des del día siguiente de la publicación del extracto de la convocatoria en el BOPG.</w:t>
      </w:r>
    </w:p>
    <w:p w:rsidR="00022FAE" w:rsidRPr="00022FAE" w:rsidRDefault="00022FAE" w:rsidP="00022FAE">
      <w:pPr>
        <w:ind w:right="170"/>
        <w:rPr>
          <w:rFonts w:ascii="Arial" w:hAnsi="Arial" w:cs="Arial"/>
          <w:sz w:val="20"/>
          <w:szCs w:val="20"/>
        </w:rPr>
      </w:pPr>
      <w:r w:rsidRPr="00022FAE">
        <w:rPr>
          <w:rFonts w:ascii="Arial" w:hAnsi="Arial" w:cs="Arial"/>
          <w:sz w:val="20"/>
          <w:szCs w:val="20"/>
        </w:rPr>
        <w:t xml:space="preserve">Es necesario formular las solicitudes mediante el modelo normalizado disponible en la web de la Diputación de Girona que se tiene que acompañar de la documentación a la cual hace referencia el artículo </w:t>
      </w:r>
      <w:r w:rsidRPr="00022FAE">
        <w:rPr>
          <w:rFonts w:ascii="Arial" w:eastAsia="Calibri" w:hAnsi="Arial" w:cs="Arial"/>
          <w:sz w:val="20"/>
          <w:szCs w:val="20"/>
        </w:rPr>
        <w:t>7</w:t>
      </w:r>
      <w:r w:rsidRPr="00022FAE">
        <w:rPr>
          <w:rFonts w:ascii="Arial" w:hAnsi="Arial" w:cs="Arial"/>
          <w:sz w:val="20"/>
          <w:szCs w:val="20"/>
        </w:rPr>
        <w:t xml:space="preserve"> de las bases reguladoras.</w:t>
      </w:r>
    </w:p>
    <w:p w:rsidR="00022FAE" w:rsidRPr="00022FAE" w:rsidRDefault="00022FAE" w:rsidP="00022FAE">
      <w:pPr>
        <w:ind w:right="170"/>
        <w:rPr>
          <w:rFonts w:ascii="Arial" w:hAnsi="Arial" w:cs="Arial"/>
          <w:sz w:val="20"/>
          <w:szCs w:val="20"/>
        </w:rPr>
      </w:pPr>
      <w:r w:rsidRPr="00022FAE">
        <w:rPr>
          <w:rFonts w:ascii="Arial" w:hAnsi="Arial" w:cs="Arial"/>
          <w:sz w:val="20"/>
          <w:szCs w:val="20"/>
        </w:rPr>
        <w:t>Les solicitudes se tienen que presentar telemáticamente (EACAT), y tienen que estar firmadas electrónicamente mediante un certificado validado en la plataforma PSIS del Consorcio de la Administración Abierta de Cataluña.</w:t>
      </w:r>
    </w:p>
    <w:p w:rsidR="00022FAE" w:rsidRPr="00022FAE" w:rsidRDefault="00022FAE" w:rsidP="00022FAE">
      <w:pPr>
        <w:ind w:right="170"/>
        <w:rPr>
          <w:rFonts w:ascii="Arial" w:hAnsi="Arial" w:cs="Arial"/>
          <w:sz w:val="20"/>
          <w:szCs w:val="20"/>
        </w:rPr>
      </w:pPr>
    </w:p>
    <w:p w:rsidR="00022FAE" w:rsidRPr="00022FAE" w:rsidRDefault="00022FAE" w:rsidP="00022FAE">
      <w:pPr>
        <w:spacing w:after="200" w:line="276" w:lineRule="auto"/>
        <w:ind w:right="170"/>
        <w:contextualSpacing/>
        <w:rPr>
          <w:rFonts w:ascii="Arial" w:eastAsia="Calibri" w:hAnsi="Arial" w:cs="Arial"/>
          <w:b/>
          <w:bCs/>
          <w:sz w:val="20"/>
          <w:szCs w:val="20"/>
        </w:rPr>
      </w:pPr>
      <w:r w:rsidRPr="00022FAE">
        <w:rPr>
          <w:rFonts w:ascii="Arial" w:eastAsia="Calibri" w:hAnsi="Arial" w:cs="Arial"/>
          <w:b/>
          <w:bCs/>
          <w:sz w:val="20"/>
          <w:szCs w:val="20"/>
        </w:rPr>
        <w:t>Ámbito temporal de las acciones subvencionables</w:t>
      </w:r>
    </w:p>
    <w:p w:rsidR="00022FAE" w:rsidRPr="00022FAE" w:rsidRDefault="00022FAE" w:rsidP="00022FAE">
      <w:pPr>
        <w:ind w:right="170"/>
        <w:contextualSpacing/>
        <w:rPr>
          <w:rFonts w:ascii="Arial" w:eastAsia="Calibri" w:hAnsi="Arial" w:cs="Arial"/>
          <w:b/>
          <w:bCs/>
          <w:sz w:val="20"/>
          <w:szCs w:val="20"/>
        </w:rPr>
      </w:pPr>
    </w:p>
    <w:p w:rsidR="00022FAE" w:rsidRPr="00022FAE" w:rsidRDefault="00022FAE" w:rsidP="00022FAE">
      <w:pPr>
        <w:ind w:right="170"/>
        <w:contextualSpacing/>
        <w:rPr>
          <w:rFonts w:ascii="Arial" w:eastAsia="Calibri" w:hAnsi="Arial" w:cs="Arial"/>
          <w:sz w:val="20"/>
          <w:szCs w:val="20"/>
        </w:rPr>
      </w:pPr>
      <w:r w:rsidRPr="00022FAE">
        <w:rPr>
          <w:rFonts w:ascii="Arial" w:eastAsia="Calibri" w:hAnsi="Arial" w:cs="Arial"/>
          <w:sz w:val="20"/>
          <w:szCs w:val="20"/>
        </w:rPr>
        <w:t xml:space="preserve">Se subvencionarán actuaciones, actividades o inversiones llevadas a cabo 1 año antes de la fecha de publicación de la convocatoria y hasta seis meses después. </w:t>
      </w:r>
    </w:p>
    <w:p w:rsidR="00022FAE" w:rsidRPr="00022FAE" w:rsidRDefault="00022FAE" w:rsidP="00022FAE">
      <w:pPr>
        <w:ind w:right="170"/>
        <w:contextualSpacing/>
        <w:rPr>
          <w:rFonts w:ascii="Arial" w:eastAsia="Calibri" w:hAnsi="Arial" w:cs="Arial"/>
          <w:sz w:val="20"/>
          <w:szCs w:val="20"/>
        </w:rPr>
      </w:pPr>
    </w:p>
    <w:p w:rsidR="00022FAE" w:rsidRPr="00022FAE" w:rsidRDefault="00022FAE" w:rsidP="00022FAE">
      <w:pPr>
        <w:ind w:right="170"/>
        <w:contextualSpacing/>
        <w:rPr>
          <w:rFonts w:ascii="Arial" w:eastAsia="Calibri" w:hAnsi="Arial" w:cs="Arial"/>
          <w:sz w:val="20"/>
          <w:szCs w:val="20"/>
        </w:rPr>
      </w:pPr>
    </w:p>
    <w:p w:rsidR="00022FAE" w:rsidRPr="00022FAE" w:rsidRDefault="00022FAE" w:rsidP="00022FAE">
      <w:pPr>
        <w:spacing w:after="200" w:line="276" w:lineRule="auto"/>
        <w:ind w:right="170"/>
        <w:contextualSpacing/>
        <w:rPr>
          <w:rFonts w:ascii="Arial" w:eastAsia="Calibri" w:hAnsi="Arial" w:cs="Arial"/>
          <w:b/>
          <w:bCs/>
          <w:sz w:val="20"/>
          <w:szCs w:val="20"/>
        </w:rPr>
      </w:pPr>
      <w:r w:rsidRPr="00022FAE">
        <w:rPr>
          <w:rFonts w:ascii="Arial" w:eastAsia="Calibri" w:hAnsi="Arial" w:cs="Arial"/>
          <w:b/>
          <w:bCs/>
          <w:sz w:val="20"/>
          <w:szCs w:val="20"/>
        </w:rPr>
        <w:t>Plazo para justificar las subvenciones</w:t>
      </w:r>
    </w:p>
    <w:p w:rsidR="00022FAE" w:rsidRPr="00022FAE" w:rsidRDefault="00022FAE" w:rsidP="00022FAE">
      <w:pPr>
        <w:ind w:right="170"/>
        <w:contextualSpacing/>
        <w:rPr>
          <w:rFonts w:ascii="Arial" w:eastAsia="Calibri" w:hAnsi="Arial" w:cs="Arial"/>
          <w:b/>
          <w:bCs/>
          <w:sz w:val="20"/>
          <w:szCs w:val="20"/>
        </w:rPr>
      </w:pPr>
    </w:p>
    <w:p w:rsidR="00022FAE" w:rsidRPr="00022FAE" w:rsidRDefault="00022FAE" w:rsidP="00022FAE">
      <w:pPr>
        <w:ind w:right="170"/>
        <w:contextualSpacing/>
        <w:rPr>
          <w:rFonts w:ascii="Arial" w:eastAsia="Calibri" w:hAnsi="Arial" w:cs="Arial"/>
          <w:sz w:val="20"/>
          <w:szCs w:val="20"/>
        </w:rPr>
      </w:pPr>
      <w:r w:rsidRPr="00022FAE">
        <w:rPr>
          <w:rFonts w:ascii="Arial" w:eastAsia="Calibri" w:hAnsi="Arial" w:cs="Arial"/>
          <w:bCs/>
          <w:sz w:val="20"/>
          <w:szCs w:val="20"/>
        </w:rPr>
        <w:t xml:space="preserve">El plazo de justificación es </w:t>
      </w:r>
      <w:r w:rsidRPr="00022FAE">
        <w:rPr>
          <w:rFonts w:ascii="Arial" w:eastAsia="Calibri" w:hAnsi="Arial" w:cs="Arial"/>
          <w:sz w:val="20"/>
          <w:szCs w:val="20"/>
        </w:rPr>
        <w:t>de treinta días a contar des del día siguiente de la finalización del plazo de ejecución.</w:t>
      </w:r>
    </w:p>
    <w:p w:rsidR="00022FAE" w:rsidRPr="00022FAE" w:rsidRDefault="00022FAE" w:rsidP="00022FAE">
      <w:pPr>
        <w:ind w:right="170"/>
        <w:contextualSpacing/>
        <w:rPr>
          <w:rFonts w:ascii="Arial" w:eastAsia="Calibri" w:hAnsi="Arial" w:cs="Arial"/>
          <w:sz w:val="20"/>
          <w:szCs w:val="20"/>
        </w:rPr>
      </w:pPr>
    </w:p>
    <w:p w:rsidR="00022FAE" w:rsidRPr="00022FAE" w:rsidRDefault="00022FAE" w:rsidP="00022FAE">
      <w:pPr>
        <w:ind w:right="170"/>
        <w:rPr>
          <w:rFonts w:ascii="Arial" w:hAnsi="Arial" w:cs="Arial"/>
          <w:sz w:val="20"/>
          <w:szCs w:val="20"/>
        </w:rPr>
      </w:pPr>
    </w:p>
    <w:p w:rsidR="00022FAE" w:rsidRPr="00022FAE" w:rsidRDefault="00022FAE" w:rsidP="00022FAE">
      <w:pPr>
        <w:ind w:right="170"/>
        <w:rPr>
          <w:rFonts w:ascii="Arial" w:hAnsi="Arial" w:cs="Arial"/>
          <w:b/>
          <w:bCs/>
          <w:sz w:val="20"/>
          <w:szCs w:val="20"/>
        </w:rPr>
      </w:pPr>
      <w:r w:rsidRPr="00022FAE">
        <w:rPr>
          <w:rFonts w:ascii="Arial" w:hAnsi="Arial" w:cs="Arial"/>
          <w:b/>
          <w:bCs/>
          <w:sz w:val="20"/>
          <w:szCs w:val="20"/>
        </w:rPr>
        <w:t xml:space="preserve">4. Plazo de resolución y notificación </w:t>
      </w:r>
    </w:p>
    <w:p w:rsidR="00022FAE" w:rsidRPr="00022FAE" w:rsidRDefault="00022FAE" w:rsidP="00022FAE">
      <w:pPr>
        <w:autoSpaceDE w:val="0"/>
        <w:ind w:right="170"/>
        <w:rPr>
          <w:rFonts w:ascii="Arial" w:hAnsi="Arial" w:cs="Arial"/>
          <w:b/>
          <w:sz w:val="20"/>
          <w:szCs w:val="20"/>
        </w:rPr>
      </w:pPr>
      <w:r w:rsidRPr="00022FAE">
        <w:rPr>
          <w:rFonts w:ascii="Arial" w:hAnsi="Arial" w:cs="Arial"/>
          <w:b/>
          <w:sz w:val="20"/>
          <w:szCs w:val="20"/>
        </w:rPr>
        <w:t>4.1. Plazo de resolución</w:t>
      </w:r>
    </w:p>
    <w:p w:rsidR="00022FAE" w:rsidRPr="00022FAE" w:rsidRDefault="00022FAE" w:rsidP="00022FAE">
      <w:pPr>
        <w:autoSpaceDE w:val="0"/>
        <w:ind w:right="170"/>
        <w:rPr>
          <w:rFonts w:ascii="Arial" w:eastAsia="Arial" w:hAnsi="Arial" w:cs="Arial"/>
          <w:bCs/>
          <w:sz w:val="20"/>
          <w:szCs w:val="20"/>
        </w:rPr>
      </w:pPr>
      <w:r w:rsidRPr="00022FAE">
        <w:rPr>
          <w:rFonts w:ascii="Arial" w:hAnsi="Arial" w:cs="Arial"/>
          <w:sz w:val="20"/>
          <w:szCs w:val="20"/>
        </w:rPr>
        <w:lastRenderedPageBreak/>
        <w:t>El plazo para resolver la convocatoria</w:t>
      </w:r>
      <w:r w:rsidRPr="00022FAE">
        <w:rPr>
          <w:rFonts w:ascii="Arial" w:eastAsia="Arial" w:hAnsi="Arial" w:cs="Arial"/>
          <w:sz w:val="20"/>
          <w:szCs w:val="20"/>
        </w:rPr>
        <w:t xml:space="preserve"> </w:t>
      </w:r>
      <w:r w:rsidRPr="00022FAE">
        <w:rPr>
          <w:rFonts w:ascii="Arial" w:eastAsia="Arial" w:hAnsi="Arial" w:cs="Arial"/>
          <w:bCs/>
          <w:sz w:val="20"/>
          <w:szCs w:val="20"/>
        </w:rPr>
        <w:t>es el que determinen las bases. Una vez trascurrido el plazo sin que se haya adoptado una resolución, los solicitantes podrán entender desestimadas sus solicitudes por silencio administrativo.</w:t>
      </w:r>
    </w:p>
    <w:p w:rsidR="00022FAE" w:rsidRPr="00022FAE" w:rsidRDefault="00022FAE" w:rsidP="00022FAE">
      <w:pPr>
        <w:autoSpaceDE w:val="0"/>
        <w:ind w:right="170"/>
        <w:rPr>
          <w:rFonts w:ascii="Arial" w:eastAsia="Arial" w:hAnsi="Arial" w:cs="Arial"/>
          <w:bCs/>
          <w:sz w:val="20"/>
          <w:szCs w:val="20"/>
        </w:rPr>
      </w:pPr>
    </w:p>
    <w:p w:rsidR="00022FAE" w:rsidRPr="00022FAE" w:rsidRDefault="00022FAE" w:rsidP="00022FAE">
      <w:pPr>
        <w:autoSpaceDE w:val="0"/>
        <w:ind w:right="170"/>
        <w:rPr>
          <w:rFonts w:ascii="Arial" w:eastAsia="Arial" w:hAnsi="Arial" w:cs="Arial"/>
          <w:b/>
          <w:bCs/>
          <w:sz w:val="20"/>
          <w:szCs w:val="20"/>
        </w:rPr>
      </w:pPr>
      <w:r w:rsidRPr="00022FAE">
        <w:rPr>
          <w:rFonts w:ascii="Arial" w:eastAsia="Arial" w:hAnsi="Arial" w:cs="Arial"/>
          <w:b/>
          <w:bCs/>
          <w:sz w:val="20"/>
          <w:szCs w:val="20"/>
        </w:rPr>
        <w:t>4.2. Plazo de notificación</w:t>
      </w:r>
    </w:p>
    <w:p w:rsidR="00022FAE" w:rsidRPr="00022FAE" w:rsidRDefault="00022FAE" w:rsidP="00022FAE">
      <w:pPr>
        <w:autoSpaceDE w:val="0"/>
        <w:ind w:right="170"/>
        <w:rPr>
          <w:rFonts w:ascii="Arial" w:eastAsia="Arial" w:hAnsi="Arial" w:cs="Arial"/>
          <w:sz w:val="20"/>
          <w:szCs w:val="20"/>
        </w:rPr>
      </w:pPr>
      <w:r w:rsidRPr="00022FAE">
        <w:rPr>
          <w:rFonts w:ascii="Arial" w:eastAsia="Arial" w:hAnsi="Arial" w:cs="Arial"/>
          <w:sz w:val="20"/>
          <w:szCs w:val="20"/>
        </w:rPr>
        <w:t xml:space="preserve">Se notificará la resolución a todos los beneficiarios de manera individualizada, tal como establece el artículo 41.1 de la Ley 39/2015, del 1 de octubre, del procedimiento administrativo común de las administraciones públicas, y también a los peticionarios la solicitud de los cuales haya estado desestimada, en el plazo máximo de diez días hábiles, a contar de la fecha en que se adopte el acuerdo. </w:t>
      </w:r>
    </w:p>
    <w:p w:rsidR="00022FAE" w:rsidRPr="00022FAE" w:rsidRDefault="00022FAE" w:rsidP="00022FAE">
      <w:pPr>
        <w:ind w:right="170"/>
        <w:rPr>
          <w:rFonts w:ascii="Arial" w:hAnsi="Arial" w:cs="Arial"/>
          <w:sz w:val="20"/>
          <w:szCs w:val="20"/>
        </w:rPr>
      </w:pPr>
    </w:p>
    <w:p w:rsidR="00022FAE" w:rsidRPr="00022FAE" w:rsidRDefault="00022FAE" w:rsidP="00022FAE">
      <w:pPr>
        <w:ind w:right="170"/>
        <w:rPr>
          <w:rFonts w:ascii="Arial" w:hAnsi="Arial" w:cs="Arial"/>
          <w:b/>
          <w:bCs/>
          <w:sz w:val="20"/>
          <w:szCs w:val="20"/>
        </w:rPr>
      </w:pPr>
      <w:r w:rsidRPr="00022FAE">
        <w:rPr>
          <w:rFonts w:ascii="Arial" w:hAnsi="Arial" w:cs="Arial"/>
          <w:b/>
          <w:bCs/>
          <w:sz w:val="20"/>
          <w:szCs w:val="20"/>
        </w:rPr>
        <w:t>5. Régimen de recursos</w:t>
      </w:r>
    </w:p>
    <w:p w:rsidR="00022FAE" w:rsidRPr="00022FAE" w:rsidRDefault="00022FAE" w:rsidP="00022FAE">
      <w:pPr>
        <w:ind w:right="170"/>
        <w:rPr>
          <w:rFonts w:ascii="Arial" w:hAnsi="Arial" w:cs="Arial"/>
          <w:sz w:val="20"/>
          <w:szCs w:val="20"/>
        </w:rPr>
      </w:pPr>
      <w:r w:rsidRPr="00022FAE">
        <w:rPr>
          <w:rFonts w:ascii="Arial" w:hAnsi="Arial" w:cs="Arial"/>
          <w:sz w:val="20"/>
          <w:szCs w:val="20"/>
        </w:rPr>
        <w:t xml:space="preserve">La resolución de la convocatoria pone fin a la vía administrativa. Contra esta resolución procede interponer un recurso contencioso administrativo delante del Juzgado Contencioso Administrativo de Girona, en el plazo de dos meses a contar des del día siguiente al de la notificación. Alternativamente, y de forma potestativa, se puede interponer un recurso de reposición delante de la Presidencia de la Diputación de Girona, en el plazo de un mes a contar des del día siguiente al de la notificación. </w:t>
      </w:r>
    </w:p>
    <w:p w:rsidR="00022FAE" w:rsidRPr="00022FAE" w:rsidRDefault="00022FAE" w:rsidP="00022FAE">
      <w:pPr>
        <w:ind w:right="170"/>
        <w:rPr>
          <w:rFonts w:ascii="Arial" w:hAnsi="Arial" w:cs="Arial"/>
          <w:b/>
          <w:bCs/>
          <w:sz w:val="20"/>
          <w:szCs w:val="20"/>
        </w:rPr>
      </w:pPr>
    </w:p>
    <w:p w:rsidR="00022FAE" w:rsidRPr="00022FAE" w:rsidRDefault="00022FAE" w:rsidP="00022FAE">
      <w:pPr>
        <w:ind w:right="170"/>
        <w:rPr>
          <w:rFonts w:ascii="Arial" w:hAnsi="Arial" w:cs="Arial"/>
          <w:b/>
          <w:bCs/>
          <w:sz w:val="20"/>
          <w:szCs w:val="20"/>
        </w:rPr>
      </w:pPr>
      <w:r w:rsidRPr="00022FAE">
        <w:rPr>
          <w:rFonts w:ascii="Arial" w:hAnsi="Arial" w:cs="Arial"/>
          <w:b/>
          <w:bCs/>
          <w:sz w:val="20"/>
          <w:szCs w:val="20"/>
        </w:rPr>
        <w:t>6. Publicidad</w:t>
      </w:r>
    </w:p>
    <w:p w:rsidR="0063598E" w:rsidRPr="00022FAE" w:rsidRDefault="00022FAE" w:rsidP="00022FAE">
      <w:pPr>
        <w:rPr>
          <w:rFonts w:ascii="Arial" w:hAnsi="Arial" w:cs="Arial"/>
          <w:sz w:val="20"/>
          <w:szCs w:val="20"/>
        </w:rPr>
      </w:pPr>
      <w:r w:rsidRPr="00022FAE">
        <w:rPr>
          <w:rFonts w:ascii="Arial" w:hAnsi="Arial" w:cs="Arial"/>
          <w:sz w:val="20"/>
          <w:szCs w:val="20"/>
        </w:rPr>
        <w:t>Esta convocatoria se publicará en el tabl</w:t>
      </w:r>
      <w:bookmarkStart w:id="0" w:name="_GoBack"/>
      <w:bookmarkEnd w:id="0"/>
      <w:r w:rsidRPr="00022FAE">
        <w:rPr>
          <w:rFonts w:ascii="Arial" w:hAnsi="Arial" w:cs="Arial"/>
          <w:sz w:val="20"/>
          <w:szCs w:val="20"/>
        </w:rPr>
        <w:t xml:space="preserve">ón electrónico de anuncios de la Diputación y en la web, y, de acuerdo con lo que establece el artículo 17.3 </w:t>
      </w:r>
      <w:r w:rsidRPr="00022FAE">
        <w:rPr>
          <w:rFonts w:ascii="Arial" w:hAnsi="Arial" w:cs="Arial"/>
          <w:i/>
          <w:sz w:val="20"/>
          <w:szCs w:val="20"/>
        </w:rPr>
        <w:t>b</w:t>
      </w:r>
      <w:r w:rsidRPr="00022FAE">
        <w:rPr>
          <w:rFonts w:ascii="Arial" w:hAnsi="Arial" w:cs="Arial"/>
          <w:sz w:val="20"/>
          <w:szCs w:val="20"/>
        </w:rPr>
        <w:t xml:space="preserve"> de la Ley 38/2003, general de subvenciones, se publicará el extracto en el BOPG</w:t>
      </w:r>
      <w:r w:rsidRPr="00022FAE">
        <w:rPr>
          <w:rFonts w:ascii="Arial" w:hAnsi="Arial" w:cs="Arial"/>
          <w:sz w:val="20"/>
          <w:szCs w:val="20"/>
        </w:rPr>
        <w:t>.</w:t>
      </w:r>
    </w:p>
    <w:p w:rsidR="00022FAE" w:rsidRPr="00022FAE" w:rsidRDefault="00022FAE" w:rsidP="00022FAE">
      <w:pPr>
        <w:rPr>
          <w:rFonts w:ascii="Arial" w:hAnsi="Arial" w:cs="Arial"/>
        </w:rPr>
      </w:pPr>
    </w:p>
    <w:p w:rsidR="0063598E" w:rsidRPr="00022FAE" w:rsidRDefault="00330D11">
      <w:pPr>
        <w:rPr>
          <w:rFonts w:ascii="Arial" w:hAnsi="Arial" w:cs="Arial"/>
        </w:rPr>
      </w:pPr>
      <w:r w:rsidRPr="00022FAE">
        <w:rPr>
          <w:rFonts w:ascii="Arial" w:hAnsi="Arial" w:cs="Arial"/>
        </w:rPr>
        <w:t xml:space="preserve">Girona - el </w:t>
      </w:r>
      <w:r w:rsidR="00022FAE" w:rsidRPr="00022FAE">
        <w:rPr>
          <w:rFonts w:ascii="Arial" w:hAnsi="Arial" w:cs="Arial"/>
        </w:rPr>
        <w:t>Presidente</w:t>
      </w:r>
      <w:r w:rsidRPr="00022FAE">
        <w:rPr>
          <w:rFonts w:ascii="Arial" w:hAnsi="Arial" w:cs="Arial"/>
        </w:rPr>
        <w:t xml:space="preserve"> de la </w:t>
      </w:r>
      <w:r w:rsidR="00022FAE" w:rsidRPr="00022FAE">
        <w:rPr>
          <w:rFonts w:ascii="Arial" w:hAnsi="Arial" w:cs="Arial"/>
        </w:rPr>
        <w:t>Diputación</w:t>
      </w:r>
      <w:r w:rsidRPr="00022FAE">
        <w:rPr>
          <w:rFonts w:ascii="Arial" w:hAnsi="Arial" w:cs="Arial"/>
        </w:rPr>
        <w:t xml:space="preserve"> de Girona</w:t>
      </w:r>
    </w:p>
    <w:sectPr w:rsidR="0063598E" w:rsidRPr="00022FA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MT">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77E66"/>
    <w:multiLevelType w:val="hybridMultilevel"/>
    <w:tmpl w:val="AD76301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98E"/>
    <w:rsid w:val="00022FAE"/>
    <w:rsid w:val="000A263D"/>
    <w:rsid w:val="000C7341"/>
    <w:rsid w:val="000F3FEA"/>
    <w:rsid w:val="00330D11"/>
    <w:rsid w:val="00465FE0"/>
    <w:rsid w:val="0063598E"/>
    <w:rsid w:val="00764F55"/>
    <w:rsid w:val="008304DF"/>
    <w:rsid w:val="00D325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1310F"/>
  <w15:chartTrackingRefBased/>
  <w15:docId w15:val="{EE72AD6D-A675-4272-A349-D381F61B8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39"/>
    <w:rsid w:val="0063598E"/>
    <w:pPr>
      <w:spacing w:after="0" w:line="240" w:lineRule="auto"/>
    </w:pPr>
    <w:rPr>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3</Pages>
  <Words>875</Words>
  <Characters>4817</Characters>
  <Application>Microsoft Office Word</Application>
  <DocSecurity>0</DocSecurity>
  <Lines>40</Lines>
  <Paragraphs>11</Paragraphs>
  <ScaleCrop>false</ScaleCrop>
  <HeadingPairs>
    <vt:vector size="2" baseType="variant">
      <vt:variant>
        <vt:lpstr>Títol</vt:lpstr>
      </vt:variant>
      <vt:variant>
        <vt:i4>1</vt:i4>
      </vt:variant>
    </vt:vector>
  </HeadingPairs>
  <TitlesOfParts>
    <vt:vector size="1" baseType="lpstr">
      <vt:lpstr/>
    </vt:vector>
  </TitlesOfParts>
  <Company>Diputació de Girona</Company>
  <LinksUpToDate>false</LinksUpToDate>
  <CharactersWithSpaces>5681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Díaz Plaza</dc:creator>
  <cp:keywords/>
  <dc:description/>
  <cp:lastModifiedBy>Yanira Díaz Plaza</cp:lastModifiedBy>
  <cp:revision>9</cp:revision>
  <dcterms:created xsi:type="dcterms:W3CDTF">2023-09-06T09:51:00Z</dcterms:created>
  <dcterms:modified xsi:type="dcterms:W3CDTF">2023-09-07T14:28:00Z</dcterms:modified>
</cp:coreProperties>
</file>