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spacing w:after="1"/>
        <w:rPr>
          <w:rFonts w:ascii="Times New Roman"/>
          <w:sz w:val="26"/>
        </w:rPr>
      </w:pPr>
    </w:p>
    <w:p>
      <w:pPr>
        <w:pStyle w:val="BodyText"/>
        <w:ind w:left="193"/>
        <w:rPr>
          <w:rFonts w:ascii="Times New Roman"/>
          <w:sz w:val="20"/>
        </w:rPr>
      </w:pPr>
      <w:r>
        <w:rPr>
          <w:rFonts w:ascii="Times New Roman"/>
          <w:sz w:val="20"/>
        </w:rPr>
        <w:pict>
          <v:shape style="width:449.5pt;height:31.7pt;mso-position-horizontal-relative:char;mso-position-vertical-relative:line" type="#_x0000_t202" filled="true" fillcolor="#ffda64" stroked="false">
            <w10:anchorlock/>
            <v:textbox inset="0,0,0,0">
              <w:txbxContent>
                <w:p>
                  <w:pPr>
                    <w:spacing w:line="276" w:lineRule="auto" w:before="0"/>
                    <w:ind w:left="28" w:right="0" w:firstLine="0"/>
                    <w:jc w:val="left"/>
                    <w:rPr>
                      <w:b/>
                      <w:sz w:val="24"/>
                    </w:rPr>
                  </w:pPr>
                  <w:r>
                    <w:rPr>
                      <w:b/>
                      <w:sz w:val="24"/>
                    </w:rPr>
                    <w:t>CONVOCATÒRIA DELS AJUTS A LES PERSONES EN RELACIÓ A LA SEVA CAPACITAT SOCIOECONÒMICA PER A L’EXERCICI 2025.</w:t>
                  </w:r>
                </w:p>
              </w:txbxContent>
            </v:textbox>
            <v:fill type="solid"/>
          </v:shape>
        </w:pict>
      </w:r>
      <w:r>
        <w:rPr>
          <w:rFonts w:ascii="Times New Roman"/>
          <w:sz w:val="20"/>
        </w:rPr>
      </w:r>
    </w:p>
    <w:p>
      <w:pPr>
        <w:pStyle w:val="BodyText"/>
        <w:spacing w:before="5"/>
        <w:rPr>
          <w:rFonts w:ascii="Times New Roman"/>
          <w:sz w:val="17"/>
        </w:rPr>
      </w:pPr>
    </w:p>
    <w:p>
      <w:pPr>
        <w:pStyle w:val="Heading1"/>
        <w:spacing w:before="92"/>
      </w:pPr>
      <w:r>
        <w:rPr/>
        <w:t>1.- Objecte</w:t>
      </w:r>
    </w:p>
    <w:p>
      <w:pPr>
        <w:pStyle w:val="BodyText"/>
        <w:spacing w:before="2"/>
        <w:rPr>
          <w:b/>
          <w:sz w:val="31"/>
        </w:rPr>
      </w:pPr>
    </w:p>
    <w:p>
      <w:pPr>
        <w:pStyle w:val="BodyText"/>
        <w:spacing w:line="276" w:lineRule="auto"/>
        <w:ind w:left="222" w:right="127"/>
        <w:jc w:val="both"/>
      </w:pPr>
      <w:r>
        <w:rPr/>
        <w:t>L’objecte de la present convocatòria i de les seves bases homònimes és regular l’atorgament d’ajuts socials per a persones titulars de determinats béns (immobles i vehicles) al municipi i per a les quotes de les activitats tipificades, en relació a la seva capacitat socioeconòmica i el seu esforç fiscal. Es fixen els criteris de concessió dels ajuts que l’Ajuntament de Deltebre ha d’atorgar amb la finalitat de donar suport a aquelles persones residents al municipi de Deltebre que necessiten d’especial recolzament social atesa la seva escassa capacitat econòmica.</w:t>
      </w:r>
    </w:p>
    <w:p>
      <w:pPr>
        <w:pStyle w:val="BodyText"/>
        <w:spacing w:before="7"/>
        <w:rPr>
          <w:sz w:val="27"/>
        </w:rPr>
      </w:pPr>
    </w:p>
    <w:p>
      <w:pPr>
        <w:pStyle w:val="Heading1"/>
      </w:pPr>
      <w:r>
        <w:rPr/>
        <w:t>2.- Modalitats</w:t>
      </w:r>
    </w:p>
    <w:p>
      <w:pPr>
        <w:pStyle w:val="BodyText"/>
        <w:spacing w:before="2"/>
        <w:rPr>
          <w:b/>
          <w:sz w:val="31"/>
        </w:rPr>
      </w:pPr>
    </w:p>
    <w:p>
      <w:pPr>
        <w:pStyle w:val="BodyText"/>
        <w:spacing w:line="276" w:lineRule="auto"/>
        <w:ind w:left="222" w:right="128"/>
        <w:jc w:val="both"/>
      </w:pPr>
      <w:r>
        <w:rPr/>
        <w:t>Es tindrà en compte que la persona sol·licitant sigui titular de determinats béns (immobles i vehicles) al municipi que li impliquin ser subjecte passiu d’alguna de les següents figures:</w:t>
      </w:r>
    </w:p>
    <w:p>
      <w:pPr>
        <w:pStyle w:val="ListParagraph"/>
        <w:numPr>
          <w:ilvl w:val="0"/>
          <w:numId w:val="1"/>
        </w:numPr>
        <w:tabs>
          <w:tab w:pos="930" w:val="left" w:leader="none"/>
        </w:tabs>
        <w:spacing w:line="240" w:lineRule="auto" w:before="1" w:after="0"/>
        <w:ind w:left="930" w:right="0" w:hanging="349"/>
        <w:jc w:val="left"/>
        <w:rPr>
          <w:sz w:val="24"/>
        </w:rPr>
      </w:pPr>
      <w:r>
        <w:rPr>
          <w:sz w:val="24"/>
        </w:rPr>
        <w:t>Impost sobre Béns</w:t>
      </w:r>
      <w:r>
        <w:rPr>
          <w:spacing w:val="-3"/>
          <w:sz w:val="24"/>
        </w:rPr>
        <w:t> </w:t>
      </w:r>
      <w:r>
        <w:rPr>
          <w:sz w:val="24"/>
        </w:rPr>
        <w:t>Immobles.</w:t>
      </w:r>
    </w:p>
    <w:p>
      <w:pPr>
        <w:pStyle w:val="ListParagraph"/>
        <w:numPr>
          <w:ilvl w:val="0"/>
          <w:numId w:val="1"/>
        </w:numPr>
        <w:tabs>
          <w:tab w:pos="930" w:val="left" w:leader="none"/>
        </w:tabs>
        <w:spacing w:line="240" w:lineRule="auto" w:before="64" w:after="0"/>
        <w:ind w:left="930" w:right="0" w:hanging="349"/>
        <w:jc w:val="left"/>
        <w:rPr>
          <w:sz w:val="24"/>
        </w:rPr>
      </w:pPr>
      <w:r>
        <w:rPr>
          <w:sz w:val="24"/>
        </w:rPr>
        <w:t>Impost sobre l’increment del Valor dels Terrenys de Naturalesa</w:t>
      </w:r>
      <w:r>
        <w:rPr>
          <w:spacing w:val="-13"/>
          <w:sz w:val="24"/>
        </w:rPr>
        <w:t> </w:t>
      </w:r>
      <w:r>
        <w:rPr>
          <w:sz w:val="24"/>
        </w:rPr>
        <w:t>Urbana.</w:t>
      </w:r>
    </w:p>
    <w:p>
      <w:pPr>
        <w:pStyle w:val="ListParagraph"/>
        <w:numPr>
          <w:ilvl w:val="0"/>
          <w:numId w:val="1"/>
        </w:numPr>
        <w:tabs>
          <w:tab w:pos="930" w:val="left" w:leader="none"/>
        </w:tabs>
        <w:spacing w:line="240" w:lineRule="auto" w:before="65" w:after="0"/>
        <w:ind w:left="930" w:right="0" w:hanging="349"/>
        <w:jc w:val="left"/>
        <w:rPr>
          <w:sz w:val="24"/>
        </w:rPr>
      </w:pPr>
      <w:r>
        <w:rPr>
          <w:sz w:val="24"/>
        </w:rPr>
        <w:t>Taxa de serveis de Recollida d’Escombraries</w:t>
      </w:r>
      <w:r>
        <w:rPr>
          <w:spacing w:val="-6"/>
          <w:sz w:val="24"/>
        </w:rPr>
        <w:t> </w:t>
      </w:r>
      <w:r>
        <w:rPr>
          <w:sz w:val="24"/>
        </w:rPr>
        <w:t>domiciliàries.</w:t>
      </w:r>
    </w:p>
    <w:p>
      <w:pPr>
        <w:pStyle w:val="ListParagraph"/>
        <w:numPr>
          <w:ilvl w:val="0"/>
          <w:numId w:val="1"/>
        </w:numPr>
        <w:tabs>
          <w:tab w:pos="930" w:val="left" w:leader="none"/>
        </w:tabs>
        <w:spacing w:line="240" w:lineRule="auto" w:before="65" w:after="0"/>
        <w:ind w:left="930" w:right="0" w:hanging="349"/>
        <w:jc w:val="left"/>
        <w:rPr>
          <w:sz w:val="24"/>
        </w:rPr>
      </w:pPr>
      <w:r>
        <w:rPr>
          <w:sz w:val="24"/>
        </w:rPr>
        <w:t>Impost de Vehicles de Tracció</w:t>
      </w:r>
      <w:r>
        <w:rPr>
          <w:spacing w:val="-5"/>
          <w:sz w:val="24"/>
        </w:rPr>
        <w:t> </w:t>
      </w:r>
      <w:r>
        <w:rPr>
          <w:sz w:val="24"/>
        </w:rPr>
        <w:t>Mecànica.</w:t>
      </w:r>
    </w:p>
    <w:p>
      <w:pPr>
        <w:pStyle w:val="ListParagraph"/>
        <w:numPr>
          <w:ilvl w:val="0"/>
          <w:numId w:val="1"/>
        </w:numPr>
        <w:tabs>
          <w:tab w:pos="930" w:val="left" w:leader="none"/>
        </w:tabs>
        <w:spacing w:line="240" w:lineRule="auto" w:before="62" w:after="0"/>
        <w:ind w:left="930" w:right="0" w:hanging="349"/>
        <w:jc w:val="left"/>
        <w:rPr>
          <w:sz w:val="24"/>
        </w:rPr>
      </w:pPr>
      <w:r>
        <w:rPr>
          <w:sz w:val="24"/>
        </w:rPr>
        <w:t>Impost sobre Construccions, Instal·lacions i Obres (Annex art. 1, OF</w:t>
      </w:r>
      <w:r>
        <w:rPr>
          <w:spacing w:val="-12"/>
          <w:sz w:val="24"/>
        </w:rPr>
        <w:t> </w:t>
      </w:r>
      <w:r>
        <w:rPr>
          <w:sz w:val="24"/>
        </w:rPr>
        <w:t>nº4)</w:t>
      </w:r>
    </w:p>
    <w:p>
      <w:pPr>
        <w:pStyle w:val="ListParagraph"/>
        <w:numPr>
          <w:ilvl w:val="0"/>
          <w:numId w:val="1"/>
        </w:numPr>
        <w:tabs>
          <w:tab w:pos="930" w:val="left" w:leader="none"/>
        </w:tabs>
        <w:spacing w:line="240" w:lineRule="auto" w:before="65" w:after="0"/>
        <w:ind w:left="930" w:right="0" w:hanging="349"/>
        <w:jc w:val="left"/>
        <w:rPr>
          <w:sz w:val="24"/>
        </w:rPr>
      </w:pPr>
      <w:r>
        <w:rPr>
          <w:sz w:val="24"/>
        </w:rPr>
        <w:t>Taxa per la Prestació de Serveis Urbanístics, conceptes I, II i</w:t>
      </w:r>
      <w:r>
        <w:rPr>
          <w:spacing w:val="-5"/>
          <w:sz w:val="24"/>
        </w:rPr>
        <w:t> </w:t>
      </w:r>
      <w:r>
        <w:rPr>
          <w:sz w:val="24"/>
        </w:rPr>
        <w:t>XVI</w:t>
      </w:r>
    </w:p>
    <w:p>
      <w:pPr>
        <w:pStyle w:val="ListParagraph"/>
        <w:numPr>
          <w:ilvl w:val="0"/>
          <w:numId w:val="1"/>
        </w:numPr>
        <w:tabs>
          <w:tab w:pos="930" w:val="left" w:leader="none"/>
        </w:tabs>
        <w:spacing w:line="240" w:lineRule="auto" w:before="66" w:after="0"/>
        <w:ind w:left="930" w:right="0" w:hanging="349"/>
        <w:jc w:val="left"/>
        <w:rPr>
          <w:sz w:val="24"/>
        </w:rPr>
      </w:pPr>
      <w:r>
        <w:rPr>
          <w:sz w:val="24"/>
        </w:rPr>
        <w:t>Preu públic per assistència a l’escola</w:t>
      </w:r>
      <w:r>
        <w:rPr>
          <w:spacing w:val="1"/>
          <w:sz w:val="24"/>
        </w:rPr>
        <w:t> </w:t>
      </w:r>
      <w:r>
        <w:rPr>
          <w:sz w:val="24"/>
        </w:rPr>
        <w:t>bressol.</w:t>
      </w:r>
    </w:p>
    <w:p>
      <w:pPr>
        <w:pStyle w:val="ListParagraph"/>
        <w:numPr>
          <w:ilvl w:val="0"/>
          <w:numId w:val="1"/>
        </w:numPr>
        <w:tabs>
          <w:tab w:pos="930" w:val="left" w:leader="none"/>
        </w:tabs>
        <w:spacing w:line="276" w:lineRule="auto" w:before="65" w:after="0"/>
        <w:ind w:left="941" w:right="129" w:hanging="360"/>
        <w:jc w:val="left"/>
        <w:rPr>
          <w:sz w:val="24"/>
        </w:rPr>
      </w:pPr>
      <w:r>
        <w:rPr>
          <w:sz w:val="24"/>
        </w:rPr>
        <w:t>Activitats extraescolars tipificades, activitats terapèutiques i/o de conciliació familiar per a infants amb necessitats especials, i casals</w:t>
      </w:r>
      <w:r>
        <w:rPr>
          <w:spacing w:val="-9"/>
          <w:sz w:val="24"/>
        </w:rPr>
        <w:t> </w:t>
      </w:r>
      <w:r>
        <w:rPr>
          <w:sz w:val="24"/>
        </w:rPr>
        <w:t>d’estiu.</w:t>
      </w:r>
    </w:p>
    <w:p>
      <w:pPr>
        <w:pStyle w:val="ListParagraph"/>
        <w:numPr>
          <w:ilvl w:val="0"/>
          <w:numId w:val="1"/>
        </w:numPr>
        <w:tabs>
          <w:tab w:pos="930" w:val="left" w:leader="none"/>
        </w:tabs>
        <w:spacing w:line="240" w:lineRule="auto" w:before="22" w:after="0"/>
        <w:ind w:left="930" w:right="0" w:hanging="349"/>
        <w:jc w:val="left"/>
        <w:rPr>
          <w:sz w:val="24"/>
        </w:rPr>
      </w:pPr>
      <w:r>
        <w:rPr>
          <w:sz w:val="24"/>
        </w:rPr>
        <w:t>Quota per Contribucions</w:t>
      </w:r>
      <w:r>
        <w:rPr>
          <w:spacing w:val="-1"/>
          <w:sz w:val="24"/>
        </w:rPr>
        <w:t> </w:t>
      </w:r>
      <w:r>
        <w:rPr>
          <w:sz w:val="24"/>
        </w:rPr>
        <w:t>especials.</w:t>
      </w:r>
    </w:p>
    <w:p>
      <w:pPr>
        <w:pStyle w:val="ListParagraph"/>
        <w:numPr>
          <w:ilvl w:val="0"/>
          <w:numId w:val="1"/>
        </w:numPr>
        <w:tabs>
          <w:tab w:pos="930" w:val="left" w:leader="none"/>
        </w:tabs>
        <w:spacing w:line="295" w:lineRule="auto" w:before="65" w:after="0"/>
        <w:ind w:left="581" w:right="128" w:firstLine="0"/>
        <w:jc w:val="left"/>
        <w:rPr>
          <w:sz w:val="24"/>
        </w:rPr>
      </w:pPr>
      <w:r>
        <w:rPr>
          <w:sz w:val="24"/>
        </w:rPr>
        <w:t>Taxa per Conservació i neteja de les instal·lacions del Cementiri Municipal. 11.Taxa </w:t>
      </w:r>
      <w:r>
        <w:rPr>
          <w:spacing w:val="26"/>
          <w:sz w:val="24"/>
        </w:rPr>
        <w:t> </w:t>
      </w:r>
      <w:r>
        <w:rPr>
          <w:sz w:val="24"/>
        </w:rPr>
        <w:t>per </w:t>
      </w:r>
      <w:r>
        <w:rPr>
          <w:spacing w:val="30"/>
          <w:sz w:val="24"/>
        </w:rPr>
        <w:t> </w:t>
      </w:r>
      <w:r>
        <w:rPr>
          <w:sz w:val="24"/>
        </w:rPr>
        <w:t>la </w:t>
      </w:r>
      <w:r>
        <w:rPr>
          <w:spacing w:val="27"/>
          <w:sz w:val="24"/>
        </w:rPr>
        <w:t> </w:t>
      </w:r>
      <w:r>
        <w:rPr>
          <w:sz w:val="24"/>
        </w:rPr>
        <w:t>segona </w:t>
      </w:r>
      <w:r>
        <w:rPr>
          <w:spacing w:val="27"/>
          <w:sz w:val="24"/>
        </w:rPr>
        <w:t> </w:t>
      </w:r>
      <w:r>
        <w:rPr>
          <w:sz w:val="24"/>
        </w:rPr>
        <w:t>i </w:t>
      </w:r>
      <w:r>
        <w:rPr>
          <w:spacing w:val="29"/>
          <w:sz w:val="24"/>
        </w:rPr>
        <w:t> </w:t>
      </w:r>
      <w:r>
        <w:rPr>
          <w:sz w:val="24"/>
        </w:rPr>
        <w:t>posteriors </w:t>
      </w:r>
      <w:r>
        <w:rPr>
          <w:spacing w:val="26"/>
          <w:sz w:val="24"/>
        </w:rPr>
        <w:t> </w:t>
      </w:r>
      <w:r>
        <w:rPr>
          <w:sz w:val="24"/>
        </w:rPr>
        <w:t>assignacions </w:t>
      </w:r>
      <w:r>
        <w:rPr>
          <w:spacing w:val="28"/>
          <w:sz w:val="24"/>
        </w:rPr>
        <w:t> </w:t>
      </w:r>
      <w:r>
        <w:rPr>
          <w:sz w:val="24"/>
        </w:rPr>
        <w:t>de </w:t>
      </w:r>
      <w:r>
        <w:rPr>
          <w:spacing w:val="31"/>
          <w:sz w:val="24"/>
        </w:rPr>
        <w:t> </w:t>
      </w:r>
      <w:r>
        <w:rPr>
          <w:sz w:val="24"/>
        </w:rPr>
        <w:t>sepultures, </w:t>
      </w:r>
      <w:r>
        <w:rPr>
          <w:spacing w:val="27"/>
          <w:sz w:val="24"/>
        </w:rPr>
        <w:t> </w:t>
      </w:r>
      <w:r>
        <w:rPr>
          <w:sz w:val="24"/>
        </w:rPr>
        <w:t>nínxols </w:t>
      </w:r>
      <w:r>
        <w:rPr>
          <w:spacing w:val="28"/>
          <w:sz w:val="24"/>
        </w:rPr>
        <w:t> </w:t>
      </w:r>
      <w:r>
        <w:rPr>
          <w:sz w:val="24"/>
        </w:rPr>
        <w:t>i</w:t>
      </w:r>
    </w:p>
    <w:p>
      <w:pPr>
        <w:pStyle w:val="BodyText"/>
        <w:spacing w:line="255" w:lineRule="exact"/>
        <w:ind w:left="941"/>
      </w:pPr>
      <w:r>
        <w:rPr/>
        <w:t>columbaris,</w:t>
      </w:r>
      <w:r>
        <w:rPr>
          <w:spacing w:val="49"/>
        </w:rPr>
        <w:t> </w:t>
      </w:r>
      <w:r>
        <w:rPr/>
        <w:t>traspassos</w:t>
      </w:r>
      <w:r>
        <w:rPr>
          <w:spacing w:val="49"/>
        </w:rPr>
        <w:t> </w:t>
      </w:r>
      <w:r>
        <w:rPr/>
        <w:t>de</w:t>
      </w:r>
      <w:r>
        <w:rPr>
          <w:spacing w:val="50"/>
        </w:rPr>
        <w:t> </w:t>
      </w:r>
      <w:r>
        <w:rPr/>
        <w:t>propietat</w:t>
      </w:r>
      <w:r>
        <w:rPr>
          <w:spacing w:val="50"/>
        </w:rPr>
        <w:t> </w:t>
      </w:r>
      <w:r>
        <w:rPr/>
        <w:t>i</w:t>
      </w:r>
      <w:r>
        <w:rPr>
          <w:spacing w:val="49"/>
        </w:rPr>
        <w:t> </w:t>
      </w:r>
      <w:r>
        <w:rPr/>
        <w:t>per</w:t>
      </w:r>
      <w:r>
        <w:rPr>
          <w:spacing w:val="48"/>
        </w:rPr>
        <w:t> </w:t>
      </w:r>
      <w:r>
        <w:rPr/>
        <w:t>cada</w:t>
      </w:r>
      <w:r>
        <w:rPr>
          <w:spacing w:val="49"/>
        </w:rPr>
        <w:t> </w:t>
      </w:r>
      <w:r>
        <w:rPr/>
        <w:t>duplicat</w:t>
      </w:r>
      <w:r>
        <w:rPr>
          <w:spacing w:val="50"/>
        </w:rPr>
        <w:t> </w:t>
      </w:r>
      <w:r>
        <w:rPr/>
        <w:t>de</w:t>
      </w:r>
      <w:r>
        <w:rPr>
          <w:spacing w:val="49"/>
        </w:rPr>
        <w:t> </w:t>
      </w:r>
      <w:r>
        <w:rPr/>
        <w:t>l’escriptura</w:t>
      </w:r>
      <w:r>
        <w:rPr>
          <w:spacing w:val="50"/>
        </w:rPr>
        <w:t> </w:t>
      </w:r>
      <w:r>
        <w:rPr/>
        <w:t>de</w:t>
      </w:r>
    </w:p>
    <w:p>
      <w:pPr>
        <w:pStyle w:val="BodyText"/>
        <w:spacing w:before="41"/>
        <w:ind w:left="941"/>
      </w:pPr>
      <w:r>
        <w:rPr/>
        <w:t>concessió de nínxol.</w:t>
      </w:r>
    </w:p>
    <w:p>
      <w:pPr>
        <w:pStyle w:val="ListParagraph"/>
        <w:numPr>
          <w:ilvl w:val="0"/>
          <w:numId w:val="2"/>
        </w:numPr>
        <w:tabs>
          <w:tab w:pos="930" w:val="left" w:leader="none"/>
        </w:tabs>
        <w:spacing w:line="276" w:lineRule="auto" w:before="65" w:after="0"/>
        <w:ind w:left="930" w:right="126" w:hanging="360"/>
        <w:jc w:val="left"/>
        <w:rPr>
          <w:sz w:val="24"/>
        </w:rPr>
      </w:pPr>
      <w:r>
        <w:rPr>
          <w:sz w:val="24"/>
        </w:rPr>
        <w:t>Preu Públic per la Utilització de les Instal·lacions Esportives Municipals. Art. 6 -Tarifa Tercera: Centre Esportiu del Delta, punts, 1, 2, 14 i</w:t>
      </w:r>
      <w:r>
        <w:rPr>
          <w:spacing w:val="-9"/>
          <w:sz w:val="24"/>
        </w:rPr>
        <w:t> </w:t>
      </w:r>
      <w:r>
        <w:rPr>
          <w:sz w:val="24"/>
        </w:rPr>
        <w:t>15.</w:t>
      </w:r>
    </w:p>
    <w:p>
      <w:pPr>
        <w:pStyle w:val="ListParagraph"/>
        <w:numPr>
          <w:ilvl w:val="0"/>
          <w:numId w:val="2"/>
        </w:numPr>
        <w:tabs>
          <w:tab w:pos="930" w:val="left" w:leader="none"/>
        </w:tabs>
        <w:spacing w:line="240" w:lineRule="auto" w:before="23" w:after="0"/>
        <w:ind w:left="930" w:right="0" w:hanging="360"/>
        <w:jc w:val="left"/>
        <w:rPr>
          <w:sz w:val="24"/>
        </w:rPr>
      </w:pPr>
      <w:r>
        <w:rPr>
          <w:sz w:val="24"/>
        </w:rPr>
        <w:t>Execucions</w:t>
      </w:r>
      <w:r>
        <w:rPr>
          <w:spacing w:val="-1"/>
          <w:sz w:val="24"/>
        </w:rPr>
        <w:t> </w:t>
      </w:r>
      <w:r>
        <w:rPr>
          <w:sz w:val="24"/>
        </w:rPr>
        <w:t>subsidiàries.</w:t>
      </w:r>
    </w:p>
    <w:p>
      <w:pPr>
        <w:pStyle w:val="ListParagraph"/>
        <w:numPr>
          <w:ilvl w:val="0"/>
          <w:numId w:val="2"/>
        </w:numPr>
        <w:tabs>
          <w:tab w:pos="930" w:val="left" w:leader="none"/>
        </w:tabs>
        <w:spacing w:line="240" w:lineRule="auto" w:before="65" w:after="0"/>
        <w:ind w:left="930" w:right="0" w:hanging="360"/>
        <w:jc w:val="left"/>
        <w:rPr>
          <w:sz w:val="24"/>
        </w:rPr>
      </w:pPr>
      <w:r>
        <w:rPr>
          <w:sz w:val="24"/>
        </w:rPr>
        <w:t>Quotes</w:t>
      </w:r>
      <w:r>
        <w:rPr>
          <w:spacing w:val="-1"/>
          <w:sz w:val="24"/>
        </w:rPr>
        <w:t> </w:t>
      </w:r>
      <w:r>
        <w:rPr>
          <w:sz w:val="24"/>
        </w:rPr>
        <w:t>d’urbanització.</w:t>
      </w:r>
    </w:p>
    <w:p>
      <w:pPr>
        <w:spacing w:after="0" w:line="240" w:lineRule="auto"/>
        <w:jc w:val="left"/>
        <w:rPr>
          <w:sz w:val="24"/>
        </w:rPr>
        <w:sectPr>
          <w:headerReference w:type="default" r:id="rId5"/>
          <w:footerReference w:type="default" r:id="rId6"/>
          <w:type w:val="continuous"/>
          <w:pgSz w:w="11910" w:h="16840"/>
          <w:pgMar w:header="752" w:footer="1022" w:top="2860" w:bottom="1220" w:left="1480" w:right="1140"/>
        </w:sectPr>
      </w:pPr>
    </w:p>
    <w:p>
      <w:pPr>
        <w:pStyle w:val="BodyText"/>
        <w:rPr>
          <w:sz w:val="20"/>
        </w:rPr>
      </w:pPr>
    </w:p>
    <w:p>
      <w:pPr>
        <w:pStyle w:val="BodyText"/>
        <w:rPr>
          <w:sz w:val="20"/>
        </w:rPr>
      </w:pPr>
    </w:p>
    <w:p>
      <w:pPr>
        <w:pStyle w:val="BodyText"/>
        <w:spacing w:before="7"/>
        <w:rPr>
          <w:sz w:val="25"/>
        </w:rPr>
      </w:pPr>
    </w:p>
    <w:p>
      <w:pPr>
        <w:pStyle w:val="Heading1"/>
        <w:spacing w:before="92"/>
      </w:pPr>
      <w:r>
        <w:rPr/>
        <w:t>3.- Requisits de les persones beneficiàries</w:t>
      </w:r>
    </w:p>
    <w:p>
      <w:pPr>
        <w:pStyle w:val="BodyText"/>
        <w:spacing w:before="4"/>
        <w:rPr>
          <w:b/>
          <w:sz w:val="31"/>
        </w:rPr>
      </w:pPr>
    </w:p>
    <w:p>
      <w:pPr>
        <w:pStyle w:val="BodyText"/>
        <w:ind w:left="222"/>
        <w:jc w:val="both"/>
      </w:pPr>
      <w:r>
        <w:rPr/>
        <w:t>Podran gaudir d’aquest ajut econòmic les persones físiques que:</w:t>
      </w:r>
    </w:p>
    <w:p>
      <w:pPr>
        <w:pStyle w:val="ListParagraph"/>
        <w:numPr>
          <w:ilvl w:val="0"/>
          <w:numId w:val="3"/>
        </w:numPr>
        <w:tabs>
          <w:tab w:pos="930" w:val="left" w:leader="none"/>
        </w:tabs>
        <w:spacing w:line="271" w:lineRule="auto" w:before="42" w:after="0"/>
        <w:ind w:left="941" w:right="132" w:hanging="360"/>
        <w:jc w:val="both"/>
        <w:rPr>
          <w:sz w:val="24"/>
        </w:rPr>
      </w:pPr>
      <w:r>
        <w:rPr>
          <w:sz w:val="24"/>
        </w:rPr>
        <w:t>Estiguin empadronades a Deltebre, com a mínim des dels sis mesos anteriors a la</w:t>
      </w:r>
      <w:r>
        <w:rPr>
          <w:spacing w:val="-1"/>
          <w:sz w:val="24"/>
        </w:rPr>
        <w:t> </w:t>
      </w:r>
      <w:r>
        <w:rPr>
          <w:sz w:val="24"/>
        </w:rPr>
        <w:t>sol·licitud.</w:t>
      </w:r>
    </w:p>
    <w:p>
      <w:pPr>
        <w:pStyle w:val="ListParagraph"/>
        <w:numPr>
          <w:ilvl w:val="0"/>
          <w:numId w:val="3"/>
        </w:numPr>
        <w:tabs>
          <w:tab w:pos="930" w:val="left" w:leader="none"/>
        </w:tabs>
        <w:spacing w:line="240" w:lineRule="auto" w:before="6" w:after="0"/>
        <w:ind w:left="930" w:right="0" w:hanging="349"/>
        <w:jc w:val="both"/>
        <w:rPr>
          <w:sz w:val="24"/>
        </w:rPr>
      </w:pPr>
      <w:r>
        <w:rPr>
          <w:sz w:val="24"/>
        </w:rPr>
        <w:t>Acreditin tenir una unitat familiar amb necessitats econòmiques i/o</w:t>
      </w:r>
      <w:r>
        <w:rPr>
          <w:spacing w:val="-19"/>
          <w:sz w:val="24"/>
        </w:rPr>
        <w:t> </w:t>
      </w:r>
      <w:r>
        <w:rPr>
          <w:sz w:val="24"/>
        </w:rPr>
        <w:t>socials.</w:t>
      </w:r>
    </w:p>
    <w:p>
      <w:pPr>
        <w:pStyle w:val="ListParagraph"/>
        <w:numPr>
          <w:ilvl w:val="0"/>
          <w:numId w:val="3"/>
        </w:numPr>
        <w:tabs>
          <w:tab w:pos="930" w:val="left" w:leader="none"/>
        </w:tabs>
        <w:spacing w:line="273" w:lineRule="auto" w:before="40" w:after="0"/>
        <w:ind w:left="941" w:right="128" w:hanging="360"/>
        <w:jc w:val="both"/>
        <w:rPr>
          <w:sz w:val="24"/>
        </w:rPr>
      </w:pPr>
      <w:r>
        <w:rPr>
          <w:sz w:val="24"/>
        </w:rPr>
        <w:t>Es trobin al corrent de compliment de les seves obligacions amb l’Administració Tributària i de la Seguretat Social al moment de la valoració, en virtut de l’article 13.2.3 de la Llei General de</w:t>
      </w:r>
      <w:r>
        <w:rPr>
          <w:spacing w:val="-16"/>
          <w:sz w:val="24"/>
        </w:rPr>
        <w:t> </w:t>
      </w:r>
      <w:r>
        <w:rPr>
          <w:sz w:val="24"/>
        </w:rPr>
        <w:t>Subvencions.</w:t>
      </w:r>
    </w:p>
    <w:p>
      <w:pPr>
        <w:pStyle w:val="ListParagraph"/>
        <w:numPr>
          <w:ilvl w:val="0"/>
          <w:numId w:val="3"/>
        </w:numPr>
        <w:tabs>
          <w:tab w:pos="930" w:val="left" w:leader="none"/>
        </w:tabs>
        <w:spacing w:line="240" w:lineRule="auto" w:before="5" w:after="0"/>
        <w:ind w:left="930" w:right="0" w:hanging="349"/>
        <w:jc w:val="both"/>
        <w:rPr>
          <w:sz w:val="24"/>
        </w:rPr>
      </w:pPr>
      <w:r>
        <w:rPr>
          <w:sz w:val="24"/>
        </w:rPr>
        <w:t>Presentin la documentació prevista a l’apartat cinquè d’aquestes</w:t>
      </w:r>
      <w:r>
        <w:rPr>
          <w:spacing w:val="-8"/>
          <w:sz w:val="24"/>
        </w:rPr>
        <w:t> </w:t>
      </w:r>
      <w:r>
        <w:rPr>
          <w:sz w:val="24"/>
        </w:rPr>
        <w:t>Bases.</w:t>
      </w:r>
    </w:p>
    <w:p>
      <w:pPr>
        <w:pStyle w:val="ListParagraph"/>
        <w:numPr>
          <w:ilvl w:val="0"/>
          <w:numId w:val="3"/>
        </w:numPr>
        <w:tabs>
          <w:tab w:pos="930" w:val="left" w:leader="none"/>
        </w:tabs>
        <w:spacing w:line="240" w:lineRule="auto" w:before="37" w:after="0"/>
        <w:ind w:left="930" w:right="0" w:hanging="349"/>
        <w:jc w:val="both"/>
        <w:rPr>
          <w:sz w:val="24"/>
        </w:rPr>
      </w:pPr>
      <w:r>
        <w:rPr>
          <w:sz w:val="24"/>
        </w:rPr>
        <w:t>Es trobin en alguna d’aquestes</w:t>
      </w:r>
      <w:r>
        <w:rPr>
          <w:spacing w:val="-7"/>
          <w:sz w:val="24"/>
        </w:rPr>
        <w:t> </w:t>
      </w:r>
      <w:r>
        <w:rPr>
          <w:sz w:val="24"/>
        </w:rPr>
        <w:t>situacions:</w:t>
      </w:r>
    </w:p>
    <w:p>
      <w:pPr>
        <w:pStyle w:val="ListParagraph"/>
        <w:numPr>
          <w:ilvl w:val="1"/>
          <w:numId w:val="3"/>
        </w:numPr>
        <w:tabs>
          <w:tab w:pos="1638" w:val="left" w:leader="none"/>
        </w:tabs>
        <w:spacing w:line="268" w:lineRule="auto" w:before="39" w:after="0"/>
        <w:ind w:left="1662" w:right="131" w:hanging="360"/>
        <w:jc w:val="both"/>
        <w:rPr>
          <w:sz w:val="24"/>
        </w:rPr>
      </w:pPr>
      <w:r>
        <w:rPr>
          <w:sz w:val="24"/>
        </w:rPr>
        <w:t>Tinguin la condició de titular o d’ús de fruit de les figures tributàries previstes en la base primera</w:t>
      </w:r>
      <w:r>
        <w:rPr>
          <w:sz w:val="24"/>
          <w:u w:val="single"/>
        </w:rPr>
        <w:t>, o que acreditin pagar-les pels béns que utilitzen</w:t>
      </w:r>
      <w:r>
        <w:rPr>
          <w:sz w:val="24"/>
        </w:rPr>
        <w:t>, en el cas de les modalitats d’ajut que es valorin en funció de l’import</w:t>
      </w:r>
      <w:r>
        <w:rPr>
          <w:spacing w:val="-1"/>
          <w:sz w:val="24"/>
        </w:rPr>
        <w:t> </w:t>
      </w:r>
      <w:r>
        <w:rPr>
          <w:sz w:val="24"/>
        </w:rPr>
        <w:t>d’aquests.</w:t>
      </w:r>
    </w:p>
    <w:p>
      <w:pPr>
        <w:pStyle w:val="ListParagraph"/>
        <w:numPr>
          <w:ilvl w:val="1"/>
          <w:numId w:val="3"/>
        </w:numPr>
        <w:tabs>
          <w:tab w:pos="1638" w:val="left" w:leader="none"/>
        </w:tabs>
        <w:spacing w:line="266" w:lineRule="auto" w:before="13" w:after="0"/>
        <w:ind w:left="1662" w:right="129" w:hanging="360"/>
        <w:jc w:val="both"/>
        <w:rPr>
          <w:sz w:val="24"/>
        </w:rPr>
      </w:pPr>
      <w:r>
        <w:rPr>
          <w:sz w:val="24"/>
        </w:rPr>
        <w:t>Tinguin menors a càrrec (o majors d’edat amb dependència) amb dificultats o necessitats especials que requereixin teràpia o atenció especialitzada en el cas dels ajuts de la modalitat</w:t>
      </w:r>
      <w:r>
        <w:rPr>
          <w:spacing w:val="-8"/>
          <w:sz w:val="24"/>
        </w:rPr>
        <w:t> </w:t>
      </w:r>
      <w:r>
        <w:rPr>
          <w:sz w:val="24"/>
        </w:rPr>
        <w:t>8.2</w:t>
      </w:r>
    </w:p>
    <w:p>
      <w:pPr>
        <w:pStyle w:val="ListParagraph"/>
        <w:numPr>
          <w:ilvl w:val="1"/>
          <w:numId w:val="3"/>
        </w:numPr>
        <w:tabs>
          <w:tab w:pos="1638" w:val="left" w:leader="none"/>
        </w:tabs>
        <w:spacing w:line="266" w:lineRule="auto" w:before="12" w:after="0"/>
        <w:ind w:left="1662" w:right="129" w:hanging="360"/>
        <w:jc w:val="both"/>
        <w:rPr>
          <w:sz w:val="24"/>
        </w:rPr>
      </w:pPr>
      <w:r>
        <w:rPr>
          <w:sz w:val="24"/>
        </w:rPr>
        <w:t>Tinguin menors a càrrec matriculats a l’Escola Bressol o a alguna activitat extraescolar o de conciliació familiar, segons el que disposa la base 3, modalitat</w:t>
      </w:r>
      <w:r>
        <w:rPr>
          <w:spacing w:val="-3"/>
          <w:sz w:val="24"/>
        </w:rPr>
        <w:t> </w:t>
      </w:r>
      <w:r>
        <w:rPr>
          <w:sz w:val="24"/>
        </w:rPr>
        <w:t>8.</w:t>
      </w:r>
    </w:p>
    <w:p>
      <w:pPr>
        <w:pStyle w:val="BodyText"/>
        <w:spacing w:before="13"/>
        <w:ind w:left="222"/>
      </w:pPr>
      <w:r>
        <w:rPr>
          <w:w w:val="100"/>
        </w:rPr>
        <w:t>.</w:t>
      </w:r>
    </w:p>
    <w:p>
      <w:pPr>
        <w:pStyle w:val="BodyText"/>
        <w:spacing w:before="1"/>
        <w:rPr>
          <w:sz w:val="31"/>
        </w:rPr>
      </w:pPr>
    </w:p>
    <w:p>
      <w:pPr>
        <w:pStyle w:val="Heading1"/>
        <w:jc w:val="left"/>
      </w:pPr>
      <w:r>
        <w:rPr/>
        <w:t>4.- Criteris de valoració i concessió dels ajuts</w:t>
      </w:r>
    </w:p>
    <w:p>
      <w:pPr>
        <w:pStyle w:val="BodyText"/>
        <w:rPr>
          <w:b/>
          <w:sz w:val="26"/>
        </w:rPr>
      </w:pPr>
    </w:p>
    <w:p>
      <w:pPr>
        <w:pStyle w:val="BodyText"/>
        <w:spacing w:before="8"/>
        <w:rPr>
          <w:b/>
          <w:sz w:val="22"/>
        </w:rPr>
      </w:pPr>
    </w:p>
    <w:p>
      <w:pPr>
        <w:pStyle w:val="BodyText"/>
        <w:spacing w:line="276" w:lineRule="auto"/>
        <w:ind w:left="222" w:right="126"/>
        <w:jc w:val="both"/>
      </w:pPr>
      <w:r>
        <w:rPr/>
        <w:t>Els criteris generals bàsics que cal tenir en compte per valorar la situació d’urgència social per atorgar ajuts econòmics a les persones individuals, famílies i/o unitats de convivència són els següents:</w:t>
      </w:r>
    </w:p>
    <w:p>
      <w:pPr>
        <w:pStyle w:val="ListParagraph"/>
        <w:numPr>
          <w:ilvl w:val="0"/>
          <w:numId w:val="3"/>
        </w:numPr>
        <w:tabs>
          <w:tab w:pos="929" w:val="left" w:leader="none"/>
          <w:tab w:pos="930" w:val="left" w:leader="none"/>
        </w:tabs>
        <w:spacing w:line="240" w:lineRule="auto" w:before="200" w:after="0"/>
        <w:ind w:left="930" w:right="0" w:hanging="349"/>
        <w:jc w:val="left"/>
        <w:rPr>
          <w:sz w:val="24"/>
        </w:rPr>
      </w:pPr>
      <w:r>
        <w:rPr>
          <w:sz w:val="24"/>
        </w:rPr>
        <w:t>Que hi hagi una situació de necessitat en el sentit econòmic i/o</w:t>
      </w:r>
      <w:r>
        <w:rPr>
          <w:spacing w:val="-17"/>
          <w:sz w:val="24"/>
        </w:rPr>
        <w:t> </w:t>
      </w:r>
      <w:r>
        <w:rPr>
          <w:sz w:val="24"/>
        </w:rPr>
        <w:t>social.</w:t>
      </w:r>
    </w:p>
    <w:p>
      <w:pPr>
        <w:pStyle w:val="ListParagraph"/>
        <w:numPr>
          <w:ilvl w:val="0"/>
          <w:numId w:val="3"/>
        </w:numPr>
        <w:tabs>
          <w:tab w:pos="929" w:val="left" w:leader="none"/>
          <w:tab w:pos="930" w:val="left" w:leader="none"/>
        </w:tabs>
        <w:spacing w:line="240" w:lineRule="auto" w:before="40" w:after="0"/>
        <w:ind w:left="930" w:right="0" w:hanging="349"/>
        <w:jc w:val="left"/>
        <w:rPr>
          <w:sz w:val="24"/>
        </w:rPr>
      </w:pPr>
      <w:r>
        <w:rPr>
          <w:sz w:val="24"/>
        </w:rPr>
        <w:t>Que la necessitat s’ajusti a la tipologia dels ajuts</w:t>
      </w:r>
      <w:r>
        <w:rPr>
          <w:spacing w:val="-5"/>
          <w:sz w:val="24"/>
        </w:rPr>
        <w:t> </w:t>
      </w:r>
      <w:r>
        <w:rPr>
          <w:sz w:val="24"/>
        </w:rPr>
        <w:t>establerts.</w:t>
      </w:r>
    </w:p>
    <w:p>
      <w:pPr>
        <w:pStyle w:val="ListParagraph"/>
        <w:numPr>
          <w:ilvl w:val="0"/>
          <w:numId w:val="3"/>
        </w:numPr>
        <w:tabs>
          <w:tab w:pos="929" w:val="left" w:leader="none"/>
          <w:tab w:pos="930" w:val="left" w:leader="none"/>
        </w:tabs>
        <w:spacing w:line="271" w:lineRule="auto" w:before="40" w:after="0"/>
        <w:ind w:left="941" w:right="139" w:hanging="360"/>
        <w:jc w:val="left"/>
        <w:rPr>
          <w:sz w:val="24"/>
        </w:rPr>
      </w:pPr>
      <w:r>
        <w:rPr>
          <w:sz w:val="24"/>
        </w:rPr>
        <w:t>Que el valor cadastral de l’habitatge no superi els 90.000,00 €, exceptuant el supòsit</w:t>
      </w:r>
      <w:r>
        <w:rPr>
          <w:spacing w:val="-2"/>
          <w:sz w:val="24"/>
        </w:rPr>
        <w:t> </w:t>
      </w:r>
      <w:r>
        <w:rPr>
          <w:sz w:val="24"/>
        </w:rPr>
        <w:t>2.</w:t>
      </w:r>
    </w:p>
    <w:p>
      <w:pPr>
        <w:pStyle w:val="BodyText"/>
        <w:spacing w:before="3"/>
        <w:rPr>
          <w:sz w:val="28"/>
        </w:rPr>
      </w:pPr>
    </w:p>
    <w:p>
      <w:pPr>
        <w:pStyle w:val="BodyText"/>
        <w:spacing w:line="276" w:lineRule="auto"/>
        <w:ind w:left="222" w:right="128"/>
        <w:jc w:val="both"/>
      </w:pPr>
      <w:r>
        <w:rPr/>
        <w:t>Per establir la situació econòmica de la família o la unitat de convivència*, s’establirà el nivell d’ingressos percebuts pels membres de la llar durant els</w:t>
      </w:r>
      <w:r>
        <w:rPr>
          <w:spacing w:val="10"/>
        </w:rPr>
        <w:t> </w:t>
      </w:r>
      <w:r>
        <w:rPr/>
        <w:t>tres</w:t>
      </w:r>
    </w:p>
    <w:p>
      <w:pPr>
        <w:spacing w:after="0" w:line="276" w:lineRule="auto"/>
        <w:jc w:val="both"/>
        <w:sectPr>
          <w:pgSz w:w="11910" w:h="16840"/>
          <w:pgMar w:header="752" w:footer="1022" w:top="2860" w:bottom="1220" w:left="1480" w:right="1140"/>
        </w:sectPr>
      </w:pPr>
    </w:p>
    <w:p>
      <w:pPr>
        <w:pStyle w:val="BodyText"/>
        <w:rPr>
          <w:sz w:val="20"/>
        </w:rPr>
      </w:pPr>
    </w:p>
    <w:p>
      <w:pPr>
        <w:pStyle w:val="BodyText"/>
        <w:spacing w:before="1"/>
        <w:rPr>
          <w:sz w:val="18"/>
        </w:rPr>
      </w:pPr>
    </w:p>
    <w:p>
      <w:pPr>
        <w:pStyle w:val="BodyText"/>
        <w:spacing w:line="276" w:lineRule="auto" w:before="92"/>
        <w:ind w:left="222" w:right="128"/>
        <w:jc w:val="both"/>
      </w:pPr>
      <w:r>
        <w:rPr/>
        <w:t>mesos anteriors a la data de sol·licitud, i es minorarà l’import que s’acrediti satisfer pel lloguer o crèdit hipotecari de l’habitatge habitual, fins a un màxim mensual equivalent a l’IRSC x 0,7.</w:t>
      </w:r>
    </w:p>
    <w:p>
      <w:pPr>
        <w:pStyle w:val="BodyText"/>
        <w:spacing w:before="8"/>
        <w:rPr>
          <w:sz w:val="27"/>
        </w:rPr>
      </w:pPr>
    </w:p>
    <w:p>
      <w:pPr>
        <w:pStyle w:val="BodyText"/>
        <w:ind w:left="222"/>
      </w:pPr>
      <w:r>
        <w:rPr/>
        <w:t>A efectes de valoració d’aquest ajut, s’entén per ingressos el següent:</w:t>
      </w:r>
    </w:p>
    <w:p>
      <w:pPr>
        <w:pStyle w:val="BodyText"/>
        <w:spacing w:before="1"/>
        <w:rPr>
          <w:sz w:val="31"/>
        </w:rPr>
      </w:pPr>
    </w:p>
    <w:p>
      <w:pPr>
        <w:pStyle w:val="ListParagraph"/>
        <w:numPr>
          <w:ilvl w:val="0"/>
          <w:numId w:val="3"/>
        </w:numPr>
        <w:tabs>
          <w:tab w:pos="929" w:val="left" w:leader="none"/>
          <w:tab w:pos="930" w:val="left" w:leader="none"/>
        </w:tabs>
        <w:spacing w:line="240" w:lineRule="auto" w:before="1" w:after="0"/>
        <w:ind w:left="930" w:right="0" w:hanging="349"/>
        <w:jc w:val="left"/>
        <w:rPr>
          <w:sz w:val="24"/>
        </w:rPr>
      </w:pPr>
      <w:r>
        <w:rPr>
          <w:sz w:val="24"/>
        </w:rPr>
        <w:t>Ingressos del treball per compte</w:t>
      </w:r>
      <w:r>
        <w:rPr>
          <w:spacing w:val="-11"/>
          <w:sz w:val="24"/>
        </w:rPr>
        <w:t> </w:t>
      </w:r>
      <w:r>
        <w:rPr>
          <w:sz w:val="24"/>
        </w:rPr>
        <w:t>aliè</w:t>
      </w:r>
    </w:p>
    <w:p>
      <w:pPr>
        <w:pStyle w:val="ListParagraph"/>
        <w:numPr>
          <w:ilvl w:val="0"/>
          <w:numId w:val="3"/>
        </w:numPr>
        <w:tabs>
          <w:tab w:pos="929" w:val="left" w:leader="none"/>
          <w:tab w:pos="930" w:val="left" w:leader="none"/>
        </w:tabs>
        <w:spacing w:line="240" w:lineRule="auto" w:before="39" w:after="0"/>
        <w:ind w:left="930" w:right="0" w:hanging="349"/>
        <w:jc w:val="left"/>
        <w:rPr>
          <w:sz w:val="24"/>
        </w:rPr>
      </w:pPr>
      <w:r>
        <w:rPr>
          <w:sz w:val="24"/>
        </w:rPr>
        <w:t>Rendiments del treball per compte</w:t>
      </w:r>
      <w:r>
        <w:rPr>
          <w:spacing w:val="-7"/>
          <w:sz w:val="24"/>
        </w:rPr>
        <w:t> </w:t>
      </w:r>
      <w:r>
        <w:rPr>
          <w:sz w:val="24"/>
        </w:rPr>
        <w:t>propi</w:t>
      </w:r>
    </w:p>
    <w:p>
      <w:pPr>
        <w:pStyle w:val="ListParagraph"/>
        <w:numPr>
          <w:ilvl w:val="0"/>
          <w:numId w:val="3"/>
        </w:numPr>
        <w:tabs>
          <w:tab w:pos="929" w:val="left" w:leader="none"/>
          <w:tab w:pos="930" w:val="left" w:leader="none"/>
        </w:tabs>
        <w:spacing w:line="240" w:lineRule="auto" w:before="40" w:after="0"/>
        <w:ind w:left="930" w:right="0" w:hanging="349"/>
        <w:jc w:val="left"/>
        <w:rPr>
          <w:sz w:val="24"/>
        </w:rPr>
      </w:pPr>
      <w:r>
        <w:rPr>
          <w:sz w:val="24"/>
        </w:rPr>
        <w:t>Pensions, subsidis i prestacions</w:t>
      </w:r>
      <w:r>
        <w:rPr>
          <w:spacing w:val="-1"/>
          <w:sz w:val="24"/>
        </w:rPr>
        <w:t> </w:t>
      </w:r>
      <w:r>
        <w:rPr>
          <w:sz w:val="24"/>
        </w:rPr>
        <w:t>socials</w:t>
      </w:r>
    </w:p>
    <w:p>
      <w:pPr>
        <w:pStyle w:val="ListParagraph"/>
        <w:numPr>
          <w:ilvl w:val="0"/>
          <w:numId w:val="3"/>
        </w:numPr>
        <w:tabs>
          <w:tab w:pos="929" w:val="left" w:leader="none"/>
          <w:tab w:pos="930" w:val="left" w:leader="none"/>
        </w:tabs>
        <w:spacing w:line="240" w:lineRule="auto" w:before="39" w:after="0"/>
        <w:ind w:left="930" w:right="0" w:hanging="349"/>
        <w:jc w:val="left"/>
        <w:rPr>
          <w:sz w:val="24"/>
        </w:rPr>
      </w:pPr>
      <w:r>
        <w:rPr>
          <w:sz w:val="24"/>
        </w:rPr>
        <w:t>Rendes de capital i de la</w:t>
      </w:r>
      <w:r>
        <w:rPr>
          <w:spacing w:val="-6"/>
          <w:sz w:val="24"/>
        </w:rPr>
        <w:t> </w:t>
      </w:r>
      <w:r>
        <w:rPr>
          <w:sz w:val="24"/>
        </w:rPr>
        <w:t>propietat</w:t>
      </w:r>
    </w:p>
    <w:p>
      <w:pPr>
        <w:pStyle w:val="ListParagraph"/>
        <w:numPr>
          <w:ilvl w:val="0"/>
          <w:numId w:val="3"/>
        </w:numPr>
        <w:tabs>
          <w:tab w:pos="929" w:val="left" w:leader="none"/>
          <w:tab w:pos="930" w:val="left" w:leader="none"/>
        </w:tabs>
        <w:spacing w:line="240" w:lineRule="auto" w:before="40" w:after="0"/>
        <w:ind w:left="930" w:right="0" w:hanging="349"/>
        <w:jc w:val="left"/>
        <w:rPr>
          <w:sz w:val="24"/>
        </w:rPr>
      </w:pPr>
      <w:r>
        <w:rPr>
          <w:sz w:val="24"/>
        </w:rPr>
        <w:t>Ingressos percebuts per</w:t>
      </w:r>
      <w:r>
        <w:rPr>
          <w:spacing w:val="-6"/>
          <w:sz w:val="24"/>
        </w:rPr>
        <w:t> </w:t>
      </w:r>
      <w:r>
        <w:rPr>
          <w:sz w:val="24"/>
        </w:rPr>
        <w:t>menors</w:t>
      </w:r>
    </w:p>
    <w:p>
      <w:pPr>
        <w:pStyle w:val="ListParagraph"/>
        <w:numPr>
          <w:ilvl w:val="0"/>
          <w:numId w:val="3"/>
        </w:numPr>
        <w:tabs>
          <w:tab w:pos="929" w:val="left" w:leader="none"/>
          <w:tab w:pos="930" w:val="left" w:leader="none"/>
        </w:tabs>
        <w:spacing w:line="271" w:lineRule="auto" w:before="39" w:after="0"/>
        <w:ind w:left="941" w:right="129" w:hanging="360"/>
        <w:jc w:val="left"/>
        <w:rPr>
          <w:sz w:val="24"/>
        </w:rPr>
      </w:pPr>
      <w:r>
        <w:rPr>
          <w:sz w:val="24"/>
        </w:rPr>
        <w:t>Altres ingressos o rendiments procedents d’administracions o organismes públics, o d’empreses privades per raons lucratives o</w:t>
      </w:r>
      <w:r>
        <w:rPr>
          <w:spacing w:val="-19"/>
          <w:sz w:val="24"/>
        </w:rPr>
        <w:t> </w:t>
      </w:r>
      <w:r>
        <w:rPr>
          <w:sz w:val="24"/>
        </w:rPr>
        <w:t>indemnitzatòries.</w:t>
      </w:r>
    </w:p>
    <w:p>
      <w:pPr>
        <w:pStyle w:val="BodyText"/>
        <w:spacing w:before="4"/>
        <w:rPr>
          <w:sz w:val="28"/>
        </w:rPr>
      </w:pPr>
    </w:p>
    <w:p>
      <w:pPr>
        <w:pStyle w:val="BodyText"/>
        <w:ind w:left="222"/>
      </w:pPr>
      <w:r>
        <w:rPr/>
        <w:t>No es computaran com a ingressos:</w:t>
      </w:r>
    </w:p>
    <w:p>
      <w:pPr>
        <w:pStyle w:val="ListParagraph"/>
        <w:numPr>
          <w:ilvl w:val="0"/>
          <w:numId w:val="4"/>
        </w:numPr>
        <w:tabs>
          <w:tab w:pos="388" w:val="left" w:leader="none"/>
        </w:tabs>
        <w:spacing w:line="276" w:lineRule="auto" w:before="41" w:after="0"/>
        <w:ind w:left="222" w:right="136" w:firstLine="0"/>
        <w:jc w:val="left"/>
        <w:rPr>
          <w:sz w:val="24"/>
        </w:rPr>
      </w:pPr>
      <w:r>
        <w:rPr>
          <w:sz w:val="24"/>
        </w:rPr>
        <w:t>Aquells en els que es vegi clarament (segons import, concepte i/o data) que són devolucions o anul·lacions de càrrecs</w:t>
      </w:r>
      <w:r>
        <w:rPr>
          <w:spacing w:val="-4"/>
          <w:sz w:val="24"/>
        </w:rPr>
        <w:t> </w:t>
      </w:r>
      <w:r>
        <w:rPr>
          <w:sz w:val="24"/>
        </w:rPr>
        <w:t>anteriors.</w:t>
      </w:r>
    </w:p>
    <w:p>
      <w:pPr>
        <w:pStyle w:val="ListParagraph"/>
        <w:numPr>
          <w:ilvl w:val="0"/>
          <w:numId w:val="4"/>
        </w:numPr>
        <w:tabs>
          <w:tab w:pos="369" w:val="left" w:leader="none"/>
        </w:tabs>
        <w:spacing w:line="275" w:lineRule="exact" w:before="0" w:after="0"/>
        <w:ind w:left="368" w:right="0" w:hanging="147"/>
        <w:jc w:val="left"/>
        <w:rPr>
          <w:sz w:val="24"/>
        </w:rPr>
      </w:pPr>
      <w:r>
        <w:rPr>
          <w:sz w:val="24"/>
        </w:rPr>
        <w:t>El corresponent a la paga extra de nòmines i pensions del mes de</w:t>
      </w:r>
      <w:r>
        <w:rPr>
          <w:spacing w:val="-25"/>
          <w:sz w:val="24"/>
        </w:rPr>
        <w:t> </w:t>
      </w:r>
      <w:r>
        <w:rPr>
          <w:sz w:val="24"/>
        </w:rPr>
        <w:t>desembre.</w:t>
      </w:r>
    </w:p>
    <w:p>
      <w:pPr>
        <w:pStyle w:val="ListParagraph"/>
        <w:numPr>
          <w:ilvl w:val="0"/>
          <w:numId w:val="4"/>
        </w:numPr>
        <w:tabs>
          <w:tab w:pos="369" w:val="left" w:leader="none"/>
        </w:tabs>
        <w:spacing w:line="240" w:lineRule="auto" w:before="43" w:after="0"/>
        <w:ind w:left="368" w:right="0" w:hanging="147"/>
        <w:jc w:val="left"/>
        <w:rPr>
          <w:sz w:val="24"/>
        </w:rPr>
      </w:pPr>
      <w:r>
        <w:rPr>
          <w:sz w:val="24"/>
        </w:rPr>
        <w:t>Les prestacions per dependència, en virtut de l’article 15.3 de la Llei</w:t>
      </w:r>
      <w:r>
        <w:rPr>
          <w:spacing w:val="-26"/>
          <w:sz w:val="24"/>
        </w:rPr>
        <w:t> </w:t>
      </w:r>
      <w:r>
        <w:rPr>
          <w:sz w:val="24"/>
        </w:rPr>
        <w:t>13/2006.</w:t>
      </w:r>
    </w:p>
    <w:p>
      <w:pPr>
        <w:pStyle w:val="ListParagraph"/>
        <w:numPr>
          <w:ilvl w:val="0"/>
          <w:numId w:val="4"/>
        </w:numPr>
        <w:tabs>
          <w:tab w:pos="369" w:val="left" w:leader="none"/>
        </w:tabs>
        <w:spacing w:line="240" w:lineRule="auto" w:before="41" w:after="0"/>
        <w:ind w:left="368" w:right="0" w:hanging="147"/>
        <w:jc w:val="left"/>
        <w:rPr>
          <w:sz w:val="24"/>
        </w:rPr>
      </w:pPr>
      <w:r>
        <w:rPr>
          <w:sz w:val="24"/>
        </w:rPr>
        <w:t>Préstecs d’una entitat bancària o targeta de</w:t>
      </w:r>
      <w:r>
        <w:rPr>
          <w:spacing w:val="-10"/>
          <w:sz w:val="24"/>
        </w:rPr>
        <w:t> </w:t>
      </w:r>
      <w:r>
        <w:rPr>
          <w:sz w:val="24"/>
        </w:rPr>
        <w:t>crèdit.</w:t>
      </w:r>
    </w:p>
    <w:p>
      <w:pPr>
        <w:pStyle w:val="BodyText"/>
        <w:spacing w:before="1"/>
        <w:rPr>
          <w:sz w:val="31"/>
        </w:rPr>
      </w:pPr>
    </w:p>
    <w:p>
      <w:pPr>
        <w:spacing w:line="276" w:lineRule="auto" w:before="0"/>
        <w:ind w:left="222" w:right="131" w:firstLine="0"/>
        <w:jc w:val="both"/>
        <w:rPr>
          <w:i/>
          <w:sz w:val="24"/>
        </w:rPr>
      </w:pPr>
      <w:r>
        <w:rPr>
          <w:i/>
          <w:sz w:val="24"/>
        </w:rPr>
        <w:t>* Es considerarà família o unitat de convivència la formada per una o més persones </w:t>
      </w:r>
      <w:r>
        <w:rPr>
          <w:i/>
          <w:sz w:val="24"/>
        </w:rPr>
        <w:t>que estan empadronades amb el/la sol·licitants, sens perjudici d’aquelles persones empadronades a un padró social o similar, previ informe dels serveis socials corresponents, que podran ser considerades com a unitat de convivència de forma individual.</w:t>
      </w:r>
    </w:p>
    <w:p>
      <w:pPr>
        <w:pStyle w:val="BodyText"/>
        <w:spacing w:line="276" w:lineRule="auto" w:before="151"/>
        <w:ind w:left="222" w:right="131"/>
        <w:jc w:val="both"/>
      </w:pPr>
      <w:r>
        <w:rPr/>
        <w:t>Per determinar el nivell d’ingressos, s’utilitzarà l’indicador de renda de suficiència de Catalunya (755,82.-€) per</w:t>
      </w:r>
      <w:r>
        <w:rPr>
          <w:spacing w:val="-1"/>
        </w:rPr>
        <w:t> </w:t>
      </w:r>
      <w:r>
        <w:rPr/>
        <w:t>1,5.</w:t>
      </w:r>
    </w:p>
    <w:p>
      <w:pPr>
        <w:pStyle w:val="BodyText"/>
        <w:spacing w:line="276" w:lineRule="auto" w:before="201"/>
        <w:ind w:left="222"/>
      </w:pPr>
      <w:r>
        <w:rPr/>
        <w:t>A fi d’establir els límits familiars segons la composició de les diverses llars, s’utilitzaran els trams establerts per l’estadística amb la fórmula de càlcul següent:</w:t>
      </w:r>
    </w:p>
    <w:p>
      <w:pPr>
        <w:pStyle w:val="ListParagraph"/>
        <w:numPr>
          <w:ilvl w:val="0"/>
          <w:numId w:val="5"/>
        </w:numPr>
        <w:tabs>
          <w:tab w:pos="929" w:val="left" w:leader="none"/>
          <w:tab w:pos="930" w:val="left" w:leader="none"/>
        </w:tabs>
        <w:spacing w:line="240" w:lineRule="auto" w:before="201" w:after="0"/>
        <w:ind w:left="930" w:right="0" w:hanging="349"/>
        <w:jc w:val="left"/>
        <w:rPr>
          <w:sz w:val="24"/>
        </w:rPr>
      </w:pPr>
      <w:r>
        <w:rPr>
          <w:sz w:val="24"/>
        </w:rPr>
        <w:t>Per a cada adult de més a la llar: (IRSC x 1,5) x</w:t>
      </w:r>
      <w:r>
        <w:rPr>
          <w:spacing w:val="-6"/>
          <w:sz w:val="24"/>
        </w:rPr>
        <w:t> </w:t>
      </w:r>
      <w:r>
        <w:rPr>
          <w:sz w:val="24"/>
        </w:rPr>
        <w:t>0,5</w:t>
      </w:r>
    </w:p>
    <w:p>
      <w:pPr>
        <w:pStyle w:val="ListParagraph"/>
        <w:numPr>
          <w:ilvl w:val="0"/>
          <w:numId w:val="5"/>
        </w:numPr>
        <w:tabs>
          <w:tab w:pos="929" w:val="left" w:leader="none"/>
          <w:tab w:pos="930" w:val="left" w:leader="none"/>
        </w:tabs>
        <w:spacing w:line="240" w:lineRule="auto" w:before="39" w:after="0"/>
        <w:ind w:left="930" w:right="0" w:hanging="349"/>
        <w:jc w:val="left"/>
        <w:rPr>
          <w:sz w:val="24"/>
        </w:rPr>
      </w:pPr>
      <w:r>
        <w:rPr>
          <w:sz w:val="24"/>
        </w:rPr>
        <w:t>Per a cada menor de més a la llar: (IRSC x 1,5) x</w:t>
      </w:r>
      <w:r>
        <w:rPr>
          <w:spacing w:val="-16"/>
          <w:sz w:val="24"/>
        </w:rPr>
        <w:t> </w:t>
      </w:r>
      <w:r>
        <w:rPr>
          <w:sz w:val="24"/>
        </w:rPr>
        <w:t>0,3</w:t>
      </w:r>
    </w:p>
    <w:p>
      <w:pPr>
        <w:pStyle w:val="BodyText"/>
        <w:rPr>
          <w:sz w:val="31"/>
        </w:rPr>
      </w:pPr>
    </w:p>
    <w:p>
      <w:pPr>
        <w:pStyle w:val="BodyText"/>
        <w:spacing w:line="276" w:lineRule="auto"/>
        <w:ind w:left="222"/>
      </w:pPr>
      <w:r>
        <w:rPr/>
        <w:t>Totes aquelles persones o unitats familiars que tinguin un saldo igual o superior a 10.000,00 euros en dipòsits bancaris se’ls aplicarà la base 4.1.</w:t>
      </w:r>
    </w:p>
    <w:p>
      <w:pPr>
        <w:spacing w:after="0" w:line="276" w:lineRule="auto"/>
        <w:sectPr>
          <w:pgSz w:w="11910" w:h="16840"/>
          <w:pgMar w:header="752" w:footer="1022" w:top="2860" w:bottom="1220" w:left="1480" w:right="1140"/>
        </w:sectPr>
      </w:pPr>
    </w:p>
    <w:p>
      <w:pPr>
        <w:pStyle w:val="BodyText"/>
        <w:rPr>
          <w:sz w:val="20"/>
        </w:rPr>
      </w:pPr>
    </w:p>
    <w:p>
      <w:pPr>
        <w:pStyle w:val="BodyText"/>
        <w:spacing w:before="1"/>
        <w:rPr>
          <w:sz w:val="18"/>
        </w:rPr>
      </w:pPr>
    </w:p>
    <w:p>
      <w:pPr>
        <w:pStyle w:val="BodyText"/>
        <w:spacing w:line="276" w:lineRule="auto" w:before="92"/>
        <w:ind w:left="222" w:right="130"/>
        <w:jc w:val="both"/>
      </w:pPr>
      <w:r>
        <w:rPr/>
        <w:t>Els ingressos mensuals nets familiars màxims per sol·licitar l’ajuda, seran els que resulten de la valoració efectuada tenint com a barem l’IRSC i el punt precedent, d’acord amb la taula de l’Annex II.</w:t>
      </w:r>
    </w:p>
    <w:p>
      <w:pPr>
        <w:pStyle w:val="BodyText"/>
        <w:spacing w:line="276" w:lineRule="auto" w:before="200"/>
        <w:ind w:left="222" w:right="131"/>
        <w:jc w:val="both"/>
      </w:pPr>
      <w:r>
        <w:rPr/>
        <w:t>La valoració es realitzarà seguint les fórmules anteriors i les previstes a les taules de puntuació econòmica i social de l’Annex III d’aquesta convocatòria.</w:t>
      </w:r>
    </w:p>
    <w:p>
      <w:pPr>
        <w:pStyle w:val="BodyText"/>
        <w:spacing w:before="8"/>
        <w:rPr>
          <w:sz w:val="27"/>
        </w:rPr>
      </w:pPr>
    </w:p>
    <w:p>
      <w:pPr>
        <w:pStyle w:val="Heading1"/>
        <w:jc w:val="left"/>
      </w:pPr>
      <w:r>
        <w:rPr/>
        <w:t>5.- Sol·licitud: lloc, termini i documentació</w:t>
      </w:r>
    </w:p>
    <w:p>
      <w:pPr>
        <w:pStyle w:val="BodyText"/>
        <w:spacing w:before="1"/>
        <w:rPr>
          <w:b/>
          <w:sz w:val="31"/>
        </w:rPr>
      </w:pPr>
    </w:p>
    <w:p>
      <w:pPr>
        <w:pStyle w:val="BodyText"/>
        <w:ind w:left="222"/>
      </w:pPr>
      <w:r>
        <w:rPr/>
        <w:t>Les sol·licituds es poden presentar:</w:t>
      </w:r>
    </w:p>
    <w:p>
      <w:pPr>
        <w:pStyle w:val="BodyText"/>
        <w:spacing w:before="2"/>
        <w:rPr>
          <w:sz w:val="21"/>
        </w:rPr>
      </w:pPr>
    </w:p>
    <w:p>
      <w:pPr>
        <w:pStyle w:val="ListParagraph"/>
        <w:numPr>
          <w:ilvl w:val="0"/>
          <w:numId w:val="5"/>
        </w:numPr>
        <w:tabs>
          <w:tab w:pos="929" w:val="left" w:leader="none"/>
          <w:tab w:pos="930" w:val="left" w:leader="none"/>
        </w:tabs>
        <w:spacing w:line="271" w:lineRule="auto" w:before="0" w:after="0"/>
        <w:ind w:left="930" w:right="128" w:hanging="360"/>
        <w:jc w:val="left"/>
        <w:rPr>
          <w:sz w:val="24"/>
        </w:rPr>
      </w:pPr>
      <w:r>
        <w:rPr>
          <w:sz w:val="24"/>
        </w:rPr>
        <w:t>De forma presencial, preferentment a la primera planta de l’Edifici Serveis (amb cita prèvia) de l’Ajuntament de</w:t>
      </w:r>
      <w:r>
        <w:rPr>
          <w:spacing w:val="2"/>
          <w:sz w:val="24"/>
        </w:rPr>
        <w:t> </w:t>
      </w:r>
      <w:r>
        <w:rPr>
          <w:sz w:val="24"/>
        </w:rPr>
        <w:t>Deltebre.</w:t>
      </w:r>
    </w:p>
    <w:p>
      <w:pPr>
        <w:pStyle w:val="ListParagraph"/>
        <w:numPr>
          <w:ilvl w:val="0"/>
          <w:numId w:val="5"/>
        </w:numPr>
        <w:tabs>
          <w:tab w:pos="929" w:val="left" w:leader="none"/>
          <w:tab w:pos="930" w:val="left" w:leader="none"/>
        </w:tabs>
        <w:spacing w:line="240" w:lineRule="auto" w:before="6" w:after="0"/>
        <w:ind w:left="930" w:right="0" w:hanging="360"/>
        <w:jc w:val="left"/>
        <w:rPr>
          <w:sz w:val="24"/>
        </w:rPr>
      </w:pPr>
      <w:r>
        <w:rPr>
          <w:sz w:val="24"/>
        </w:rPr>
        <w:t>De forma telemàtica.</w:t>
      </w:r>
    </w:p>
    <w:p>
      <w:pPr>
        <w:pStyle w:val="BodyText"/>
        <w:spacing w:line="276" w:lineRule="auto" w:before="239"/>
        <w:ind w:left="222" w:right="126"/>
        <w:jc w:val="both"/>
      </w:pPr>
      <w:r>
        <w:rPr/>
        <w:t>No obstant, es podran presentar per qualsevol dels mitjans que preveu la Llei 30/2015 d’1 d’Octubre. En qualsevol cas, acompanyada de la documentació adjunta a l’annex IV d’aquesta</w:t>
      </w:r>
      <w:r>
        <w:rPr>
          <w:spacing w:val="-1"/>
        </w:rPr>
        <w:t> </w:t>
      </w:r>
      <w:r>
        <w:rPr/>
        <w:t>convocatòria.</w:t>
      </w:r>
    </w:p>
    <w:p>
      <w:pPr>
        <w:pStyle w:val="BodyText"/>
        <w:spacing w:before="200"/>
        <w:ind w:left="222"/>
      </w:pPr>
      <w:r>
        <w:rPr/>
        <w:t>El termini de presentació de sol·licituds d’aquests ajuts serà:</w:t>
      </w:r>
    </w:p>
    <w:p>
      <w:pPr>
        <w:pStyle w:val="BodyText"/>
        <w:rPr>
          <w:sz w:val="21"/>
        </w:rPr>
      </w:pPr>
    </w:p>
    <w:p>
      <w:pPr>
        <w:pStyle w:val="ListParagraph"/>
        <w:numPr>
          <w:ilvl w:val="1"/>
          <w:numId w:val="5"/>
        </w:numPr>
        <w:tabs>
          <w:tab w:pos="930" w:val="left" w:leader="none"/>
        </w:tabs>
        <w:spacing w:line="256" w:lineRule="auto" w:before="1" w:after="0"/>
        <w:ind w:left="1016" w:right="128" w:hanging="360"/>
        <w:jc w:val="left"/>
        <w:rPr>
          <w:sz w:val="24"/>
        </w:rPr>
      </w:pPr>
      <w:r>
        <w:rPr>
          <w:sz w:val="24"/>
        </w:rPr>
        <w:t>Fins al 30 d’abril de 2025 per als titulars de les figures estipulades a l’annex 1, supòsits 1, 3, 4 i</w:t>
      </w:r>
      <w:r>
        <w:rPr>
          <w:spacing w:val="-5"/>
          <w:sz w:val="24"/>
        </w:rPr>
        <w:t> </w:t>
      </w:r>
      <w:r>
        <w:rPr>
          <w:sz w:val="24"/>
        </w:rPr>
        <w:t>10.</w:t>
      </w:r>
    </w:p>
    <w:p>
      <w:pPr>
        <w:pStyle w:val="ListParagraph"/>
        <w:numPr>
          <w:ilvl w:val="1"/>
          <w:numId w:val="5"/>
        </w:numPr>
        <w:tabs>
          <w:tab w:pos="930" w:val="left" w:leader="none"/>
        </w:tabs>
        <w:spacing w:line="240" w:lineRule="auto" w:before="21" w:after="0"/>
        <w:ind w:left="930" w:right="0" w:hanging="274"/>
        <w:jc w:val="left"/>
        <w:rPr>
          <w:sz w:val="24"/>
        </w:rPr>
      </w:pPr>
      <w:r>
        <w:rPr>
          <w:sz w:val="24"/>
        </w:rPr>
        <w:t>Fins al 31 d’octubre de 2025 en els altres</w:t>
      </w:r>
      <w:r>
        <w:rPr>
          <w:spacing w:val="-9"/>
          <w:sz w:val="24"/>
        </w:rPr>
        <w:t> </w:t>
      </w:r>
      <w:r>
        <w:rPr>
          <w:sz w:val="24"/>
        </w:rPr>
        <w:t>supòsits.</w:t>
      </w:r>
    </w:p>
    <w:p>
      <w:pPr>
        <w:pStyle w:val="BodyText"/>
        <w:spacing w:line="276" w:lineRule="auto" w:before="222"/>
        <w:ind w:left="222" w:right="127"/>
        <w:jc w:val="both"/>
      </w:pPr>
      <w:r>
        <w:rPr/>
        <w:t>Es dona un termini de 15 dies naturals, a partir de la data de registre de la sol·licitud, per presentar la documentació necessària que acrediti la situació econòmica familiar, i la corresponent documentació, adjunta a l’Annex IV de la present convocatòria.</w:t>
      </w:r>
    </w:p>
    <w:p>
      <w:pPr>
        <w:pStyle w:val="BodyText"/>
        <w:spacing w:line="276" w:lineRule="auto" w:before="200"/>
        <w:ind w:left="222" w:right="130"/>
        <w:jc w:val="both"/>
      </w:pPr>
      <w:r>
        <w:rPr/>
        <w:t>Cada sol·licitant podrà presentar una o diverses sol·licituds per a cada convocatòria, en la qual podrà demanar ajut en funció de totes les figures de les quals en sigui titular, independentment del repartiment i el procediment de concessió exposat a la base</w:t>
      </w:r>
      <w:r>
        <w:rPr>
          <w:spacing w:val="-9"/>
        </w:rPr>
        <w:t> </w:t>
      </w:r>
      <w:r>
        <w:rPr/>
        <w:t>Quarta.</w:t>
      </w:r>
    </w:p>
    <w:p>
      <w:pPr>
        <w:pStyle w:val="BodyText"/>
        <w:spacing w:line="276" w:lineRule="auto" w:before="201"/>
        <w:ind w:left="222" w:right="126"/>
        <w:jc w:val="both"/>
      </w:pPr>
      <w:r>
        <w:rPr/>
        <w:t>En el cas de sol·licitar ajut sobre els supòsits 1, 3, 4 i/o 10 i, a més, algun altre, es podrà presentar tot alhora en una única sol·licitud </w:t>
      </w:r>
      <w:r>
        <w:rPr>
          <w:u w:val="single"/>
        </w:rPr>
        <w:t>o bé en dues diferents</w:t>
      </w:r>
      <w:r>
        <w:rPr>
          <w:i/>
        </w:rPr>
        <w:t>. </w:t>
      </w:r>
      <w:r>
        <w:rPr/>
        <w:t>En ambdós supòsits, es generaran dos expedients diferenciats amb resolucions independents.</w:t>
      </w:r>
    </w:p>
    <w:p>
      <w:pPr>
        <w:pStyle w:val="BodyText"/>
        <w:spacing w:before="200"/>
        <w:ind w:left="222"/>
      </w:pPr>
      <w:r>
        <w:rPr/>
        <w:t>En tot cas, hi haurà una única sol·licitud i resolució per als supòsits 1, 3, 4 i 10.</w:t>
      </w:r>
    </w:p>
    <w:p>
      <w:pPr>
        <w:spacing w:after="0"/>
        <w:sectPr>
          <w:pgSz w:w="11910" w:h="16840"/>
          <w:pgMar w:header="752" w:footer="1022" w:top="2860" w:bottom="1220" w:left="1480" w:right="1140"/>
        </w:sectPr>
      </w:pPr>
    </w:p>
    <w:p>
      <w:pPr>
        <w:pStyle w:val="BodyText"/>
        <w:rPr>
          <w:sz w:val="20"/>
        </w:rPr>
      </w:pPr>
    </w:p>
    <w:p>
      <w:pPr>
        <w:pStyle w:val="BodyText"/>
        <w:spacing w:before="1"/>
        <w:rPr>
          <w:sz w:val="18"/>
        </w:rPr>
      </w:pPr>
    </w:p>
    <w:p>
      <w:pPr>
        <w:pStyle w:val="Heading1"/>
        <w:spacing w:before="92"/>
      </w:pPr>
      <w:r>
        <w:rPr/>
        <w:t>6.- Procediment de tramitació i atorgament</w:t>
      </w:r>
    </w:p>
    <w:p>
      <w:pPr>
        <w:pStyle w:val="BodyText"/>
        <w:rPr>
          <w:b/>
        </w:rPr>
      </w:pPr>
    </w:p>
    <w:p>
      <w:pPr>
        <w:pStyle w:val="BodyText"/>
        <w:spacing w:line="276" w:lineRule="auto"/>
        <w:ind w:left="222" w:right="128"/>
        <w:jc w:val="both"/>
      </w:pPr>
      <w:r>
        <w:rPr>
          <w:b/>
        </w:rPr>
        <w:t>6.1.- </w:t>
      </w:r>
      <w:r>
        <w:rPr/>
        <w:t>La sol·licitud, quan la documentació aportada sigui correcta i completa, es passarà a avaluació per a l’atorgament a l’Àrea de #DeltebreProjecció, subàrea de Servei a les Persones. En cas de mancar documentació preceptiva o ser defectuosa, se sol·licitarà la seva esmena i/o aportació i, un cop esmenada la documentació, es seguirà el mateix tràmit.</w:t>
      </w:r>
    </w:p>
    <w:p>
      <w:pPr>
        <w:pStyle w:val="BodyText"/>
        <w:spacing w:line="276" w:lineRule="auto" w:before="212"/>
        <w:ind w:left="222" w:right="128"/>
        <w:jc w:val="both"/>
      </w:pPr>
      <w:r>
        <w:rPr>
          <w:b/>
        </w:rPr>
        <w:t>6.2.- </w:t>
      </w:r>
      <w:r>
        <w:rPr/>
        <w:t>La sol·licitud de documentació es realitzarà, en primer lloc, de forma presencial o per correu electrònic en presentar la</w:t>
      </w:r>
      <w:r>
        <w:rPr>
          <w:spacing w:val="-11"/>
        </w:rPr>
        <w:t> </w:t>
      </w:r>
      <w:r>
        <w:rPr/>
        <w:t>sol·licitud.</w:t>
      </w:r>
    </w:p>
    <w:p>
      <w:pPr>
        <w:pStyle w:val="BodyText"/>
        <w:spacing w:line="276" w:lineRule="auto" w:before="212"/>
        <w:ind w:left="222" w:right="127"/>
        <w:jc w:val="both"/>
      </w:pPr>
      <w:r>
        <w:rPr/>
        <w:t>En cas de no presentar tota la documentació sol·licitada en 15 dies, es practicarà un nou requeriment de documentació mitjançant notificació amb advertència de denegació i acusament de rebuda. L’esmena de defectes o l’aportació de documentació s’ha de realitzar, en el termini màxim de 10 dies, comptats a partir del dia següent a la seva notificació</w:t>
      </w:r>
      <w:r>
        <w:rPr>
          <w:spacing w:val="-3"/>
        </w:rPr>
        <w:t> </w:t>
      </w:r>
      <w:r>
        <w:rPr/>
        <w:t>efectiva.</w:t>
      </w:r>
    </w:p>
    <w:p>
      <w:pPr>
        <w:pStyle w:val="BodyText"/>
        <w:spacing w:line="276" w:lineRule="auto" w:before="211"/>
        <w:ind w:left="222" w:right="127"/>
        <w:jc w:val="both"/>
      </w:pPr>
      <w:r>
        <w:rPr/>
        <w:t>Si resulta impossible, durant el termini de presentació de sol·licituds, entregar el requeriment de documentació i contactar amb la persona sol·licitant pel telèfon i correu que ha facilitat a la sol·licitud, aquesta també es desestimarà per manca de documentació.</w:t>
      </w:r>
    </w:p>
    <w:p>
      <w:pPr>
        <w:pStyle w:val="BodyText"/>
        <w:spacing w:line="278" w:lineRule="auto" w:before="211"/>
        <w:ind w:left="222" w:right="128"/>
        <w:jc w:val="both"/>
      </w:pPr>
      <w:r>
        <w:rPr>
          <w:b/>
        </w:rPr>
        <w:t>6.3.- </w:t>
      </w:r>
      <w:r>
        <w:rPr/>
        <w:t>Transcorregut el termini per esmenar la sol·licitud, per al cas que no s’hagi procedit a esmenar-la, la resolució serà desfavorable per manca de documentació.</w:t>
      </w:r>
    </w:p>
    <w:p>
      <w:pPr>
        <w:pStyle w:val="BodyText"/>
        <w:spacing w:line="276" w:lineRule="auto" w:before="207"/>
        <w:ind w:left="222" w:right="128"/>
        <w:jc w:val="both"/>
      </w:pPr>
      <w:r>
        <w:rPr>
          <w:b/>
        </w:rPr>
        <w:t>6.4.- </w:t>
      </w:r>
      <w:r>
        <w:rPr/>
        <w:t>Exhaurit el termini de presentació de les sol·licituds d’ajuts socials per a les modalitats 1,3, 4 i 10, des de l’Àrea de #DeltebreProjecció, subàrea de Servei a les Persones, de l’Ajuntament de Deltebre, un cop examinada la documentació aportada, s’emetrà la relació de persones que tenen dret a l’ajut i l’import individual d’aquests.</w:t>
      </w:r>
    </w:p>
    <w:p>
      <w:pPr>
        <w:pStyle w:val="BodyText"/>
        <w:spacing w:before="7"/>
        <w:rPr>
          <w:sz w:val="27"/>
        </w:rPr>
      </w:pPr>
    </w:p>
    <w:p>
      <w:pPr>
        <w:pStyle w:val="BodyText"/>
        <w:spacing w:line="278" w:lineRule="auto"/>
        <w:ind w:left="222" w:right="128"/>
        <w:jc w:val="both"/>
      </w:pPr>
      <w:r>
        <w:rPr/>
        <w:t>Vista la relació de persones amb dret s’elevarà proposta a la Junta de Govern Local, que acordarà en virtut de la proposta dintre l’any en</w:t>
      </w:r>
      <w:r>
        <w:rPr>
          <w:spacing w:val="-10"/>
        </w:rPr>
        <w:t> </w:t>
      </w:r>
      <w:r>
        <w:rPr/>
        <w:t>curs.</w:t>
      </w:r>
    </w:p>
    <w:p>
      <w:pPr>
        <w:pStyle w:val="BodyText"/>
        <w:spacing w:line="276" w:lineRule="auto" w:before="207"/>
        <w:ind w:left="222" w:right="126"/>
        <w:jc w:val="both"/>
      </w:pPr>
      <w:r>
        <w:rPr/>
        <w:t>La resolució de concessió serà notificada als interessats en els quinze dies posteriors a l’emissió del certificat de l’acord de Junta de Govern Local.</w:t>
      </w:r>
    </w:p>
    <w:p>
      <w:pPr>
        <w:pStyle w:val="BodyText"/>
        <w:spacing w:line="276" w:lineRule="auto" w:before="212"/>
        <w:ind w:left="222" w:right="129"/>
        <w:jc w:val="both"/>
      </w:pPr>
      <w:r>
        <w:rPr/>
        <w:t>Contra la resolució de concessió o denegació de l’ajut, que exhaureix la via administrativa, les persones interessades poden interposar recurs contenciós administratiu davant el Jutjat Contenciós Administratiu de Tarragona, en el termini</w:t>
      </w:r>
    </w:p>
    <w:p>
      <w:pPr>
        <w:spacing w:after="0" w:line="276" w:lineRule="auto"/>
        <w:jc w:val="both"/>
        <w:sectPr>
          <w:pgSz w:w="11910" w:h="16840"/>
          <w:pgMar w:header="752" w:footer="1022" w:top="2860" w:bottom="1220" w:left="1480" w:right="1140"/>
        </w:sectPr>
      </w:pPr>
    </w:p>
    <w:p>
      <w:pPr>
        <w:pStyle w:val="BodyText"/>
        <w:rPr>
          <w:sz w:val="20"/>
        </w:rPr>
      </w:pPr>
    </w:p>
    <w:p>
      <w:pPr>
        <w:pStyle w:val="BodyText"/>
        <w:spacing w:before="1"/>
        <w:rPr>
          <w:sz w:val="18"/>
        </w:rPr>
      </w:pPr>
    </w:p>
    <w:p>
      <w:pPr>
        <w:pStyle w:val="BodyText"/>
        <w:spacing w:line="276" w:lineRule="auto" w:before="92"/>
        <w:ind w:left="222" w:right="128"/>
        <w:jc w:val="both"/>
      </w:pPr>
      <w:r>
        <w:rPr/>
        <w:t>de dos mesos a comptar de l'endemà de la data de la seva notificació. Alternativament i de forma potestativa, es pot interposar recurs de reposició davant el mateix òrgan que l’ha dictat, en el termini d’un mes a comptar des del dia següent de la seva</w:t>
      </w:r>
      <w:r>
        <w:rPr>
          <w:spacing w:val="-7"/>
        </w:rPr>
        <w:t> </w:t>
      </w:r>
      <w:r>
        <w:rPr/>
        <w:t>notificació.</w:t>
      </w:r>
    </w:p>
    <w:p>
      <w:pPr>
        <w:pStyle w:val="BodyText"/>
        <w:spacing w:before="7"/>
        <w:rPr>
          <w:sz w:val="27"/>
        </w:rPr>
      </w:pPr>
    </w:p>
    <w:p>
      <w:pPr>
        <w:pStyle w:val="Heading1"/>
      </w:pPr>
      <w:r>
        <w:rPr/>
        <w:t>7.- Pagament i justificació</w:t>
      </w:r>
    </w:p>
    <w:p>
      <w:pPr>
        <w:pStyle w:val="BodyText"/>
        <w:spacing w:before="4"/>
        <w:rPr>
          <w:b/>
          <w:sz w:val="31"/>
        </w:rPr>
      </w:pPr>
    </w:p>
    <w:p>
      <w:pPr>
        <w:pStyle w:val="BodyText"/>
        <w:spacing w:line="276" w:lineRule="auto"/>
        <w:ind w:left="222" w:right="128"/>
        <w:jc w:val="both"/>
      </w:pPr>
      <w:r>
        <w:rPr/>
        <w:t>L’ajut es farà efectiu, per mitjà de transferència bancària al compte del/la beneficiari/ària, la qual tindrà lloc en el termini màxim de 30 dies des de la fermesa de l’acord de l’adjudicació.</w:t>
      </w:r>
    </w:p>
    <w:p>
      <w:pPr>
        <w:pStyle w:val="BodyText"/>
        <w:spacing w:before="7"/>
        <w:rPr>
          <w:sz w:val="27"/>
        </w:rPr>
      </w:pPr>
    </w:p>
    <w:p>
      <w:pPr>
        <w:pStyle w:val="BodyText"/>
        <w:spacing w:line="276" w:lineRule="auto"/>
        <w:ind w:left="222" w:right="127"/>
        <w:jc w:val="both"/>
      </w:pPr>
      <w:r>
        <w:rPr/>
        <w:t>Per a les modalitats d’ajuts per Activitats Extraescolars, activitats terapèutiques i/o de conciliació familiar per a infants amb necessitats especials</w:t>
      </w:r>
      <w:r>
        <w:rPr>
          <w:b/>
        </w:rPr>
        <w:t>, </w:t>
      </w:r>
      <w:r>
        <w:rPr/>
        <w:t>o Casals d’Estiu, per a la Quota de preu públic per assistència a l’Escola Bressol l’Hortet o per cursos de natació al Centre Esportiu del Delta, el pagament a la persona beneficiària es realitzarà de la manera prevista a la base setena de les Bases reguladores dels presents ajuts.</w:t>
      </w:r>
    </w:p>
    <w:p>
      <w:pPr>
        <w:pStyle w:val="BodyText"/>
        <w:spacing w:before="5"/>
        <w:rPr>
          <w:sz w:val="27"/>
        </w:rPr>
      </w:pPr>
    </w:p>
    <w:p>
      <w:pPr>
        <w:pStyle w:val="Heading1"/>
      </w:pPr>
      <w:r>
        <w:rPr/>
        <w:t>8.- Règim i caràcter de l’ajut</w:t>
      </w:r>
    </w:p>
    <w:p>
      <w:pPr>
        <w:pStyle w:val="BodyText"/>
        <w:spacing w:before="4"/>
        <w:rPr>
          <w:b/>
          <w:sz w:val="31"/>
        </w:rPr>
      </w:pPr>
    </w:p>
    <w:p>
      <w:pPr>
        <w:pStyle w:val="BodyText"/>
        <w:spacing w:line="276" w:lineRule="auto"/>
        <w:ind w:left="222" w:right="128"/>
        <w:jc w:val="both"/>
      </w:pPr>
      <w:r>
        <w:rPr/>
        <w:t>Aquest ajut econòmic individualitzat de caràcter extraordinari té caràcter voluntari i eventual i la seva vigència es regula a la disposició final.</w:t>
      </w:r>
    </w:p>
    <w:p>
      <w:pPr>
        <w:pStyle w:val="BodyText"/>
        <w:spacing w:before="5"/>
        <w:rPr>
          <w:sz w:val="27"/>
        </w:rPr>
      </w:pPr>
    </w:p>
    <w:p>
      <w:pPr>
        <w:spacing w:line="278" w:lineRule="auto" w:before="0"/>
        <w:ind w:left="222" w:right="0" w:firstLine="0"/>
        <w:jc w:val="left"/>
        <w:rPr>
          <w:sz w:val="24"/>
        </w:rPr>
      </w:pPr>
      <w:r>
        <w:rPr>
          <w:sz w:val="24"/>
        </w:rPr>
        <w:t>El règim de concessió dels ajuts és de </w:t>
      </w:r>
      <w:r>
        <w:rPr>
          <w:b/>
          <w:sz w:val="24"/>
          <w:u w:val="thick"/>
        </w:rPr>
        <w:t>concurrència competitiva</w:t>
      </w:r>
      <w:r>
        <w:rPr>
          <w:sz w:val="24"/>
        </w:rPr>
        <w:t>, excepte les figures següents que són de </w:t>
      </w:r>
      <w:r>
        <w:rPr>
          <w:b/>
          <w:sz w:val="24"/>
          <w:u w:val="thick"/>
        </w:rPr>
        <w:t>concurrència no competitiva</w:t>
      </w:r>
      <w:r>
        <w:rPr>
          <w:sz w:val="24"/>
        </w:rPr>
        <w:t>:</w:t>
      </w:r>
    </w:p>
    <w:p>
      <w:pPr>
        <w:pStyle w:val="ListParagraph"/>
        <w:numPr>
          <w:ilvl w:val="0"/>
          <w:numId w:val="6"/>
        </w:numPr>
        <w:tabs>
          <w:tab w:pos="581" w:val="left" w:leader="none"/>
          <w:tab w:pos="582" w:val="left" w:leader="none"/>
        </w:tabs>
        <w:spacing w:line="291" w:lineRule="exact" w:before="0" w:after="0"/>
        <w:ind w:left="582" w:right="0" w:hanging="360"/>
        <w:jc w:val="left"/>
        <w:rPr>
          <w:sz w:val="24"/>
        </w:rPr>
      </w:pPr>
      <w:r>
        <w:rPr>
          <w:sz w:val="24"/>
        </w:rPr>
        <w:t>Impost sobre l’increment del Valor dels Terrenys de Naturalesa</w:t>
      </w:r>
      <w:r>
        <w:rPr>
          <w:spacing w:val="-11"/>
          <w:sz w:val="24"/>
        </w:rPr>
        <w:t> </w:t>
      </w:r>
      <w:r>
        <w:rPr>
          <w:sz w:val="24"/>
        </w:rPr>
        <w:t>Urbana.</w:t>
      </w:r>
    </w:p>
    <w:p>
      <w:pPr>
        <w:pStyle w:val="ListParagraph"/>
        <w:numPr>
          <w:ilvl w:val="0"/>
          <w:numId w:val="6"/>
        </w:numPr>
        <w:tabs>
          <w:tab w:pos="581" w:val="left" w:leader="none"/>
          <w:tab w:pos="582" w:val="left" w:leader="none"/>
        </w:tabs>
        <w:spacing w:line="240" w:lineRule="auto" w:before="40" w:after="0"/>
        <w:ind w:left="582" w:right="0" w:hanging="360"/>
        <w:jc w:val="left"/>
        <w:rPr>
          <w:sz w:val="24"/>
        </w:rPr>
      </w:pPr>
      <w:r>
        <w:rPr>
          <w:sz w:val="24"/>
        </w:rPr>
        <w:t>Impost sobre Construccions, Instal·lacions i Obres (Annex art.</w:t>
      </w:r>
      <w:r>
        <w:rPr>
          <w:spacing w:val="-8"/>
          <w:sz w:val="24"/>
        </w:rPr>
        <w:t> </w:t>
      </w:r>
      <w:r>
        <w:rPr>
          <w:sz w:val="24"/>
        </w:rPr>
        <w:t>1)</w:t>
      </w:r>
    </w:p>
    <w:p>
      <w:pPr>
        <w:pStyle w:val="ListParagraph"/>
        <w:numPr>
          <w:ilvl w:val="0"/>
          <w:numId w:val="6"/>
        </w:numPr>
        <w:tabs>
          <w:tab w:pos="581" w:val="left" w:leader="none"/>
          <w:tab w:pos="582" w:val="left" w:leader="none"/>
        </w:tabs>
        <w:spacing w:line="240" w:lineRule="auto" w:before="39" w:after="0"/>
        <w:ind w:left="582" w:right="0" w:hanging="360"/>
        <w:jc w:val="left"/>
        <w:rPr>
          <w:sz w:val="24"/>
        </w:rPr>
      </w:pPr>
      <w:r>
        <w:rPr>
          <w:sz w:val="24"/>
        </w:rPr>
        <w:t>Taxa per la Prestació de Serveis Urbanístics, conceptes I i</w:t>
      </w:r>
      <w:r>
        <w:rPr>
          <w:spacing w:val="-6"/>
          <w:sz w:val="24"/>
        </w:rPr>
        <w:t> </w:t>
      </w:r>
      <w:r>
        <w:rPr>
          <w:sz w:val="24"/>
        </w:rPr>
        <w:t>II</w:t>
      </w:r>
    </w:p>
    <w:p>
      <w:pPr>
        <w:pStyle w:val="ListParagraph"/>
        <w:numPr>
          <w:ilvl w:val="0"/>
          <w:numId w:val="6"/>
        </w:numPr>
        <w:tabs>
          <w:tab w:pos="581" w:val="left" w:leader="none"/>
          <w:tab w:pos="582" w:val="left" w:leader="none"/>
        </w:tabs>
        <w:spacing w:line="240" w:lineRule="auto" w:before="40" w:after="0"/>
        <w:ind w:left="582" w:right="0" w:hanging="360"/>
        <w:jc w:val="left"/>
        <w:rPr>
          <w:sz w:val="24"/>
        </w:rPr>
      </w:pPr>
      <w:r>
        <w:rPr>
          <w:sz w:val="24"/>
        </w:rPr>
        <w:t>Taxa per la Prestació de Serveis Urbanístic, concepte</w:t>
      </w:r>
      <w:r>
        <w:rPr>
          <w:spacing w:val="-8"/>
          <w:sz w:val="24"/>
        </w:rPr>
        <w:t> </w:t>
      </w:r>
      <w:r>
        <w:rPr>
          <w:sz w:val="24"/>
        </w:rPr>
        <w:t>XVII.</w:t>
      </w:r>
    </w:p>
    <w:p>
      <w:pPr>
        <w:pStyle w:val="ListParagraph"/>
        <w:numPr>
          <w:ilvl w:val="0"/>
          <w:numId w:val="6"/>
        </w:numPr>
        <w:tabs>
          <w:tab w:pos="581" w:val="left" w:leader="none"/>
          <w:tab w:pos="582" w:val="left" w:leader="none"/>
        </w:tabs>
        <w:spacing w:line="240" w:lineRule="auto" w:before="39" w:after="0"/>
        <w:ind w:left="582" w:right="0" w:hanging="360"/>
        <w:jc w:val="left"/>
        <w:rPr>
          <w:sz w:val="24"/>
        </w:rPr>
      </w:pPr>
      <w:r>
        <w:rPr>
          <w:sz w:val="24"/>
        </w:rPr>
        <w:t>Preu públic per assistència a l’escola</w:t>
      </w:r>
      <w:r>
        <w:rPr>
          <w:spacing w:val="-4"/>
          <w:sz w:val="24"/>
        </w:rPr>
        <w:t> </w:t>
      </w:r>
      <w:r>
        <w:rPr>
          <w:sz w:val="24"/>
        </w:rPr>
        <w:t>bressol.</w:t>
      </w:r>
    </w:p>
    <w:p>
      <w:pPr>
        <w:pStyle w:val="ListParagraph"/>
        <w:numPr>
          <w:ilvl w:val="0"/>
          <w:numId w:val="6"/>
        </w:numPr>
        <w:tabs>
          <w:tab w:pos="581" w:val="left" w:leader="none"/>
          <w:tab w:pos="582" w:val="left" w:leader="none"/>
        </w:tabs>
        <w:spacing w:line="271" w:lineRule="auto" w:before="40" w:after="0"/>
        <w:ind w:left="581" w:right="131" w:hanging="360"/>
        <w:jc w:val="left"/>
        <w:rPr>
          <w:sz w:val="24"/>
        </w:rPr>
      </w:pPr>
      <w:r>
        <w:rPr>
          <w:sz w:val="24"/>
        </w:rPr>
        <w:t>Activitats extraescolars tipificades, activitats terapèutiques i/o de conciliació familiar per a infants amb necessitats especials, i casals</w:t>
      </w:r>
      <w:r>
        <w:rPr>
          <w:spacing w:val="-14"/>
          <w:sz w:val="24"/>
        </w:rPr>
        <w:t> </w:t>
      </w:r>
      <w:r>
        <w:rPr>
          <w:sz w:val="24"/>
        </w:rPr>
        <w:t>d’estiu.</w:t>
      </w:r>
    </w:p>
    <w:p>
      <w:pPr>
        <w:pStyle w:val="ListParagraph"/>
        <w:numPr>
          <w:ilvl w:val="0"/>
          <w:numId w:val="6"/>
        </w:numPr>
        <w:tabs>
          <w:tab w:pos="581" w:val="left" w:leader="none"/>
          <w:tab w:pos="582" w:val="left" w:leader="none"/>
          <w:tab w:pos="1480" w:val="left" w:leader="none"/>
          <w:tab w:pos="2073" w:val="left" w:leader="none"/>
          <w:tab w:pos="3785" w:val="left" w:leader="none"/>
          <w:tab w:pos="5099" w:val="left" w:leader="none"/>
          <w:tab w:pos="6572" w:val="left" w:leader="none"/>
          <w:tab w:pos="8083" w:val="left" w:leader="none"/>
          <w:tab w:pos="8381" w:val="left" w:leader="none"/>
        </w:tabs>
        <w:spacing w:line="271" w:lineRule="auto" w:before="6" w:after="0"/>
        <w:ind w:left="581" w:right="128" w:hanging="360"/>
        <w:jc w:val="left"/>
        <w:rPr>
          <w:sz w:val="24"/>
        </w:rPr>
      </w:pPr>
      <w:r>
        <w:rPr>
          <w:sz w:val="24"/>
        </w:rPr>
        <w:t>Quota</w:t>
        <w:tab/>
        <w:t>per</w:t>
        <w:tab/>
        <w:t>Contribucions</w:t>
        <w:tab/>
        <w:t>especials,</w:t>
        <w:tab/>
        <w:t>Execucions</w:t>
        <w:tab/>
        <w:t>subsidiàries</w:t>
        <w:tab/>
        <w:t>i</w:t>
        <w:tab/>
      </w:r>
      <w:r>
        <w:rPr>
          <w:spacing w:val="-3"/>
          <w:sz w:val="24"/>
        </w:rPr>
        <w:t>Quotes </w:t>
      </w:r>
      <w:r>
        <w:rPr>
          <w:sz w:val="24"/>
        </w:rPr>
        <w:t>d’urbanització.</w:t>
      </w:r>
    </w:p>
    <w:p>
      <w:pPr>
        <w:pStyle w:val="ListParagraph"/>
        <w:numPr>
          <w:ilvl w:val="0"/>
          <w:numId w:val="6"/>
        </w:numPr>
        <w:tabs>
          <w:tab w:pos="581" w:val="left" w:leader="none"/>
          <w:tab w:pos="582" w:val="left" w:leader="none"/>
        </w:tabs>
        <w:spacing w:line="271" w:lineRule="auto" w:before="7" w:after="0"/>
        <w:ind w:left="581" w:right="127" w:hanging="360"/>
        <w:jc w:val="left"/>
        <w:rPr>
          <w:sz w:val="24"/>
        </w:rPr>
      </w:pPr>
      <w:r>
        <w:rPr>
          <w:sz w:val="24"/>
        </w:rPr>
        <w:t>Preu Públic per la Utilització de les Instal·lacions Esportives Municipals. Art. 6 - Tarifa Tercera: Centre Esportiu del</w:t>
      </w:r>
      <w:r>
        <w:rPr>
          <w:spacing w:val="-4"/>
          <w:sz w:val="24"/>
        </w:rPr>
        <w:t> </w:t>
      </w:r>
      <w:r>
        <w:rPr>
          <w:sz w:val="24"/>
        </w:rPr>
        <w:t>Delta</w:t>
      </w:r>
    </w:p>
    <w:p>
      <w:pPr>
        <w:spacing w:after="0" w:line="271" w:lineRule="auto"/>
        <w:jc w:val="left"/>
        <w:rPr>
          <w:sz w:val="24"/>
        </w:rPr>
        <w:sectPr>
          <w:pgSz w:w="11910" w:h="16840"/>
          <w:pgMar w:header="752" w:footer="1022" w:top="2860" w:bottom="1220" w:left="1480" w:right="1140"/>
        </w:sectPr>
      </w:pPr>
    </w:p>
    <w:p>
      <w:pPr>
        <w:pStyle w:val="BodyText"/>
        <w:rPr>
          <w:sz w:val="20"/>
        </w:rPr>
      </w:pPr>
    </w:p>
    <w:p>
      <w:pPr>
        <w:pStyle w:val="BodyText"/>
        <w:spacing w:before="5"/>
        <w:rPr>
          <w:sz w:val="17"/>
        </w:rPr>
      </w:pPr>
    </w:p>
    <w:p>
      <w:pPr>
        <w:pStyle w:val="ListParagraph"/>
        <w:numPr>
          <w:ilvl w:val="0"/>
          <w:numId w:val="6"/>
        </w:numPr>
        <w:tabs>
          <w:tab w:pos="582" w:val="left" w:leader="none"/>
        </w:tabs>
        <w:spacing w:line="273" w:lineRule="auto" w:before="100" w:after="0"/>
        <w:ind w:left="581" w:right="128" w:hanging="360"/>
        <w:jc w:val="both"/>
        <w:rPr>
          <w:sz w:val="24"/>
        </w:rPr>
      </w:pPr>
      <w:r>
        <w:rPr>
          <w:sz w:val="24"/>
        </w:rPr>
        <w:t>Taxa per la segona i posteriors assignacions de sepultures, nínxols i  columbaris, traspassos de propietat i per cada duplicat de l’escriptura de concessió de</w:t>
      </w:r>
      <w:r>
        <w:rPr>
          <w:spacing w:val="-5"/>
          <w:sz w:val="24"/>
        </w:rPr>
        <w:t> </w:t>
      </w:r>
      <w:r>
        <w:rPr>
          <w:sz w:val="24"/>
        </w:rPr>
        <w:t>nínxol</w:t>
      </w:r>
    </w:p>
    <w:p>
      <w:pPr>
        <w:pStyle w:val="BodyText"/>
        <w:spacing w:line="276" w:lineRule="auto" w:before="217"/>
        <w:ind w:left="222" w:right="128"/>
        <w:jc w:val="both"/>
      </w:pPr>
      <w:r>
        <w:rPr/>
        <w:t>Aquest ajut no és compatible amb altres ajuts, subvencions, ingressos o recursos per la mateixa finalitat procedents de l’ajuntament de Deltebre i tampoc amb els procedents d’altres organismes o entitats.</w:t>
      </w:r>
    </w:p>
    <w:p>
      <w:pPr>
        <w:pStyle w:val="BodyText"/>
        <w:spacing w:before="4"/>
        <w:rPr>
          <w:sz w:val="27"/>
        </w:rPr>
      </w:pPr>
    </w:p>
    <w:p>
      <w:pPr>
        <w:pStyle w:val="Heading1"/>
        <w:ind w:left="289"/>
        <w:jc w:val="left"/>
      </w:pPr>
      <w:r>
        <w:rPr/>
        <w:t>9.- Revisió dels ajuts</w:t>
      </w:r>
    </w:p>
    <w:p>
      <w:pPr>
        <w:pStyle w:val="BodyText"/>
        <w:spacing w:before="4"/>
        <w:rPr>
          <w:b/>
          <w:sz w:val="31"/>
        </w:rPr>
      </w:pPr>
    </w:p>
    <w:p>
      <w:pPr>
        <w:pStyle w:val="BodyText"/>
        <w:spacing w:line="276" w:lineRule="auto"/>
        <w:ind w:left="222" w:right="126"/>
        <w:jc w:val="both"/>
      </w:pPr>
      <w:r>
        <w:rPr/>
        <w:t>L’Ajuntament pot modificar l’acord d’atorgament dels ajuts objecte d’aquesta convocatòria, havent concedit prèviament un termini d’audiència de deu dies a la persona beneficiària, en relació amb el seu contingut i quan s’acrediti la falsedat de les dades facilitades per la persona sol·licitant o la manca d’aportació total o parcial de les que havien de ser tingudes en compte per adjudicar-li la condició de persona beneficiària de l’ajut.</w:t>
      </w:r>
    </w:p>
    <w:p>
      <w:pPr>
        <w:pStyle w:val="BodyText"/>
        <w:spacing w:before="8"/>
        <w:rPr>
          <w:sz w:val="27"/>
        </w:rPr>
      </w:pPr>
    </w:p>
    <w:p>
      <w:pPr>
        <w:pStyle w:val="Heading1"/>
        <w:jc w:val="left"/>
      </w:pPr>
      <w:r>
        <w:rPr/>
        <w:t>10.- Crèdit pressupostari i quantia total màxima</w:t>
      </w:r>
    </w:p>
    <w:p>
      <w:pPr>
        <w:pStyle w:val="BodyText"/>
        <w:spacing w:before="1"/>
        <w:rPr>
          <w:b/>
          <w:sz w:val="31"/>
        </w:rPr>
      </w:pPr>
    </w:p>
    <w:p>
      <w:pPr>
        <w:pStyle w:val="BodyText"/>
        <w:spacing w:line="276" w:lineRule="auto"/>
        <w:ind w:left="222" w:right="125"/>
        <w:jc w:val="both"/>
      </w:pPr>
      <w:r>
        <w:rPr/>
        <w:t>Els ajuts d'aquesta convocatòria estan dotats amb 120.000,00 euros. El pagament dels ajuts es farà amb càrrec a l'aplicació pressupostària 48000. 23101 Ajuts Socioeconòmics.</w:t>
      </w:r>
    </w:p>
    <w:p>
      <w:pPr>
        <w:pStyle w:val="BodyText"/>
        <w:spacing w:before="8"/>
        <w:rPr>
          <w:sz w:val="20"/>
        </w:rPr>
      </w:pPr>
    </w:p>
    <w:p>
      <w:pPr>
        <w:pStyle w:val="BodyText"/>
        <w:ind w:left="222"/>
      </w:pPr>
      <w:r>
        <w:rPr/>
        <w:t>El repartiment de la dotació assignada es repartirà de la següent manera:</w:t>
      </w:r>
    </w:p>
    <w:p>
      <w:pPr>
        <w:pStyle w:val="BodyText"/>
        <w:spacing w:before="11"/>
        <w:rPr>
          <w:sz w:val="21"/>
        </w:rPr>
      </w:pPr>
    </w:p>
    <w:p>
      <w:pPr>
        <w:pStyle w:val="ListParagraph"/>
        <w:numPr>
          <w:ilvl w:val="0"/>
          <w:numId w:val="7"/>
        </w:numPr>
        <w:tabs>
          <w:tab w:pos="506" w:val="left" w:leader="none"/>
        </w:tabs>
        <w:spacing w:line="273" w:lineRule="auto" w:before="0" w:after="0"/>
        <w:ind w:left="505" w:right="126" w:hanging="360"/>
        <w:jc w:val="both"/>
        <w:rPr>
          <w:sz w:val="24"/>
        </w:rPr>
      </w:pPr>
      <w:r>
        <w:rPr>
          <w:sz w:val="24"/>
        </w:rPr>
        <w:t>Per al repartiment de l’ajut per als supòsits 1, 3, 4 i 10, es tindrà en compte la puntuació obtinguda per cada persona sol·licitant i es realitzarà el </w:t>
      </w:r>
      <w:r>
        <w:rPr>
          <w:b/>
          <w:sz w:val="24"/>
        </w:rPr>
        <w:t>prorrateig </w:t>
      </w:r>
      <w:r>
        <w:rPr>
          <w:sz w:val="24"/>
        </w:rPr>
        <w:t>directament proporcional sobre l’import total de la reserva de la partida pressupostària habilitada per aquestes figures, a l’efecte de dotar els ajuts regulats en les presents bases. Es podrà consultar a BASE per verificar els tributs dels quals són subjectes passius les persones que han demanat l’ajut i la seva quantia, que, en cap cas, es pot</w:t>
      </w:r>
      <w:r>
        <w:rPr>
          <w:spacing w:val="-8"/>
          <w:sz w:val="24"/>
        </w:rPr>
        <w:t> </w:t>
      </w:r>
      <w:r>
        <w:rPr>
          <w:sz w:val="24"/>
        </w:rPr>
        <w:t>sobrepassar.</w:t>
      </w:r>
    </w:p>
    <w:p>
      <w:pPr>
        <w:pStyle w:val="BodyText"/>
        <w:spacing w:line="276" w:lineRule="auto" w:before="211"/>
        <w:ind w:left="505" w:right="129"/>
        <w:jc w:val="both"/>
      </w:pPr>
      <w:r>
        <w:rPr/>
        <w:t>En el cas que l’import total d’aquestes figures (1, 3, 4 i 10) sigui superior a l’aplicació pressupostària per aquest concepte (47.000,00€) s’ha de fer un reajustament proporcional entre tots els beneficiaris.</w:t>
      </w:r>
    </w:p>
    <w:p>
      <w:pPr>
        <w:pStyle w:val="ListParagraph"/>
        <w:numPr>
          <w:ilvl w:val="0"/>
          <w:numId w:val="7"/>
        </w:numPr>
        <w:tabs>
          <w:tab w:pos="506" w:val="left" w:leader="none"/>
        </w:tabs>
        <w:spacing w:line="256" w:lineRule="auto" w:before="212" w:after="0"/>
        <w:ind w:left="505" w:right="128" w:hanging="360"/>
        <w:jc w:val="both"/>
        <w:rPr>
          <w:sz w:val="24"/>
        </w:rPr>
      </w:pPr>
      <w:r>
        <w:rPr>
          <w:sz w:val="24"/>
        </w:rPr>
        <w:t>La dotació assignada a les figures tributàries 2, 5, 6, 7, 8, 9, 11, 12, 13 i 14 es repartirà en autoritzacions Fase A per a cadascun dels</w:t>
      </w:r>
      <w:r>
        <w:rPr>
          <w:spacing w:val="-6"/>
          <w:sz w:val="24"/>
        </w:rPr>
        <w:t> </w:t>
      </w:r>
      <w:r>
        <w:rPr>
          <w:sz w:val="24"/>
        </w:rPr>
        <w:t>supòsits:</w:t>
      </w:r>
    </w:p>
    <w:p>
      <w:pPr>
        <w:spacing w:after="0" w:line="256" w:lineRule="auto"/>
        <w:jc w:val="both"/>
        <w:rPr>
          <w:sz w:val="24"/>
        </w:rPr>
        <w:sectPr>
          <w:pgSz w:w="11910" w:h="16840"/>
          <w:pgMar w:header="752" w:footer="1022" w:top="2860" w:bottom="1220" w:left="1480" w:right="1140"/>
        </w:sectPr>
      </w:pPr>
    </w:p>
    <w:p>
      <w:pPr>
        <w:pStyle w:val="BodyText"/>
        <w:rPr>
          <w:sz w:val="20"/>
        </w:rPr>
      </w:pPr>
    </w:p>
    <w:p>
      <w:pPr>
        <w:pStyle w:val="BodyText"/>
        <w:spacing w:before="3"/>
        <w:rPr>
          <w:sz w:val="17"/>
        </w:rPr>
      </w:pPr>
    </w:p>
    <w:p>
      <w:pPr>
        <w:pStyle w:val="ListParagraph"/>
        <w:numPr>
          <w:ilvl w:val="1"/>
          <w:numId w:val="7"/>
        </w:numPr>
        <w:tabs>
          <w:tab w:pos="930" w:val="left" w:leader="none"/>
        </w:tabs>
        <w:spacing w:line="240" w:lineRule="auto" w:before="101" w:after="0"/>
        <w:ind w:left="930" w:right="0" w:hanging="216"/>
        <w:jc w:val="left"/>
        <w:rPr>
          <w:sz w:val="22"/>
        </w:rPr>
      </w:pPr>
      <w:r>
        <w:rPr>
          <w:sz w:val="22"/>
        </w:rPr>
        <w:t>IIVTNU: 7.000,00</w:t>
      </w:r>
      <w:r>
        <w:rPr>
          <w:spacing w:val="-1"/>
          <w:sz w:val="22"/>
        </w:rPr>
        <w:t> </w:t>
      </w:r>
      <w:r>
        <w:rPr>
          <w:sz w:val="22"/>
        </w:rPr>
        <w:t>€</w:t>
      </w:r>
    </w:p>
    <w:p>
      <w:pPr>
        <w:pStyle w:val="ListParagraph"/>
        <w:numPr>
          <w:ilvl w:val="1"/>
          <w:numId w:val="7"/>
        </w:numPr>
        <w:tabs>
          <w:tab w:pos="930" w:val="left" w:leader="none"/>
        </w:tabs>
        <w:spacing w:line="276" w:lineRule="auto" w:before="35" w:after="0"/>
        <w:ind w:left="1074" w:right="129" w:hanging="360"/>
        <w:jc w:val="left"/>
        <w:rPr>
          <w:sz w:val="22"/>
        </w:rPr>
      </w:pPr>
      <w:r>
        <w:rPr>
          <w:sz w:val="22"/>
        </w:rPr>
        <w:t>Impost sobre Construccions, Instal·lacions i Obres i Taxa per la Prestació de Serveis Urbanístics, conceptes I i II: 2.000,00</w:t>
      </w:r>
      <w:r>
        <w:rPr>
          <w:spacing w:val="-7"/>
          <w:sz w:val="22"/>
        </w:rPr>
        <w:t> </w:t>
      </w:r>
      <w:r>
        <w:rPr>
          <w:sz w:val="22"/>
        </w:rPr>
        <w:t>€</w:t>
      </w:r>
    </w:p>
    <w:p>
      <w:pPr>
        <w:pStyle w:val="ListParagraph"/>
        <w:numPr>
          <w:ilvl w:val="1"/>
          <w:numId w:val="7"/>
        </w:numPr>
        <w:tabs>
          <w:tab w:pos="930" w:val="left" w:leader="none"/>
        </w:tabs>
        <w:spacing w:line="240" w:lineRule="auto" w:before="23" w:after="0"/>
        <w:ind w:left="930" w:right="0" w:hanging="216"/>
        <w:jc w:val="left"/>
        <w:rPr>
          <w:sz w:val="22"/>
        </w:rPr>
      </w:pPr>
      <w:r>
        <w:rPr>
          <w:sz w:val="22"/>
        </w:rPr>
        <w:t>Taxa per la Prestació de Serveis Urbanístics, concepte XVII: 1.000,00</w:t>
      </w:r>
      <w:r>
        <w:rPr>
          <w:spacing w:val="-10"/>
          <w:sz w:val="22"/>
        </w:rPr>
        <w:t> </w:t>
      </w:r>
      <w:r>
        <w:rPr>
          <w:sz w:val="22"/>
        </w:rPr>
        <w:t>€</w:t>
      </w:r>
    </w:p>
    <w:p>
      <w:pPr>
        <w:pStyle w:val="ListParagraph"/>
        <w:numPr>
          <w:ilvl w:val="1"/>
          <w:numId w:val="7"/>
        </w:numPr>
        <w:tabs>
          <w:tab w:pos="930" w:val="left" w:leader="none"/>
        </w:tabs>
        <w:spacing w:line="240" w:lineRule="auto" w:before="58" w:after="0"/>
        <w:ind w:left="930" w:right="0" w:hanging="216"/>
        <w:jc w:val="left"/>
        <w:rPr>
          <w:sz w:val="22"/>
        </w:rPr>
      </w:pPr>
      <w:r>
        <w:rPr>
          <w:sz w:val="22"/>
        </w:rPr>
        <w:t>Preu públic per assistència a l’escola bressol: 8.000,00</w:t>
      </w:r>
      <w:r>
        <w:rPr>
          <w:spacing w:val="-2"/>
          <w:sz w:val="22"/>
        </w:rPr>
        <w:t> </w:t>
      </w:r>
      <w:r>
        <w:rPr>
          <w:sz w:val="22"/>
        </w:rPr>
        <w:t>€.</w:t>
      </w:r>
    </w:p>
    <w:p>
      <w:pPr>
        <w:pStyle w:val="ListParagraph"/>
        <w:numPr>
          <w:ilvl w:val="1"/>
          <w:numId w:val="7"/>
        </w:numPr>
        <w:tabs>
          <w:tab w:pos="930" w:val="left" w:leader="none"/>
        </w:tabs>
        <w:spacing w:line="276" w:lineRule="auto" w:before="57" w:after="0"/>
        <w:ind w:left="1074" w:right="134" w:hanging="360"/>
        <w:jc w:val="left"/>
        <w:rPr>
          <w:sz w:val="22"/>
        </w:rPr>
      </w:pPr>
      <w:r>
        <w:rPr>
          <w:sz w:val="22"/>
        </w:rPr>
        <w:t>Activitats extraescolars tipificades, activitats terapèutiques i/o de conciliació familiar per a infants amb necessitats especials, i casals d’estiu: 10.000,00</w:t>
      </w:r>
      <w:r>
        <w:rPr>
          <w:spacing w:val="-10"/>
          <w:sz w:val="22"/>
        </w:rPr>
        <w:t> </w:t>
      </w:r>
      <w:r>
        <w:rPr>
          <w:sz w:val="22"/>
        </w:rPr>
        <w:t>€</w:t>
      </w:r>
    </w:p>
    <w:p>
      <w:pPr>
        <w:pStyle w:val="ListParagraph"/>
        <w:numPr>
          <w:ilvl w:val="1"/>
          <w:numId w:val="7"/>
        </w:numPr>
        <w:tabs>
          <w:tab w:pos="930" w:val="left" w:leader="none"/>
        </w:tabs>
        <w:spacing w:line="240" w:lineRule="auto" w:before="23" w:after="0"/>
        <w:ind w:left="930" w:right="0" w:hanging="216"/>
        <w:jc w:val="left"/>
        <w:rPr>
          <w:sz w:val="22"/>
        </w:rPr>
      </w:pPr>
      <w:r>
        <w:rPr>
          <w:sz w:val="22"/>
        </w:rPr>
        <w:t>Contribucions especials, Execucions subsidiàries i Quotes urbanització: 40.000,00</w:t>
      </w:r>
      <w:r>
        <w:rPr>
          <w:spacing w:val="-18"/>
          <w:sz w:val="22"/>
        </w:rPr>
        <w:t> </w:t>
      </w:r>
      <w:r>
        <w:rPr>
          <w:sz w:val="22"/>
        </w:rPr>
        <w:t>€</w:t>
      </w:r>
    </w:p>
    <w:p>
      <w:pPr>
        <w:pStyle w:val="ListParagraph"/>
        <w:numPr>
          <w:ilvl w:val="1"/>
          <w:numId w:val="7"/>
        </w:numPr>
        <w:tabs>
          <w:tab w:pos="930" w:val="left" w:leader="none"/>
        </w:tabs>
        <w:spacing w:line="273" w:lineRule="auto" w:before="57" w:after="0"/>
        <w:ind w:left="1074" w:right="126" w:hanging="360"/>
        <w:jc w:val="left"/>
        <w:rPr>
          <w:sz w:val="22"/>
        </w:rPr>
      </w:pPr>
      <w:r>
        <w:rPr>
          <w:sz w:val="22"/>
        </w:rPr>
        <w:t>Preu Públic per la Utilització de les Instal·lacions Esportives Municipals. Art. 6 - Tarifa Tercera: Centre Esportiu del Delta: 2.000,00</w:t>
      </w:r>
      <w:r>
        <w:rPr>
          <w:spacing w:val="-7"/>
          <w:sz w:val="22"/>
        </w:rPr>
        <w:t> </w:t>
      </w:r>
      <w:r>
        <w:rPr>
          <w:sz w:val="22"/>
        </w:rPr>
        <w:t>€.</w:t>
      </w:r>
    </w:p>
    <w:p>
      <w:pPr>
        <w:pStyle w:val="ListParagraph"/>
        <w:numPr>
          <w:ilvl w:val="1"/>
          <w:numId w:val="7"/>
        </w:numPr>
        <w:tabs>
          <w:tab w:pos="930" w:val="left" w:leader="none"/>
        </w:tabs>
        <w:spacing w:line="273" w:lineRule="auto" w:before="23" w:after="0"/>
        <w:ind w:left="1074" w:right="129" w:hanging="360"/>
        <w:jc w:val="left"/>
        <w:rPr>
          <w:sz w:val="22"/>
        </w:rPr>
      </w:pPr>
      <w:r>
        <w:rPr>
          <w:sz w:val="22"/>
        </w:rPr>
        <w:t>Taxa per la segona i posteriors assignacions de sepultures, nínxols i columbaris, traspassos de propietat i duplicats de l’escriptura de concessió: 3.000,00</w:t>
      </w:r>
      <w:r>
        <w:rPr>
          <w:spacing w:val="-13"/>
          <w:sz w:val="22"/>
        </w:rPr>
        <w:t> </w:t>
      </w:r>
      <w:r>
        <w:rPr>
          <w:sz w:val="22"/>
        </w:rPr>
        <w:t>€</w:t>
      </w:r>
    </w:p>
    <w:p>
      <w:pPr>
        <w:pStyle w:val="BodyText"/>
        <w:spacing w:before="8"/>
        <w:rPr>
          <w:sz w:val="29"/>
        </w:rPr>
      </w:pPr>
    </w:p>
    <w:p>
      <w:pPr>
        <w:pStyle w:val="Heading1"/>
      </w:pPr>
      <w:r>
        <w:rPr/>
        <w:t>11.- Interpretació de les bases i règim jurídic aplicable</w:t>
      </w:r>
    </w:p>
    <w:p>
      <w:pPr>
        <w:pStyle w:val="BodyText"/>
        <w:spacing w:before="4"/>
        <w:rPr>
          <w:b/>
          <w:sz w:val="31"/>
        </w:rPr>
      </w:pPr>
    </w:p>
    <w:p>
      <w:pPr>
        <w:pStyle w:val="BodyText"/>
        <w:spacing w:line="276" w:lineRule="auto"/>
        <w:ind w:left="222" w:right="137"/>
        <w:jc w:val="both"/>
      </w:pPr>
      <w:r>
        <w:rPr/>
        <w:t>Qualsevol dubte d’interpretació d’aquestes bases serà resolt per les subàrees de Servei a les Persones i d’Afers Interns de l’Ajuntament de Deltebre.</w:t>
      </w:r>
    </w:p>
    <w:p>
      <w:pPr>
        <w:pStyle w:val="BodyText"/>
        <w:spacing w:before="6"/>
        <w:rPr>
          <w:sz w:val="20"/>
        </w:rPr>
      </w:pPr>
    </w:p>
    <w:p>
      <w:pPr>
        <w:pStyle w:val="BodyText"/>
        <w:spacing w:line="276" w:lineRule="auto"/>
        <w:ind w:left="222" w:right="132"/>
        <w:jc w:val="both"/>
      </w:pPr>
      <w:r>
        <w:rPr/>
        <w:t>En tot allò que no es preveu en aquestes bases, de manera expressa, serà d’aplicació el que disposa la Llei 13/2006, de 27 de juliol, de prestacions socials de caràcter econòmic de la Generalitat de Catalunya i la resta de normativa prevista a l’Informe jurídic relatiu a l’aprovació de les Bases que consta a l’expedient.</w:t>
      </w:r>
    </w:p>
    <w:p>
      <w:pPr>
        <w:pStyle w:val="Heading1"/>
        <w:spacing w:before="202"/>
      </w:pPr>
      <w:r>
        <w:rPr/>
        <w:t>Disposició final. Aplicació i vigència</w:t>
      </w:r>
    </w:p>
    <w:p>
      <w:pPr>
        <w:pStyle w:val="BodyText"/>
        <w:spacing w:before="10"/>
        <w:rPr>
          <w:b/>
          <w:sz w:val="20"/>
        </w:rPr>
      </w:pPr>
    </w:p>
    <w:p>
      <w:pPr>
        <w:pStyle w:val="BodyText"/>
        <w:spacing w:line="276" w:lineRule="auto"/>
        <w:ind w:left="222" w:right="133"/>
        <w:jc w:val="both"/>
      </w:pPr>
      <w:r>
        <w:rPr/>
        <w:t>L’aplicació d’aquesta convocatòria queda condicionada a l’aprovació de les corresponents dotacions pressupostàries mitjançant l’aprovació dels pressupostos per a l’exercici 2025. En cas contrari, quedaran sense aplicació.</w:t>
      </w:r>
    </w:p>
    <w:p>
      <w:pPr>
        <w:pStyle w:val="BodyText"/>
        <w:spacing w:line="278" w:lineRule="auto" w:before="201"/>
        <w:ind w:left="222" w:right="139"/>
        <w:jc w:val="both"/>
      </w:pPr>
      <w:r>
        <w:rPr/>
        <w:t>Un cop aprovada per la Junta de Govern Local, entrarà en vigor l’endemà de la seva publicació al Butlletí Oficial de la Província de</w:t>
      </w:r>
      <w:r>
        <w:rPr>
          <w:spacing w:val="-3"/>
        </w:rPr>
        <w:t> </w:t>
      </w:r>
      <w:r>
        <w:rPr/>
        <w:t>Tarragona.</w:t>
      </w:r>
    </w:p>
    <w:p>
      <w:pPr>
        <w:spacing w:after="0" w:line="278" w:lineRule="auto"/>
        <w:jc w:val="both"/>
        <w:sectPr>
          <w:pgSz w:w="11910" w:h="16840"/>
          <w:pgMar w:header="752" w:footer="1022" w:top="2860" w:bottom="1220" w:left="1480" w:right="1140"/>
        </w:sectPr>
      </w:pPr>
    </w:p>
    <w:p>
      <w:pPr>
        <w:pStyle w:val="BodyText"/>
        <w:rPr>
          <w:sz w:val="20"/>
        </w:rPr>
      </w:pPr>
    </w:p>
    <w:p>
      <w:pPr>
        <w:pStyle w:val="BodyText"/>
        <w:spacing w:before="1"/>
        <w:rPr>
          <w:sz w:val="18"/>
        </w:rPr>
      </w:pPr>
    </w:p>
    <w:p>
      <w:pPr>
        <w:pStyle w:val="Heading1"/>
        <w:spacing w:before="92"/>
      </w:pPr>
      <w:r>
        <w:rPr/>
        <w:t>Annex I. Modalitats i percentatges sobre la quota</w:t>
      </w:r>
    </w:p>
    <w:p>
      <w:pPr>
        <w:pStyle w:val="BodyText"/>
        <w:spacing w:before="10"/>
        <w:rPr>
          <w:b/>
          <w:sz w:val="20"/>
        </w:rPr>
      </w:pPr>
    </w:p>
    <w:p>
      <w:pPr>
        <w:spacing w:line="276" w:lineRule="auto" w:before="0"/>
        <w:ind w:left="222" w:right="127" w:firstLine="0"/>
        <w:jc w:val="both"/>
        <w:rPr>
          <w:sz w:val="24"/>
        </w:rPr>
      </w:pPr>
      <w:r>
        <w:rPr>
          <w:b/>
          <w:sz w:val="24"/>
        </w:rPr>
        <w:t>1.- Ajut en funció de la quota de l’Impost de Béns Immobles de naturalesa urbana de l’habitatge d’empadronament. </w:t>
      </w:r>
      <w:r>
        <w:rPr>
          <w:sz w:val="24"/>
        </w:rPr>
        <w:t>Ajut destinat a ajudar econòmicament a les persones sol·licitants que tenen necessitat socioeconòmica i són titulars d’aquest tribut, , en funció de la renda i necessitats de la seva unitat familiar, i sempre que el valor cadastral de la construcció de l’habitatge no superi els 90.000,00</w:t>
      </w:r>
      <w:r>
        <w:rPr>
          <w:spacing w:val="-3"/>
          <w:sz w:val="24"/>
        </w:rPr>
        <w:t> </w:t>
      </w:r>
      <w:r>
        <w:rPr>
          <w:sz w:val="24"/>
        </w:rPr>
        <w:t>€.</w:t>
      </w:r>
    </w:p>
    <w:p>
      <w:pPr>
        <w:pStyle w:val="BodyText"/>
        <w:spacing w:before="8"/>
        <w:rPr>
          <w:sz w:val="27"/>
        </w:rPr>
      </w:pPr>
    </w:p>
    <w:p>
      <w:pPr>
        <w:spacing w:line="276" w:lineRule="auto" w:before="0"/>
        <w:ind w:left="222" w:right="129" w:firstLine="0"/>
        <w:jc w:val="both"/>
        <w:rPr>
          <w:sz w:val="24"/>
        </w:rPr>
      </w:pPr>
      <w:r>
        <w:rPr>
          <w:b/>
          <w:sz w:val="24"/>
        </w:rPr>
        <w:t>2.- Ajut en funció de la quota de l’Impost sobre l’Increment del Valor dels Terrenys de Naturalesa Urbana. </w:t>
      </w:r>
      <w:r>
        <w:rPr>
          <w:sz w:val="24"/>
        </w:rPr>
        <w:t>Ajut destinat a ajudar econòmicament a les persones sol·licitants que tenen necessitat socioeconòmica i són titulars d’aquest tribut, en funció de la renda i necessitats de la seva unitat</w:t>
      </w:r>
      <w:r>
        <w:rPr>
          <w:spacing w:val="-7"/>
          <w:sz w:val="24"/>
        </w:rPr>
        <w:t> </w:t>
      </w:r>
      <w:r>
        <w:rPr>
          <w:sz w:val="24"/>
        </w:rPr>
        <w:t>familiar.</w:t>
      </w:r>
    </w:p>
    <w:p>
      <w:pPr>
        <w:pStyle w:val="BodyText"/>
        <w:spacing w:before="7"/>
        <w:rPr>
          <w:sz w:val="27"/>
        </w:rPr>
      </w:pPr>
    </w:p>
    <w:p>
      <w:pPr>
        <w:spacing w:line="276" w:lineRule="auto" w:before="0"/>
        <w:ind w:left="222" w:right="126" w:firstLine="0"/>
        <w:jc w:val="both"/>
        <w:rPr>
          <w:sz w:val="24"/>
        </w:rPr>
      </w:pPr>
      <w:r>
        <w:rPr>
          <w:b/>
          <w:sz w:val="24"/>
        </w:rPr>
        <w:t>3.- Ajut en funció de la Taxa de serveis de recollida d’Escombraries de l’habitatge d’empadronament. </w:t>
      </w:r>
      <w:r>
        <w:rPr>
          <w:sz w:val="24"/>
        </w:rPr>
        <w:t>Ajut destinat a ajudar econòmicament a les persones sol·licitants que tenen necessitat socioeconòmica i són titulars d’aquest tribut, en funció de la renda i necessitats de la seva unitat</w:t>
      </w:r>
      <w:r>
        <w:rPr>
          <w:spacing w:val="-12"/>
          <w:sz w:val="24"/>
        </w:rPr>
        <w:t> </w:t>
      </w:r>
      <w:r>
        <w:rPr>
          <w:sz w:val="24"/>
        </w:rPr>
        <w:t>familiar.</w:t>
      </w:r>
    </w:p>
    <w:p>
      <w:pPr>
        <w:pStyle w:val="BodyText"/>
        <w:spacing w:before="9"/>
        <w:rPr>
          <w:sz w:val="27"/>
        </w:rPr>
      </w:pPr>
    </w:p>
    <w:p>
      <w:pPr>
        <w:pStyle w:val="ListParagraph"/>
        <w:numPr>
          <w:ilvl w:val="0"/>
          <w:numId w:val="8"/>
        </w:numPr>
        <w:tabs>
          <w:tab w:pos="515" w:val="left" w:leader="none"/>
        </w:tabs>
        <w:spacing w:line="276" w:lineRule="auto" w:before="0" w:after="0"/>
        <w:ind w:left="222" w:right="128" w:firstLine="0"/>
        <w:jc w:val="both"/>
        <w:rPr>
          <w:sz w:val="24"/>
        </w:rPr>
      </w:pPr>
      <w:r>
        <w:rPr>
          <w:b/>
          <w:sz w:val="24"/>
        </w:rPr>
        <w:t>Ajut en funció de la quota de l’Impost de Vehicle de Tracció Mecànica. </w:t>
      </w:r>
      <w:r>
        <w:rPr>
          <w:sz w:val="24"/>
        </w:rPr>
        <w:t>Ajut destinat a ajudar econòmicament a les persones sol·licitants que tenen necessitat socioeconòmica i són titulars d’aquest tribut, en funció de la renda i necessitats de la seva unitat</w:t>
      </w:r>
      <w:r>
        <w:rPr>
          <w:spacing w:val="-3"/>
          <w:sz w:val="24"/>
        </w:rPr>
        <w:t> </w:t>
      </w:r>
      <w:r>
        <w:rPr>
          <w:sz w:val="24"/>
        </w:rPr>
        <w:t>familiar.</w:t>
      </w:r>
    </w:p>
    <w:p>
      <w:pPr>
        <w:pStyle w:val="BodyText"/>
        <w:spacing w:line="276" w:lineRule="auto"/>
        <w:ind w:left="222" w:right="129"/>
        <w:jc w:val="both"/>
      </w:pPr>
      <w:r>
        <w:rPr/>
        <w:t>Es tindrà en compte si són titulars d’un màxim d’un turisme o ciclomotor per unitat familiar de fins a 3 membres, o de dos vehicles per unitat familiar superior.</w:t>
      </w:r>
    </w:p>
    <w:p>
      <w:pPr>
        <w:pStyle w:val="BodyText"/>
        <w:spacing w:line="275" w:lineRule="exact"/>
        <w:ind w:left="222"/>
        <w:jc w:val="both"/>
      </w:pPr>
      <w:r>
        <w:rPr/>
        <w:t>En cas de ser titulars de més vehicles, es tindrà en compte la quota de més import.</w:t>
      </w:r>
    </w:p>
    <w:p>
      <w:pPr>
        <w:pStyle w:val="BodyText"/>
        <w:spacing w:before="1"/>
        <w:rPr>
          <w:sz w:val="31"/>
        </w:rPr>
      </w:pPr>
    </w:p>
    <w:p>
      <w:pPr>
        <w:pStyle w:val="ListParagraph"/>
        <w:numPr>
          <w:ilvl w:val="0"/>
          <w:numId w:val="8"/>
        </w:numPr>
        <w:tabs>
          <w:tab w:pos="544" w:val="left" w:leader="none"/>
        </w:tabs>
        <w:spacing w:line="276" w:lineRule="auto" w:before="0" w:after="0"/>
        <w:ind w:left="222" w:right="126" w:firstLine="0"/>
        <w:jc w:val="both"/>
        <w:rPr>
          <w:sz w:val="24"/>
        </w:rPr>
      </w:pPr>
      <w:r>
        <w:rPr>
          <w:b/>
          <w:sz w:val="24"/>
        </w:rPr>
        <w:t>Ajut en funció de la quota de l’Impost de Construccions, Instal·lacions i Obres (Ordenança Fiscal núm. 4, art. 1 de l’Annex) i per la quota dels conceptes I i II de la Taxa per la Prestació de Serveis Urbanístics (Ordenança Fiscal núm. 15. Art- 6). </w:t>
      </w:r>
      <w:r>
        <w:rPr>
          <w:sz w:val="24"/>
        </w:rPr>
        <w:t>Ajut destinat a ajudar econòmicament a les persones sol·licitants que tenen necessitat socioeconòmica i són titulars d’aquests tributs o taxes, en funció de la renda i necessitats de la seva unitat</w:t>
      </w:r>
      <w:r>
        <w:rPr>
          <w:spacing w:val="-13"/>
          <w:sz w:val="24"/>
        </w:rPr>
        <w:t> </w:t>
      </w:r>
      <w:r>
        <w:rPr>
          <w:sz w:val="24"/>
        </w:rPr>
        <w:t>familiar.</w:t>
      </w:r>
    </w:p>
    <w:p>
      <w:pPr>
        <w:pStyle w:val="BodyText"/>
        <w:spacing w:line="276" w:lineRule="auto" w:before="2"/>
        <w:ind w:left="222" w:right="131"/>
        <w:jc w:val="both"/>
      </w:pPr>
      <w:r>
        <w:rPr/>
        <w:t>Es valorarà quan els fets imposables siguin supòsits inajornables i degudament motivats de necessitat de reformes a l’habitatge habitual. Queden exclosos d’aquest precepte els casos de millora de la imatge de poble que forment part d’unes bases de convocatòria</w:t>
      </w:r>
      <w:r>
        <w:rPr>
          <w:spacing w:val="-4"/>
        </w:rPr>
        <w:t> </w:t>
      </w:r>
      <w:r>
        <w:rPr/>
        <w:t>diferenciades.</w:t>
      </w:r>
    </w:p>
    <w:p>
      <w:pPr>
        <w:spacing w:after="0" w:line="276" w:lineRule="auto"/>
        <w:jc w:val="both"/>
        <w:sectPr>
          <w:pgSz w:w="11910" w:h="16840"/>
          <w:pgMar w:header="752" w:footer="1022" w:top="2860" w:bottom="1220" w:left="1480" w:right="1140"/>
        </w:sectPr>
      </w:pPr>
    </w:p>
    <w:p>
      <w:pPr>
        <w:pStyle w:val="BodyText"/>
        <w:rPr>
          <w:sz w:val="20"/>
        </w:rPr>
      </w:pPr>
    </w:p>
    <w:p>
      <w:pPr>
        <w:pStyle w:val="BodyText"/>
        <w:spacing w:before="1"/>
        <w:rPr>
          <w:sz w:val="18"/>
        </w:rPr>
      </w:pPr>
    </w:p>
    <w:p>
      <w:pPr>
        <w:pStyle w:val="ListParagraph"/>
        <w:numPr>
          <w:ilvl w:val="0"/>
          <w:numId w:val="8"/>
        </w:numPr>
        <w:tabs>
          <w:tab w:pos="563" w:val="left" w:leader="none"/>
        </w:tabs>
        <w:spacing w:line="276" w:lineRule="auto" w:before="92" w:after="0"/>
        <w:ind w:left="222" w:right="128" w:firstLine="0"/>
        <w:jc w:val="both"/>
        <w:rPr>
          <w:sz w:val="24"/>
        </w:rPr>
      </w:pPr>
      <w:r>
        <w:rPr>
          <w:b/>
          <w:sz w:val="24"/>
        </w:rPr>
        <w:t>Ajut en funció de la quota XVI de la Taxa per la Prestació de Serveis Urbanístics (Ordenança Fiscal núm. 15.)</w:t>
      </w:r>
      <w:r>
        <w:rPr>
          <w:sz w:val="24"/>
        </w:rPr>
        <w:t>. Ajut destinat a ajudar econòmicament a les persones sol·licitants que tenen necessitat socioeconòmica i són titulars d’aquesta taxa, en funció de la renda i necessitats de la seva unitat</w:t>
      </w:r>
      <w:r>
        <w:rPr>
          <w:spacing w:val="-11"/>
          <w:sz w:val="24"/>
        </w:rPr>
        <w:t> </w:t>
      </w:r>
      <w:r>
        <w:rPr>
          <w:sz w:val="24"/>
        </w:rPr>
        <w:t>familiar.</w:t>
      </w:r>
    </w:p>
    <w:p>
      <w:pPr>
        <w:pStyle w:val="BodyText"/>
        <w:spacing w:line="276" w:lineRule="auto" w:before="1"/>
        <w:ind w:left="222" w:right="128"/>
        <w:jc w:val="both"/>
      </w:pPr>
      <w:r>
        <w:rPr/>
        <w:t>Es valorarà, sempre que es tracti d’habitatges en construcció, la titularitat dels  quals sigui de persones físiques que, a causa de la crisi econòmica, no hagin pogut finalitzar la seva execució dins del límit de vigència de la llicència</w:t>
      </w:r>
      <w:r>
        <w:rPr>
          <w:spacing w:val="-11"/>
        </w:rPr>
        <w:t> </w:t>
      </w:r>
      <w:r>
        <w:rPr/>
        <w:t>d’obres.</w:t>
      </w:r>
    </w:p>
    <w:p>
      <w:pPr>
        <w:pStyle w:val="BodyText"/>
        <w:spacing w:before="7"/>
        <w:rPr>
          <w:sz w:val="27"/>
        </w:rPr>
      </w:pPr>
    </w:p>
    <w:p>
      <w:pPr>
        <w:pStyle w:val="ListParagraph"/>
        <w:numPr>
          <w:ilvl w:val="0"/>
          <w:numId w:val="8"/>
        </w:numPr>
        <w:tabs>
          <w:tab w:pos="503" w:val="left" w:leader="none"/>
        </w:tabs>
        <w:spacing w:line="276" w:lineRule="auto" w:before="0" w:after="0"/>
        <w:ind w:left="222" w:right="126" w:firstLine="0"/>
        <w:jc w:val="both"/>
        <w:rPr>
          <w:sz w:val="24"/>
        </w:rPr>
      </w:pPr>
      <w:r>
        <w:rPr>
          <w:b/>
          <w:sz w:val="24"/>
        </w:rPr>
        <w:t>Ajut en funció de la quota de preu públic per l’assistència a l’escola bressol “L’Hortet”</w:t>
      </w:r>
      <w:r>
        <w:rPr>
          <w:sz w:val="24"/>
        </w:rPr>
        <w:t>. Ajut destinat a ajudar econòmicament a les persones sol·licitants que tenen necessitat socioeconòmica i han de satisfer la quota mensual, la matrícula del curs i/o altres serveis complementaris per l’assistència dels/les fills/es a l’Escola Bressol “L’Hortet”, en funció de la renda i necessitats de la seva unitat</w:t>
      </w:r>
      <w:r>
        <w:rPr>
          <w:spacing w:val="-20"/>
          <w:sz w:val="24"/>
        </w:rPr>
        <w:t> </w:t>
      </w:r>
      <w:r>
        <w:rPr>
          <w:sz w:val="24"/>
        </w:rPr>
        <w:t>familiar.</w:t>
      </w:r>
    </w:p>
    <w:p>
      <w:pPr>
        <w:pStyle w:val="BodyText"/>
        <w:spacing w:before="6"/>
        <w:rPr>
          <w:sz w:val="27"/>
        </w:rPr>
      </w:pPr>
    </w:p>
    <w:p>
      <w:pPr>
        <w:pStyle w:val="Heading1"/>
        <w:numPr>
          <w:ilvl w:val="0"/>
          <w:numId w:val="8"/>
        </w:numPr>
        <w:tabs>
          <w:tab w:pos="674" w:val="left" w:leader="none"/>
        </w:tabs>
        <w:spacing w:line="276" w:lineRule="auto" w:before="0" w:after="0"/>
        <w:ind w:left="222" w:right="131" w:firstLine="0"/>
        <w:jc w:val="both"/>
        <w:rPr>
          <w:b w:val="0"/>
        </w:rPr>
      </w:pPr>
      <w:r>
        <w:rPr/>
        <w:t>Activitats extraescolars tipificades, activitats terapèutiques i/o de conciliació familiar per a infants amb necessitats especials, i casals</w:t>
      </w:r>
      <w:r>
        <w:rPr>
          <w:spacing w:val="-15"/>
        </w:rPr>
        <w:t> </w:t>
      </w:r>
      <w:r>
        <w:rPr/>
        <w:t>d’estiu</w:t>
      </w:r>
      <w:r>
        <w:rPr>
          <w:b w:val="0"/>
        </w:rPr>
        <w:t>.</w:t>
      </w:r>
    </w:p>
    <w:p>
      <w:pPr>
        <w:pStyle w:val="BodyText"/>
        <w:spacing w:before="8"/>
        <w:rPr>
          <w:sz w:val="27"/>
        </w:rPr>
      </w:pPr>
    </w:p>
    <w:p>
      <w:pPr>
        <w:pStyle w:val="ListParagraph"/>
        <w:numPr>
          <w:ilvl w:val="1"/>
          <w:numId w:val="8"/>
        </w:numPr>
        <w:tabs>
          <w:tab w:pos="1454" w:val="left" w:leader="none"/>
        </w:tabs>
        <w:spacing w:line="276" w:lineRule="auto" w:before="0" w:after="0"/>
        <w:ind w:left="930" w:right="128" w:firstLine="0"/>
        <w:jc w:val="both"/>
        <w:rPr>
          <w:sz w:val="24"/>
        </w:rPr>
      </w:pPr>
      <w:r>
        <w:rPr>
          <w:sz w:val="24"/>
        </w:rPr>
        <w:t>S’entenen Activitats extraescolars tipificades i casals d’estiu aquelles prestades per entitats* del municipi inscrites al REM, sense ànim de lucre i de caire formatiu, de lleure o destinades a la conciliació familiar. Aquest ajut permetrà universalitzar la igualtat d’oportunitats entre els alumnes empadronats a Deltebre i estarà destinat a cobrir fins al 100% de la quota anual de l’activitat o del cost de la matrícula al Casal d’Estiu, en funció de la renda i necessitats de la seva unitat</w:t>
      </w:r>
      <w:r>
        <w:rPr>
          <w:spacing w:val="-5"/>
          <w:sz w:val="24"/>
        </w:rPr>
        <w:t> </w:t>
      </w:r>
      <w:r>
        <w:rPr>
          <w:sz w:val="24"/>
        </w:rPr>
        <w:t>familiar.</w:t>
      </w:r>
    </w:p>
    <w:p>
      <w:pPr>
        <w:pStyle w:val="BodyText"/>
        <w:spacing w:before="7"/>
        <w:rPr>
          <w:sz w:val="27"/>
        </w:rPr>
      </w:pPr>
    </w:p>
    <w:p>
      <w:pPr>
        <w:pStyle w:val="BodyText"/>
        <w:spacing w:line="276" w:lineRule="auto"/>
        <w:ind w:left="930" w:right="128"/>
        <w:jc w:val="both"/>
      </w:pPr>
      <w:r>
        <w:rPr/>
        <w:t>Cada unitat familiar pot sol·licitar, per a cada convocatòria, l’ajut per a una activitat extraescolar per cada fill. L’informe tècnic valorarà, ateses les circumstàncies de cada cas, si és més escaient concedir l’ajut per any natural o per</w:t>
      </w:r>
      <w:r>
        <w:rPr>
          <w:spacing w:val="-3"/>
        </w:rPr>
        <w:t> </w:t>
      </w:r>
      <w:r>
        <w:rPr/>
        <w:t>curs.</w:t>
      </w:r>
    </w:p>
    <w:p>
      <w:pPr>
        <w:pStyle w:val="BodyText"/>
        <w:spacing w:before="7"/>
        <w:rPr>
          <w:sz w:val="27"/>
        </w:rPr>
      </w:pPr>
    </w:p>
    <w:p>
      <w:pPr>
        <w:spacing w:line="276" w:lineRule="auto" w:before="0"/>
        <w:ind w:left="930" w:right="128" w:firstLine="0"/>
        <w:jc w:val="both"/>
        <w:rPr>
          <w:i/>
          <w:sz w:val="24"/>
        </w:rPr>
      </w:pPr>
      <w:r>
        <w:rPr>
          <w:sz w:val="24"/>
        </w:rPr>
        <w:t>*</w:t>
      </w:r>
      <w:r>
        <w:rPr>
          <w:i/>
          <w:sz w:val="24"/>
        </w:rPr>
        <w:t>Es podran valorar també ajuts per activitats extraescolars o de conciliació </w:t>
      </w:r>
      <w:r>
        <w:rPr>
          <w:i/>
          <w:sz w:val="24"/>
        </w:rPr>
        <w:t>familiar prestades per empreses quan aquestes tinguin seu social al municipi i prestin una activitat de suport familiar a un centre educatiu en coordinació amb aquest o amb</w:t>
      </w:r>
      <w:r>
        <w:rPr>
          <w:i/>
          <w:spacing w:val="-4"/>
          <w:sz w:val="24"/>
        </w:rPr>
        <w:t> </w:t>
      </w:r>
      <w:r>
        <w:rPr>
          <w:i/>
          <w:sz w:val="24"/>
        </w:rPr>
        <w:t>l’AFA.</w:t>
      </w:r>
    </w:p>
    <w:p>
      <w:pPr>
        <w:pStyle w:val="BodyText"/>
        <w:spacing w:before="7"/>
        <w:rPr>
          <w:i/>
          <w:sz w:val="27"/>
        </w:rPr>
      </w:pPr>
    </w:p>
    <w:p>
      <w:pPr>
        <w:pStyle w:val="ListParagraph"/>
        <w:numPr>
          <w:ilvl w:val="1"/>
          <w:numId w:val="8"/>
        </w:numPr>
        <w:tabs>
          <w:tab w:pos="1444" w:val="left" w:leader="none"/>
        </w:tabs>
        <w:spacing w:line="278" w:lineRule="auto" w:before="0" w:after="0"/>
        <w:ind w:left="930" w:right="126" w:firstLine="0"/>
        <w:jc w:val="both"/>
        <w:rPr>
          <w:sz w:val="24"/>
        </w:rPr>
      </w:pPr>
      <w:r>
        <w:rPr>
          <w:sz w:val="24"/>
        </w:rPr>
        <w:t>S’entenen per activitats de conciliació familiar i/o terapèutiques per a infants amb necessitats especials aquelles sessions d’atenció</w:t>
      </w:r>
      <w:r>
        <w:rPr>
          <w:spacing w:val="50"/>
          <w:sz w:val="24"/>
        </w:rPr>
        <w:t> </w:t>
      </w:r>
      <w:r>
        <w:rPr>
          <w:sz w:val="24"/>
        </w:rPr>
        <w:t>especialitzada</w:t>
      </w:r>
    </w:p>
    <w:p>
      <w:pPr>
        <w:spacing w:after="0" w:line="278" w:lineRule="auto"/>
        <w:jc w:val="both"/>
        <w:rPr>
          <w:sz w:val="24"/>
        </w:rPr>
        <w:sectPr>
          <w:pgSz w:w="11910" w:h="16840"/>
          <w:pgMar w:header="752" w:footer="1022" w:top="2860" w:bottom="1220" w:left="1480" w:right="1140"/>
        </w:sectPr>
      </w:pPr>
    </w:p>
    <w:p>
      <w:pPr>
        <w:pStyle w:val="BodyText"/>
        <w:rPr>
          <w:sz w:val="20"/>
        </w:rPr>
      </w:pPr>
    </w:p>
    <w:p>
      <w:pPr>
        <w:pStyle w:val="BodyText"/>
        <w:spacing w:before="1"/>
        <w:rPr>
          <w:sz w:val="18"/>
        </w:rPr>
      </w:pPr>
    </w:p>
    <w:p>
      <w:pPr>
        <w:pStyle w:val="BodyText"/>
        <w:spacing w:line="276" w:lineRule="auto" w:before="92"/>
        <w:ind w:left="930" w:right="134"/>
        <w:jc w:val="both"/>
      </w:pPr>
      <w:r>
        <w:rPr/>
        <w:t>de caire psicopedagògic o similar que siguin necessàries per al seu desenvolupament, i que siguin prestades per entitats o per empreses professionals especialitzades del sector amb seu al municipi.</w:t>
      </w:r>
    </w:p>
    <w:p>
      <w:pPr>
        <w:pStyle w:val="BodyText"/>
        <w:spacing w:line="276" w:lineRule="auto" w:before="1"/>
        <w:ind w:left="930" w:right="132"/>
        <w:jc w:val="both"/>
      </w:pPr>
      <w:r>
        <w:rPr/>
        <w:t>En casos excepcionals es podrà acceptar que la teràpia sigui prestada a centres professionals de fora del municipi, si és el més adient per a l’infant.</w:t>
      </w:r>
    </w:p>
    <w:p>
      <w:pPr>
        <w:pStyle w:val="BodyText"/>
        <w:spacing w:line="276" w:lineRule="auto"/>
        <w:ind w:left="930" w:right="132"/>
        <w:jc w:val="both"/>
      </w:pPr>
      <w:r>
        <w:rPr/>
        <w:t>En aquests casos, cada unitat familiar podrà sol·licitar un ajut per infant per a cada trimestre de la convocatòria.</w:t>
      </w:r>
    </w:p>
    <w:p>
      <w:pPr>
        <w:pStyle w:val="BodyText"/>
        <w:spacing w:before="7"/>
        <w:rPr>
          <w:sz w:val="27"/>
        </w:rPr>
      </w:pPr>
    </w:p>
    <w:p>
      <w:pPr>
        <w:pStyle w:val="ListParagraph"/>
        <w:numPr>
          <w:ilvl w:val="0"/>
          <w:numId w:val="8"/>
        </w:numPr>
        <w:tabs>
          <w:tab w:pos="563" w:val="left" w:leader="none"/>
        </w:tabs>
        <w:spacing w:line="276" w:lineRule="auto" w:before="0" w:after="0"/>
        <w:ind w:left="222" w:right="128" w:firstLine="0"/>
        <w:jc w:val="both"/>
        <w:rPr>
          <w:sz w:val="24"/>
        </w:rPr>
      </w:pPr>
      <w:r>
        <w:rPr>
          <w:b/>
          <w:sz w:val="24"/>
        </w:rPr>
        <w:t>Ajuts en funció de la quota de Contribucions Especials</w:t>
      </w:r>
      <w:r>
        <w:rPr>
          <w:sz w:val="24"/>
        </w:rPr>
        <w:t>. Ajut destinat a ajudar econòmicament a les persones sol·licitants que tenen necessitat socioeconòmica i són titulars d’aquesta quota per l’habitatge habitual, en execució  a l’exercici en el qual es sol·licita l’ajut. Aquest serà en funció de la renda i necessitats de la seva unitat familiar. El valor cadastral objecte de la liquidació no ha de superar els 90.000,00 €. La quantia màxima d’ajut en aquest cas no pot superar els 6.000,00</w:t>
      </w:r>
      <w:r>
        <w:rPr>
          <w:spacing w:val="-6"/>
          <w:sz w:val="24"/>
        </w:rPr>
        <w:t> </w:t>
      </w:r>
      <w:r>
        <w:rPr>
          <w:sz w:val="24"/>
        </w:rPr>
        <w:t>€.</w:t>
      </w:r>
    </w:p>
    <w:p>
      <w:pPr>
        <w:pStyle w:val="BodyText"/>
        <w:spacing w:before="7"/>
        <w:rPr>
          <w:sz w:val="27"/>
        </w:rPr>
      </w:pPr>
    </w:p>
    <w:p>
      <w:pPr>
        <w:pStyle w:val="BodyText"/>
        <w:spacing w:line="276" w:lineRule="auto"/>
        <w:ind w:left="222" w:right="131"/>
        <w:jc w:val="both"/>
      </w:pPr>
      <w:r>
        <w:rPr/>
        <w:t>A efectes d’aquest ajut, es considerarà habitatge habitual aquell en el que hagi figurat empadronat el contribuent de forma ininterrompuda durant, almenys, dos anys a excepció de situacions sobrevingudes i degudament acreditades i motivades.</w:t>
      </w:r>
    </w:p>
    <w:p>
      <w:pPr>
        <w:pStyle w:val="BodyText"/>
        <w:spacing w:before="7"/>
        <w:rPr>
          <w:sz w:val="27"/>
        </w:rPr>
      </w:pPr>
    </w:p>
    <w:p>
      <w:pPr>
        <w:pStyle w:val="ListParagraph"/>
        <w:numPr>
          <w:ilvl w:val="0"/>
          <w:numId w:val="8"/>
        </w:numPr>
        <w:tabs>
          <w:tab w:pos="650" w:val="left" w:leader="none"/>
        </w:tabs>
        <w:spacing w:line="276" w:lineRule="auto" w:before="0" w:after="0"/>
        <w:ind w:left="222" w:right="128" w:firstLine="0"/>
        <w:jc w:val="both"/>
        <w:rPr>
          <w:sz w:val="24"/>
        </w:rPr>
      </w:pPr>
      <w:r>
        <w:rPr>
          <w:b/>
          <w:sz w:val="24"/>
        </w:rPr>
        <w:t>Ajut en funció de la taxa per Conservació i neteja de les instal·lacions del Cementiri Municipal per cada nínxol i columbari</w:t>
      </w:r>
      <w:r>
        <w:rPr>
          <w:sz w:val="24"/>
        </w:rPr>
        <w:t>. </w:t>
      </w:r>
      <w:r>
        <w:rPr>
          <w:b/>
          <w:sz w:val="24"/>
        </w:rPr>
        <w:t>(Ordenança Fiscal núm. 9). </w:t>
      </w:r>
      <w:r>
        <w:rPr>
          <w:sz w:val="24"/>
        </w:rPr>
        <w:t>Ajut destinat a ajudar econòmicament a les persones sol·licitants que tenen necessitat socioeconòmica i són titulars d’aquesta taxa, en funció de la renda i necessitats de la seva unitat</w:t>
      </w:r>
      <w:r>
        <w:rPr>
          <w:spacing w:val="-5"/>
          <w:sz w:val="24"/>
        </w:rPr>
        <w:t> </w:t>
      </w:r>
      <w:r>
        <w:rPr>
          <w:sz w:val="24"/>
        </w:rPr>
        <w:t>familiar.</w:t>
      </w:r>
    </w:p>
    <w:p>
      <w:pPr>
        <w:pStyle w:val="BodyText"/>
        <w:spacing w:line="276" w:lineRule="auto"/>
        <w:ind w:left="222" w:right="131"/>
        <w:jc w:val="both"/>
      </w:pPr>
      <w:r>
        <w:rPr/>
        <w:t>Es valorarà fins a un màxim d’un nínxol/columbari per unitat familiar de menys de 3 membres o de dos nínxols/columbaris per unitat familiar de 3 membres o superior.</w:t>
      </w:r>
    </w:p>
    <w:p>
      <w:pPr>
        <w:pStyle w:val="BodyText"/>
        <w:spacing w:before="7"/>
        <w:rPr>
          <w:sz w:val="27"/>
        </w:rPr>
      </w:pPr>
    </w:p>
    <w:p>
      <w:pPr>
        <w:pStyle w:val="ListParagraph"/>
        <w:numPr>
          <w:ilvl w:val="0"/>
          <w:numId w:val="8"/>
        </w:numPr>
        <w:tabs>
          <w:tab w:pos="640" w:val="left" w:leader="none"/>
        </w:tabs>
        <w:spacing w:line="276" w:lineRule="auto" w:before="1" w:after="0"/>
        <w:ind w:left="222" w:right="130" w:firstLine="0"/>
        <w:jc w:val="both"/>
        <w:rPr>
          <w:sz w:val="24"/>
        </w:rPr>
      </w:pPr>
      <w:r>
        <w:rPr>
          <w:b/>
          <w:sz w:val="24"/>
        </w:rPr>
        <w:t>Ajut en funció de la taxa de Cementiri Municipal, Ordenança Fiscal núm. 9, Art. 6è, Epígrafs Segon, Tercer i Setè</w:t>
      </w:r>
      <w:r>
        <w:rPr>
          <w:sz w:val="24"/>
        </w:rPr>
        <w:t>. Ajut destinat a ajudar econòmicament a  les persones sol·licitants que tenen necessitat socioeconòmica i són titulars de la taxa per la segona i posteriors assignacions de sepultures, nínxols i columbaris, traspassos de propietat i per cada duplicat de l’escriptura de concessió de nínxol, en funció de la renda i les necessitats de la seva unitat</w:t>
      </w:r>
      <w:r>
        <w:rPr>
          <w:spacing w:val="-12"/>
          <w:sz w:val="24"/>
        </w:rPr>
        <w:t> </w:t>
      </w:r>
      <w:r>
        <w:rPr>
          <w:sz w:val="24"/>
        </w:rPr>
        <w:t>familiar.</w:t>
      </w:r>
    </w:p>
    <w:p>
      <w:pPr>
        <w:spacing w:after="0" w:line="276" w:lineRule="auto"/>
        <w:jc w:val="both"/>
        <w:rPr>
          <w:sz w:val="24"/>
        </w:rPr>
        <w:sectPr>
          <w:pgSz w:w="11910" w:h="16840"/>
          <w:pgMar w:header="752" w:footer="1022" w:top="2860" w:bottom="1220" w:left="1480" w:right="1140"/>
        </w:sectPr>
      </w:pPr>
    </w:p>
    <w:p>
      <w:pPr>
        <w:pStyle w:val="BodyText"/>
        <w:rPr>
          <w:sz w:val="20"/>
        </w:rPr>
      </w:pPr>
    </w:p>
    <w:p>
      <w:pPr>
        <w:pStyle w:val="BodyText"/>
        <w:spacing w:before="1"/>
        <w:rPr>
          <w:sz w:val="18"/>
        </w:rPr>
      </w:pPr>
    </w:p>
    <w:p>
      <w:pPr>
        <w:pStyle w:val="ListParagraph"/>
        <w:numPr>
          <w:ilvl w:val="0"/>
          <w:numId w:val="8"/>
        </w:numPr>
        <w:tabs>
          <w:tab w:pos="710" w:val="left" w:leader="none"/>
        </w:tabs>
        <w:spacing w:line="276" w:lineRule="auto" w:before="92" w:after="0"/>
        <w:ind w:left="222" w:right="129" w:firstLine="0"/>
        <w:jc w:val="both"/>
        <w:rPr>
          <w:sz w:val="24"/>
        </w:rPr>
      </w:pPr>
      <w:r>
        <w:rPr>
          <w:b/>
          <w:sz w:val="24"/>
        </w:rPr>
        <w:t>Ajut en funció del Preu Públic per la Utilització de les Instal·lacions Esportives Municipals, Art. 6 -Tarifa Tercera: Centre Esportiu del Delta, punts, 1, 2, 14 i 15</w:t>
      </w:r>
      <w:r>
        <w:rPr>
          <w:sz w:val="24"/>
        </w:rPr>
        <w:t>. Ajut destinat a ajudar econòmicament a les persones sol·licitants que tenen necessitat socioeconòmica i han de satisfer el preu públic del Centre Esportiu del Delta, estipulats als punts 1, 2, </w:t>
      </w:r>
      <w:r>
        <w:rPr>
          <w:spacing w:val="2"/>
          <w:sz w:val="24"/>
        </w:rPr>
        <w:t>14 </w:t>
      </w:r>
      <w:r>
        <w:rPr>
          <w:sz w:val="24"/>
        </w:rPr>
        <w:t>i 15 de l’art. 6, en funció de la renda i necessitats de la seva unitat</w:t>
      </w:r>
      <w:r>
        <w:rPr>
          <w:spacing w:val="-3"/>
          <w:sz w:val="24"/>
        </w:rPr>
        <w:t> </w:t>
      </w:r>
      <w:r>
        <w:rPr>
          <w:sz w:val="24"/>
        </w:rPr>
        <w:t>familiar.</w:t>
      </w:r>
    </w:p>
    <w:p>
      <w:pPr>
        <w:pStyle w:val="BodyText"/>
        <w:spacing w:before="8"/>
        <w:rPr>
          <w:sz w:val="27"/>
        </w:rPr>
      </w:pPr>
    </w:p>
    <w:p>
      <w:pPr>
        <w:pStyle w:val="ListParagraph"/>
        <w:numPr>
          <w:ilvl w:val="0"/>
          <w:numId w:val="8"/>
        </w:numPr>
        <w:tabs>
          <w:tab w:pos="724" w:val="left" w:leader="none"/>
        </w:tabs>
        <w:spacing w:line="276" w:lineRule="auto" w:before="0" w:after="0"/>
        <w:ind w:left="222" w:right="128" w:firstLine="0"/>
        <w:jc w:val="both"/>
        <w:rPr>
          <w:sz w:val="24"/>
        </w:rPr>
      </w:pPr>
      <w:r>
        <w:rPr>
          <w:b/>
          <w:sz w:val="24"/>
        </w:rPr>
        <w:t>Ajut en funció de les execucions subsidiàries. </w:t>
      </w:r>
      <w:r>
        <w:rPr>
          <w:sz w:val="24"/>
        </w:rPr>
        <w:t>Ajut destinat a ajudar econòmicament a les persones sol·licitants que tenen necessitat socioeconòmica i són titulars de la liquidació corresponent a les execucions subsidiàries, en funció de la renda i necessitats de la seva unitat familiar. La quantia màxima d’ajut en aquest cas no pot superar els 6.000,00</w:t>
      </w:r>
      <w:r>
        <w:rPr>
          <w:spacing w:val="-4"/>
          <w:sz w:val="24"/>
        </w:rPr>
        <w:t> </w:t>
      </w:r>
      <w:r>
        <w:rPr>
          <w:sz w:val="24"/>
        </w:rPr>
        <w:t>€.</w:t>
      </w:r>
    </w:p>
    <w:p>
      <w:pPr>
        <w:pStyle w:val="BodyText"/>
        <w:spacing w:before="6"/>
        <w:rPr>
          <w:sz w:val="27"/>
        </w:rPr>
      </w:pPr>
    </w:p>
    <w:p>
      <w:pPr>
        <w:pStyle w:val="ListParagraph"/>
        <w:numPr>
          <w:ilvl w:val="0"/>
          <w:numId w:val="8"/>
        </w:numPr>
        <w:tabs>
          <w:tab w:pos="770" w:val="left" w:leader="none"/>
        </w:tabs>
        <w:spacing w:line="276" w:lineRule="auto" w:before="0" w:after="0"/>
        <w:ind w:left="222" w:right="128" w:firstLine="0"/>
        <w:jc w:val="both"/>
        <w:rPr>
          <w:sz w:val="24"/>
        </w:rPr>
      </w:pPr>
      <w:r>
        <w:rPr>
          <w:b/>
          <w:sz w:val="24"/>
        </w:rPr>
        <w:t>Ajut en funció de les quotes urbanització. </w:t>
      </w:r>
      <w:r>
        <w:rPr>
          <w:sz w:val="24"/>
        </w:rPr>
        <w:t>Ajut destinat a ajudar econòmicament a les persones sol·licitants que tenen necessitat socioeconòmica i són titulars de la liquidació corresponent a les quotes d’urbanització, en funció de la renda i necessitats de la seva unitat familiar. La quantia màxima d’ajut en aquest cas no pot superar els 6.000,00</w:t>
      </w:r>
      <w:r>
        <w:rPr>
          <w:spacing w:val="-4"/>
          <w:sz w:val="24"/>
        </w:rPr>
        <w:t> </w:t>
      </w:r>
      <w:r>
        <w:rPr>
          <w:sz w:val="24"/>
        </w:rPr>
        <w:t>€.</w:t>
      </w:r>
    </w:p>
    <w:p>
      <w:pPr>
        <w:spacing w:after="0" w:line="276" w:lineRule="auto"/>
        <w:jc w:val="both"/>
        <w:rPr>
          <w:sz w:val="24"/>
        </w:rPr>
        <w:sectPr>
          <w:pgSz w:w="11910" w:h="16840"/>
          <w:pgMar w:header="752" w:footer="1022" w:top="2860" w:bottom="1220" w:left="1480" w:right="1140"/>
        </w:sectPr>
      </w:pPr>
    </w:p>
    <w:p>
      <w:pPr>
        <w:pStyle w:val="BodyText"/>
        <w:rPr>
          <w:sz w:val="20"/>
        </w:rPr>
      </w:pPr>
    </w:p>
    <w:p>
      <w:pPr>
        <w:pStyle w:val="BodyText"/>
        <w:spacing w:before="1"/>
        <w:rPr>
          <w:sz w:val="18"/>
        </w:rPr>
      </w:pPr>
    </w:p>
    <w:p>
      <w:pPr>
        <w:pStyle w:val="Heading1"/>
        <w:spacing w:before="92"/>
      </w:pPr>
      <w:r>
        <w:rPr/>
        <w:t>Annex II Límits d’ingressos mensuals familiars</w:t>
      </w:r>
    </w:p>
    <w:p>
      <w:pPr>
        <w:pStyle w:val="BodyText"/>
        <w:spacing w:before="1"/>
        <w:rPr>
          <w:b/>
          <w:sz w:val="31"/>
        </w:rPr>
      </w:pPr>
    </w:p>
    <w:p>
      <w:pPr>
        <w:pStyle w:val="BodyText"/>
        <w:spacing w:line="276" w:lineRule="auto"/>
        <w:ind w:left="222" w:right="131"/>
        <w:jc w:val="both"/>
      </w:pPr>
      <w:r>
        <w:rPr/>
        <w:t>Els ingressos mensuals familiars màxims per sol·licitar l’ajuda, seran els que resulten de la valoració efectuada tenint com a barem l’IRSC i el punt precedent, d’acord amb la taula següent “Unitat familiar” (els valors d’aquesta taula s’actualitzaran de forma automàtica en entrar en vigor el nou IRSC aprovat per la Generalitat de Catalunya per a l’exercici que es sol·licita l’ajut, sense necessitat de modificació d’aquesta convocatòria o les bases corresponents).</w:t>
      </w:r>
    </w:p>
    <w:p>
      <w:pPr>
        <w:pStyle w:val="BodyText"/>
        <w:spacing w:before="8"/>
        <w:rPr>
          <w:sz w:val="27"/>
        </w:rPr>
      </w:pPr>
    </w:p>
    <w:tbl>
      <w:tblPr>
        <w:tblW w:w="0" w:type="auto"/>
        <w:jc w:val="left"/>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31"/>
        <w:gridCol w:w="1536"/>
      </w:tblGrid>
      <w:tr>
        <w:trPr>
          <w:trHeight w:val="517" w:hRule="atLeast"/>
        </w:trPr>
        <w:tc>
          <w:tcPr>
            <w:tcW w:w="5931" w:type="dxa"/>
          </w:tcPr>
          <w:p>
            <w:pPr>
              <w:pStyle w:val="TableParagraph"/>
              <w:ind w:left="69"/>
              <w:rPr>
                <w:b/>
                <w:sz w:val="24"/>
              </w:rPr>
            </w:pPr>
            <w:r>
              <w:rPr>
                <w:b/>
                <w:sz w:val="24"/>
              </w:rPr>
              <w:t>Unitat familiar</w:t>
            </w:r>
          </w:p>
        </w:tc>
        <w:tc>
          <w:tcPr>
            <w:tcW w:w="1536" w:type="dxa"/>
          </w:tcPr>
          <w:p>
            <w:pPr>
              <w:pStyle w:val="TableParagraph"/>
              <w:ind w:left="0" w:right="279"/>
              <w:jc w:val="right"/>
              <w:rPr>
                <w:b/>
                <w:sz w:val="24"/>
              </w:rPr>
            </w:pPr>
            <w:r>
              <w:rPr>
                <w:b/>
                <w:sz w:val="24"/>
              </w:rPr>
              <w:t>IRSC x 1,5</w:t>
            </w:r>
          </w:p>
        </w:tc>
      </w:tr>
      <w:tr>
        <w:trPr>
          <w:trHeight w:val="518" w:hRule="atLeast"/>
        </w:trPr>
        <w:tc>
          <w:tcPr>
            <w:tcW w:w="5931" w:type="dxa"/>
          </w:tcPr>
          <w:p>
            <w:pPr>
              <w:pStyle w:val="TableParagraph"/>
              <w:ind w:left="69"/>
              <w:rPr>
                <w:sz w:val="24"/>
              </w:rPr>
            </w:pPr>
            <w:r>
              <w:rPr>
                <w:sz w:val="24"/>
              </w:rPr>
              <w:t>Un adult</w:t>
            </w:r>
          </w:p>
        </w:tc>
        <w:tc>
          <w:tcPr>
            <w:tcW w:w="1536" w:type="dxa"/>
          </w:tcPr>
          <w:p>
            <w:pPr>
              <w:pStyle w:val="TableParagraph"/>
              <w:ind w:left="0" w:right="253"/>
              <w:jc w:val="right"/>
              <w:rPr>
                <w:sz w:val="24"/>
              </w:rPr>
            </w:pPr>
            <w:r>
              <w:rPr>
                <w:sz w:val="24"/>
              </w:rPr>
              <w:t>1.133,73 €</w:t>
            </w:r>
          </w:p>
        </w:tc>
      </w:tr>
      <w:tr>
        <w:trPr>
          <w:trHeight w:val="515" w:hRule="atLeast"/>
        </w:trPr>
        <w:tc>
          <w:tcPr>
            <w:tcW w:w="5931" w:type="dxa"/>
          </w:tcPr>
          <w:p>
            <w:pPr>
              <w:pStyle w:val="TableParagraph"/>
              <w:ind w:left="69"/>
              <w:rPr>
                <w:sz w:val="24"/>
              </w:rPr>
            </w:pPr>
            <w:r>
              <w:rPr>
                <w:sz w:val="24"/>
              </w:rPr>
              <w:t>Un adult i un menor*</w:t>
            </w:r>
          </w:p>
        </w:tc>
        <w:tc>
          <w:tcPr>
            <w:tcW w:w="1536" w:type="dxa"/>
          </w:tcPr>
          <w:p>
            <w:pPr>
              <w:pStyle w:val="TableParagraph"/>
              <w:ind w:left="0" w:right="253"/>
              <w:jc w:val="right"/>
              <w:rPr>
                <w:sz w:val="24"/>
              </w:rPr>
            </w:pPr>
            <w:r>
              <w:rPr>
                <w:sz w:val="24"/>
              </w:rPr>
              <w:t>1.473,85 €</w:t>
            </w:r>
          </w:p>
        </w:tc>
      </w:tr>
      <w:tr>
        <w:trPr>
          <w:trHeight w:val="518" w:hRule="atLeast"/>
        </w:trPr>
        <w:tc>
          <w:tcPr>
            <w:tcW w:w="5931" w:type="dxa"/>
          </w:tcPr>
          <w:p>
            <w:pPr>
              <w:pStyle w:val="TableParagraph"/>
              <w:ind w:left="69"/>
              <w:rPr>
                <w:sz w:val="24"/>
              </w:rPr>
            </w:pPr>
            <w:r>
              <w:rPr>
                <w:sz w:val="24"/>
              </w:rPr>
              <w:t>Un adult i dos menors</w:t>
            </w:r>
          </w:p>
        </w:tc>
        <w:tc>
          <w:tcPr>
            <w:tcW w:w="1536" w:type="dxa"/>
          </w:tcPr>
          <w:p>
            <w:pPr>
              <w:pStyle w:val="TableParagraph"/>
              <w:ind w:left="0" w:right="253"/>
              <w:jc w:val="right"/>
              <w:rPr>
                <w:sz w:val="24"/>
              </w:rPr>
            </w:pPr>
            <w:r>
              <w:rPr>
                <w:sz w:val="24"/>
              </w:rPr>
              <w:t>1.813,97 €</w:t>
            </w:r>
          </w:p>
        </w:tc>
      </w:tr>
      <w:tr>
        <w:trPr>
          <w:trHeight w:val="518" w:hRule="atLeast"/>
        </w:trPr>
        <w:tc>
          <w:tcPr>
            <w:tcW w:w="5931" w:type="dxa"/>
          </w:tcPr>
          <w:p>
            <w:pPr>
              <w:pStyle w:val="TableParagraph"/>
              <w:ind w:left="69"/>
              <w:rPr>
                <w:sz w:val="24"/>
              </w:rPr>
            </w:pPr>
            <w:r>
              <w:rPr>
                <w:sz w:val="24"/>
              </w:rPr>
              <w:t>Un adult i tres menors</w:t>
            </w:r>
          </w:p>
        </w:tc>
        <w:tc>
          <w:tcPr>
            <w:tcW w:w="1536" w:type="dxa"/>
          </w:tcPr>
          <w:p>
            <w:pPr>
              <w:pStyle w:val="TableParagraph"/>
              <w:ind w:left="0" w:right="253"/>
              <w:jc w:val="right"/>
              <w:rPr>
                <w:sz w:val="24"/>
              </w:rPr>
            </w:pPr>
            <w:r>
              <w:rPr>
                <w:sz w:val="24"/>
              </w:rPr>
              <w:t>2.154,09 €</w:t>
            </w:r>
          </w:p>
        </w:tc>
      </w:tr>
      <w:tr>
        <w:trPr>
          <w:trHeight w:val="515" w:hRule="atLeast"/>
        </w:trPr>
        <w:tc>
          <w:tcPr>
            <w:tcW w:w="5931" w:type="dxa"/>
          </w:tcPr>
          <w:p>
            <w:pPr>
              <w:pStyle w:val="TableParagraph"/>
              <w:ind w:left="69"/>
              <w:rPr>
                <w:sz w:val="24"/>
              </w:rPr>
            </w:pPr>
            <w:r>
              <w:rPr>
                <w:sz w:val="24"/>
              </w:rPr>
              <w:t>Dos adults</w:t>
            </w:r>
          </w:p>
        </w:tc>
        <w:tc>
          <w:tcPr>
            <w:tcW w:w="1536" w:type="dxa"/>
          </w:tcPr>
          <w:p>
            <w:pPr>
              <w:pStyle w:val="TableParagraph"/>
              <w:ind w:left="0" w:right="253"/>
              <w:jc w:val="right"/>
              <w:rPr>
                <w:sz w:val="24"/>
              </w:rPr>
            </w:pPr>
            <w:r>
              <w:rPr>
                <w:sz w:val="24"/>
              </w:rPr>
              <w:t>1.700,60 €</w:t>
            </w:r>
          </w:p>
        </w:tc>
      </w:tr>
      <w:tr>
        <w:trPr>
          <w:trHeight w:val="517" w:hRule="atLeast"/>
        </w:trPr>
        <w:tc>
          <w:tcPr>
            <w:tcW w:w="5931" w:type="dxa"/>
          </w:tcPr>
          <w:p>
            <w:pPr>
              <w:pStyle w:val="TableParagraph"/>
              <w:spacing w:before="2"/>
              <w:ind w:left="69"/>
              <w:rPr>
                <w:sz w:val="24"/>
              </w:rPr>
            </w:pPr>
            <w:r>
              <w:rPr>
                <w:sz w:val="24"/>
              </w:rPr>
              <w:t>Dos adults i un menor</w:t>
            </w:r>
          </w:p>
        </w:tc>
        <w:tc>
          <w:tcPr>
            <w:tcW w:w="1536" w:type="dxa"/>
          </w:tcPr>
          <w:p>
            <w:pPr>
              <w:pStyle w:val="TableParagraph"/>
              <w:spacing w:before="2"/>
              <w:ind w:left="0" w:right="253"/>
              <w:jc w:val="right"/>
              <w:rPr>
                <w:sz w:val="24"/>
              </w:rPr>
            </w:pPr>
            <w:r>
              <w:rPr>
                <w:sz w:val="24"/>
              </w:rPr>
              <w:t>2.040,71 €</w:t>
            </w:r>
          </w:p>
        </w:tc>
      </w:tr>
      <w:tr>
        <w:trPr>
          <w:trHeight w:val="518" w:hRule="atLeast"/>
        </w:trPr>
        <w:tc>
          <w:tcPr>
            <w:tcW w:w="5931" w:type="dxa"/>
          </w:tcPr>
          <w:p>
            <w:pPr>
              <w:pStyle w:val="TableParagraph"/>
              <w:ind w:left="69"/>
              <w:rPr>
                <w:sz w:val="24"/>
              </w:rPr>
            </w:pPr>
            <w:r>
              <w:rPr>
                <w:sz w:val="24"/>
              </w:rPr>
              <w:t>Dos adults i dos menors</w:t>
            </w:r>
          </w:p>
        </w:tc>
        <w:tc>
          <w:tcPr>
            <w:tcW w:w="1536" w:type="dxa"/>
          </w:tcPr>
          <w:p>
            <w:pPr>
              <w:pStyle w:val="TableParagraph"/>
              <w:ind w:left="0" w:right="253"/>
              <w:jc w:val="right"/>
              <w:rPr>
                <w:sz w:val="24"/>
              </w:rPr>
            </w:pPr>
            <w:r>
              <w:rPr>
                <w:sz w:val="24"/>
              </w:rPr>
              <w:t>2.380,83 €</w:t>
            </w:r>
          </w:p>
        </w:tc>
      </w:tr>
      <w:tr>
        <w:trPr>
          <w:trHeight w:val="517" w:hRule="atLeast"/>
        </w:trPr>
        <w:tc>
          <w:tcPr>
            <w:tcW w:w="5931" w:type="dxa"/>
          </w:tcPr>
          <w:p>
            <w:pPr>
              <w:pStyle w:val="TableParagraph"/>
              <w:ind w:left="69"/>
              <w:rPr>
                <w:sz w:val="24"/>
              </w:rPr>
            </w:pPr>
            <w:r>
              <w:rPr>
                <w:sz w:val="24"/>
              </w:rPr>
              <w:t>Dos adults i tres menors</w:t>
            </w:r>
          </w:p>
        </w:tc>
        <w:tc>
          <w:tcPr>
            <w:tcW w:w="1536" w:type="dxa"/>
          </w:tcPr>
          <w:p>
            <w:pPr>
              <w:pStyle w:val="TableParagraph"/>
              <w:ind w:left="0" w:right="253"/>
              <w:jc w:val="right"/>
              <w:rPr>
                <w:sz w:val="24"/>
              </w:rPr>
            </w:pPr>
            <w:r>
              <w:rPr>
                <w:sz w:val="24"/>
              </w:rPr>
              <w:t>2.720,95 €</w:t>
            </w:r>
          </w:p>
        </w:tc>
      </w:tr>
      <w:tr>
        <w:trPr>
          <w:trHeight w:val="516" w:hRule="atLeast"/>
        </w:trPr>
        <w:tc>
          <w:tcPr>
            <w:tcW w:w="5931" w:type="dxa"/>
          </w:tcPr>
          <w:p>
            <w:pPr>
              <w:pStyle w:val="TableParagraph"/>
              <w:ind w:left="69"/>
              <w:rPr>
                <w:sz w:val="24"/>
              </w:rPr>
            </w:pPr>
            <w:r>
              <w:rPr>
                <w:sz w:val="24"/>
              </w:rPr>
              <w:t>Tres adults</w:t>
            </w:r>
          </w:p>
        </w:tc>
        <w:tc>
          <w:tcPr>
            <w:tcW w:w="1536" w:type="dxa"/>
          </w:tcPr>
          <w:p>
            <w:pPr>
              <w:pStyle w:val="TableParagraph"/>
              <w:ind w:left="0" w:right="253"/>
              <w:jc w:val="right"/>
              <w:rPr>
                <w:sz w:val="24"/>
              </w:rPr>
            </w:pPr>
            <w:r>
              <w:rPr>
                <w:sz w:val="24"/>
              </w:rPr>
              <w:t>2.267,46 €</w:t>
            </w:r>
          </w:p>
        </w:tc>
      </w:tr>
      <w:tr>
        <w:trPr>
          <w:trHeight w:val="518" w:hRule="atLeast"/>
        </w:trPr>
        <w:tc>
          <w:tcPr>
            <w:tcW w:w="5931" w:type="dxa"/>
          </w:tcPr>
          <w:p>
            <w:pPr>
              <w:pStyle w:val="TableParagraph"/>
              <w:spacing w:before="2"/>
              <w:ind w:left="69"/>
              <w:rPr>
                <w:sz w:val="24"/>
              </w:rPr>
            </w:pPr>
            <w:r>
              <w:rPr>
                <w:sz w:val="24"/>
              </w:rPr>
              <w:t>Tres adults i un menor</w:t>
            </w:r>
          </w:p>
        </w:tc>
        <w:tc>
          <w:tcPr>
            <w:tcW w:w="1536" w:type="dxa"/>
          </w:tcPr>
          <w:p>
            <w:pPr>
              <w:pStyle w:val="TableParagraph"/>
              <w:spacing w:before="2"/>
              <w:ind w:left="0" w:right="253"/>
              <w:jc w:val="right"/>
              <w:rPr>
                <w:sz w:val="24"/>
              </w:rPr>
            </w:pPr>
            <w:r>
              <w:rPr>
                <w:sz w:val="24"/>
              </w:rPr>
              <w:t>2.607,58 €</w:t>
            </w:r>
          </w:p>
        </w:tc>
      </w:tr>
      <w:tr>
        <w:trPr>
          <w:trHeight w:val="518" w:hRule="atLeast"/>
        </w:trPr>
        <w:tc>
          <w:tcPr>
            <w:tcW w:w="5931" w:type="dxa"/>
          </w:tcPr>
          <w:p>
            <w:pPr>
              <w:pStyle w:val="TableParagraph"/>
              <w:ind w:left="69"/>
              <w:rPr>
                <w:sz w:val="24"/>
              </w:rPr>
            </w:pPr>
            <w:r>
              <w:rPr>
                <w:sz w:val="24"/>
              </w:rPr>
              <w:t>Tres adults i dos menors</w:t>
            </w:r>
          </w:p>
        </w:tc>
        <w:tc>
          <w:tcPr>
            <w:tcW w:w="1536" w:type="dxa"/>
          </w:tcPr>
          <w:p>
            <w:pPr>
              <w:pStyle w:val="TableParagraph"/>
              <w:ind w:left="0" w:right="253"/>
              <w:jc w:val="right"/>
              <w:rPr>
                <w:sz w:val="24"/>
              </w:rPr>
            </w:pPr>
            <w:r>
              <w:rPr>
                <w:sz w:val="24"/>
              </w:rPr>
              <w:t>2.947,70 €</w:t>
            </w:r>
          </w:p>
        </w:tc>
      </w:tr>
      <w:tr>
        <w:trPr>
          <w:trHeight w:val="518" w:hRule="atLeast"/>
        </w:trPr>
        <w:tc>
          <w:tcPr>
            <w:tcW w:w="5931" w:type="dxa"/>
          </w:tcPr>
          <w:p>
            <w:pPr>
              <w:pStyle w:val="TableParagraph"/>
              <w:ind w:left="69"/>
              <w:rPr>
                <w:sz w:val="24"/>
              </w:rPr>
            </w:pPr>
            <w:r>
              <w:rPr>
                <w:sz w:val="24"/>
              </w:rPr>
              <w:t>Tres adults i tres menors</w:t>
            </w:r>
          </w:p>
        </w:tc>
        <w:tc>
          <w:tcPr>
            <w:tcW w:w="1536" w:type="dxa"/>
          </w:tcPr>
          <w:p>
            <w:pPr>
              <w:pStyle w:val="TableParagraph"/>
              <w:ind w:left="0" w:right="253"/>
              <w:jc w:val="right"/>
              <w:rPr>
                <w:sz w:val="24"/>
              </w:rPr>
            </w:pPr>
            <w:r>
              <w:rPr>
                <w:sz w:val="24"/>
              </w:rPr>
              <w:t>3.287,82 €</w:t>
            </w:r>
          </w:p>
        </w:tc>
      </w:tr>
    </w:tbl>
    <w:p>
      <w:pPr>
        <w:pStyle w:val="BodyText"/>
        <w:spacing w:before="6"/>
        <w:rPr>
          <w:sz w:val="27"/>
        </w:rPr>
      </w:pPr>
    </w:p>
    <w:p>
      <w:pPr>
        <w:spacing w:line="276" w:lineRule="auto" w:before="1"/>
        <w:ind w:left="930" w:right="196" w:hanging="708"/>
        <w:jc w:val="left"/>
        <w:rPr>
          <w:i/>
          <w:sz w:val="24"/>
        </w:rPr>
      </w:pPr>
      <w:r>
        <w:rPr>
          <w:i/>
          <w:sz w:val="24"/>
        </w:rPr>
        <w:t>*Es consideraran menors les persones menors de 18 anys a data de presentació </w:t>
      </w:r>
      <w:r>
        <w:rPr>
          <w:i/>
          <w:sz w:val="24"/>
        </w:rPr>
        <w:t>de la</w:t>
      </w:r>
      <w:r>
        <w:rPr>
          <w:i/>
          <w:spacing w:val="-1"/>
          <w:sz w:val="24"/>
        </w:rPr>
        <w:t> </w:t>
      </w:r>
      <w:r>
        <w:rPr>
          <w:i/>
          <w:sz w:val="24"/>
        </w:rPr>
        <w:t>sol·licitud.</w:t>
      </w:r>
    </w:p>
    <w:p>
      <w:pPr>
        <w:spacing w:after="0" w:line="276" w:lineRule="auto"/>
        <w:jc w:val="left"/>
        <w:rPr>
          <w:sz w:val="24"/>
        </w:rPr>
        <w:sectPr>
          <w:pgSz w:w="11910" w:h="16840"/>
          <w:pgMar w:header="752" w:footer="1022" w:top="2860" w:bottom="1220" w:left="1480" w:right="1140"/>
        </w:sectPr>
      </w:pPr>
    </w:p>
    <w:p>
      <w:pPr>
        <w:pStyle w:val="BodyText"/>
        <w:rPr>
          <w:i/>
          <w:sz w:val="20"/>
        </w:rPr>
      </w:pPr>
    </w:p>
    <w:p>
      <w:pPr>
        <w:pStyle w:val="BodyText"/>
        <w:spacing w:before="1"/>
        <w:rPr>
          <w:i/>
          <w:sz w:val="18"/>
        </w:rPr>
      </w:pPr>
    </w:p>
    <w:p>
      <w:pPr>
        <w:pStyle w:val="Heading1"/>
        <w:spacing w:before="92"/>
        <w:jc w:val="left"/>
      </w:pPr>
      <w:r>
        <w:rPr/>
        <w:t>ANNEX III. Taules de puntuació econòmica i social.</w:t>
      </w:r>
    </w:p>
    <w:p>
      <w:pPr>
        <w:pStyle w:val="BodyText"/>
        <w:rPr>
          <w:b/>
          <w:sz w:val="20"/>
        </w:rPr>
      </w:pPr>
    </w:p>
    <w:p>
      <w:pPr>
        <w:pStyle w:val="BodyText"/>
        <w:spacing w:before="1"/>
        <w:rPr>
          <w:b/>
          <w:sz w:val="11"/>
        </w:rPr>
      </w:pPr>
    </w:p>
    <w:tbl>
      <w:tblPr>
        <w:tblW w:w="0" w:type="auto"/>
        <w:jc w:val="left"/>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622"/>
        <w:gridCol w:w="1025"/>
      </w:tblGrid>
      <w:tr>
        <w:trPr>
          <w:trHeight w:val="318" w:hRule="atLeast"/>
        </w:trPr>
        <w:tc>
          <w:tcPr>
            <w:tcW w:w="8647" w:type="dxa"/>
            <w:gridSpan w:val="2"/>
          </w:tcPr>
          <w:p>
            <w:pPr>
              <w:pStyle w:val="TableParagraph"/>
              <w:tabs>
                <w:tab w:pos="7680" w:val="left" w:leader="none"/>
              </w:tabs>
              <w:spacing w:before="2"/>
              <w:ind w:left="467"/>
              <w:rPr>
                <w:b/>
                <w:sz w:val="24"/>
              </w:rPr>
            </w:pPr>
            <w:r>
              <w:rPr>
                <w:b/>
                <w:sz w:val="24"/>
              </w:rPr>
              <w:t>A) Taula de puntuació per la</w:t>
            </w:r>
            <w:r>
              <w:rPr>
                <w:b/>
                <w:spacing w:val="17"/>
                <w:sz w:val="24"/>
              </w:rPr>
              <w:t> </w:t>
            </w:r>
            <w:r>
              <w:rPr>
                <w:b/>
                <w:sz w:val="24"/>
              </w:rPr>
              <w:t>valoració</w:t>
            </w:r>
            <w:r>
              <w:rPr>
                <w:b/>
                <w:spacing w:val="-4"/>
                <w:sz w:val="24"/>
              </w:rPr>
              <w:t> </w:t>
            </w:r>
            <w:r>
              <w:rPr>
                <w:b/>
                <w:sz w:val="24"/>
              </w:rPr>
              <w:t>econòmica</w:t>
              <w:tab/>
              <w:t>Punts</w:t>
            </w:r>
          </w:p>
        </w:tc>
      </w:tr>
      <w:tr>
        <w:trPr>
          <w:trHeight w:val="518" w:hRule="atLeast"/>
        </w:trPr>
        <w:tc>
          <w:tcPr>
            <w:tcW w:w="7622" w:type="dxa"/>
          </w:tcPr>
          <w:p>
            <w:pPr>
              <w:pStyle w:val="TableParagraph"/>
              <w:rPr>
                <w:sz w:val="24"/>
              </w:rPr>
            </w:pPr>
            <w:r>
              <w:rPr>
                <w:sz w:val="24"/>
              </w:rPr>
              <w:t>Ingressos inferiors al 10% dels ingressos màxims mensuals</w:t>
            </w:r>
          </w:p>
        </w:tc>
        <w:tc>
          <w:tcPr>
            <w:tcW w:w="1025" w:type="dxa"/>
          </w:tcPr>
          <w:p>
            <w:pPr>
              <w:pStyle w:val="TableParagraph"/>
              <w:rPr>
                <w:sz w:val="24"/>
              </w:rPr>
            </w:pPr>
            <w:r>
              <w:rPr>
                <w:sz w:val="24"/>
              </w:rPr>
              <w:t>10</w:t>
            </w:r>
          </w:p>
        </w:tc>
      </w:tr>
      <w:tr>
        <w:trPr>
          <w:trHeight w:val="834" w:hRule="atLeast"/>
        </w:trPr>
        <w:tc>
          <w:tcPr>
            <w:tcW w:w="7622" w:type="dxa"/>
          </w:tcPr>
          <w:p>
            <w:pPr>
              <w:pStyle w:val="TableParagraph"/>
              <w:spacing w:line="276" w:lineRule="auto"/>
              <w:rPr>
                <w:sz w:val="24"/>
              </w:rPr>
            </w:pPr>
            <w:r>
              <w:rPr>
                <w:sz w:val="24"/>
              </w:rPr>
              <w:t>Ingressos entre el 10% i inferiors al 20% dels ingressos màxims mensuals</w:t>
            </w:r>
          </w:p>
        </w:tc>
        <w:tc>
          <w:tcPr>
            <w:tcW w:w="1025" w:type="dxa"/>
          </w:tcPr>
          <w:p>
            <w:pPr>
              <w:pStyle w:val="TableParagraph"/>
              <w:rPr>
                <w:sz w:val="24"/>
              </w:rPr>
            </w:pPr>
            <w:r>
              <w:rPr>
                <w:sz w:val="24"/>
              </w:rPr>
              <w:t>20</w:t>
            </w:r>
          </w:p>
        </w:tc>
      </w:tr>
      <w:tr>
        <w:trPr>
          <w:trHeight w:val="832" w:hRule="atLeast"/>
        </w:trPr>
        <w:tc>
          <w:tcPr>
            <w:tcW w:w="7622" w:type="dxa"/>
          </w:tcPr>
          <w:p>
            <w:pPr>
              <w:pStyle w:val="TableParagraph"/>
              <w:spacing w:line="276" w:lineRule="auto"/>
              <w:rPr>
                <w:sz w:val="24"/>
              </w:rPr>
            </w:pPr>
            <w:r>
              <w:rPr>
                <w:sz w:val="24"/>
              </w:rPr>
              <w:t>Ingressos entre el 20% i inferiors al 30% dels ingressos màxims mensuals</w:t>
            </w:r>
          </w:p>
        </w:tc>
        <w:tc>
          <w:tcPr>
            <w:tcW w:w="1025" w:type="dxa"/>
          </w:tcPr>
          <w:p>
            <w:pPr>
              <w:pStyle w:val="TableParagraph"/>
              <w:rPr>
                <w:sz w:val="24"/>
              </w:rPr>
            </w:pPr>
            <w:r>
              <w:rPr>
                <w:sz w:val="24"/>
              </w:rPr>
              <w:t>30</w:t>
            </w:r>
          </w:p>
        </w:tc>
      </w:tr>
      <w:tr>
        <w:trPr>
          <w:trHeight w:val="834" w:hRule="atLeast"/>
        </w:trPr>
        <w:tc>
          <w:tcPr>
            <w:tcW w:w="7622" w:type="dxa"/>
          </w:tcPr>
          <w:p>
            <w:pPr>
              <w:pStyle w:val="TableParagraph"/>
              <w:spacing w:line="276" w:lineRule="auto" w:before="2"/>
              <w:rPr>
                <w:sz w:val="24"/>
              </w:rPr>
            </w:pPr>
            <w:r>
              <w:rPr>
                <w:sz w:val="24"/>
              </w:rPr>
              <w:t>Ingressos entre el 30% i inferiors al 40% dels ingressos màxims mensuals</w:t>
            </w:r>
          </w:p>
        </w:tc>
        <w:tc>
          <w:tcPr>
            <w:tcW w:w="1025" w:type="dxa"/>
          </w:tcPr>
          <w:p>
            <w:pPr>
              <w:pStyle w:val="TableParagraph"/>
              <w:spacing w:before="2"/>
              <w:rPr>
                <w:sz w:val="24"/>
              </w:rPr>
            </w:pPr>
            <w:r>
              <w:rPr>
                <w:sz w:val="24"/>
              </w:rPr>
              <w:t>40</w:t>
            </w:r>
          </w:p>
        </w:tc>
      </w:tr>
      <w:tr>
        <w:trPr>
          <w:trHeight w:val="835" w:hRule="atLeast"/>
        </w:trPr>
        <w:tc>
          <w:tcPr>
            <w:tcW w:w="7622" w:type="dxa"/>
          </w:tcPr>
          <w:p>
            <w:pPr>
              <w:pStyle w:val="TableParagraph"/>
              <w:spacing w:line="276" w:lineRule="auto" w:before="2"/>
              <w:rPr>
                <w:sz w:val="24"/>
              </w:rPr>
            </w:pPr>
            <w:r>
              <w:rPr>
                <w:sz w:val="24"/>
              </w:rPr>
              <w:t>Ingressos entre el 40% i inferiors al 50% dels ingressos màxims mensuals</w:t>
            </w:r>
          </w:p>
        </w:tc>
        <w:tc>
          <w:tcPr>
            <w:tcW w:w="1025" w:type="dxa"/>
          </w:tcPr>
          <w:p>
            <w:pPr>
              <w:pStyle w:val="TableParagraph"/>
              <w:spacing w:before="2"/>
              <w:rPr>
                <w:sz w:val="24"/>
              </w:rPr>
            </w:pPr>
            <w:r>
              <w:rPr>
                <w:sz w:val="24"/>
              </w:rPr>
              <w:t>50</w:t>
            </w:r>
          </w:p>
        </w:tc>
      </w:tr>
      <w:tr>
        <w:trPr>
          <w:trHeight w:val="834" w:hRule="atLeast"/>
        </w:trPr>
        <w:tc>
          <w:tcPr>
            <w:tcW w:w="7622" w:type="dxa"/>
          </w:tcPr>
          <w:p>
            <w:pPr>
              <w:pStyle w:val="TableParagraph"/>
              <w:spacing w:line="276" w:lineRule="auto" w:before="2"/>
              <w:rPr>
                <w:sz w:val="24"/>
              </w:rPr>
            </w:pPr>
            <w:r>
              <w:rPr>
                <w:sz w:val="24"/>
              </w:rPr>
              <w:t>Ingressos entre el 50% i inferiors al 60% dels ingressos màxims mensuals</w:t>
            </w:r>
          </w:p>
        </w:tc>
        <w:tc>
          <w:tcPr>
            <w:tcW w:w="1025" w:type="dxa"/>
          </w:tcPr>
          <w:p>
            <w:pPr>
              <w:pStyle w:val="TableParagraph"/>
              <w:spacing w:before="2"/>
              <w:rPr>
                <w:sz w:val="24"/>
              </w:rPr>
            </w:pPr>
            <w:r>
              <w:rPr>
                <w:sz w:val="24"/>
              </w:rPr>
              <w:t>60</w:t>
            </w:r>
          </w:p>
        </w:tc>
      </w:tr>
      <w:tr>
        <w:trPr>
          <w:trHeight w:val="834" w:hRule="atLeast"/>
        </w:trPr>
        <w:tc>
          <w:tcPr>
            <w:tcW w:w="7622" w:type="dxa"/>
          </w:tcPr>
          <w:p>
            <w:pPr>
              <w:pStyle w:val="TableParagraph"/>
              <w:spacing w:line="276" w:lineRule="auto" w:before="2"/>
              <w:rPr>
                <w:sz w:val="24"/>
              </w:rPr>
            </w:pPr>
            <w:r>
              <w:rPr>
                <w:sz w:val="24"/>
              </w:rPr>
              <w:t>Ingressos entre el 60% i inferiors al 70% dels ingressos màxims mensuals</w:t>
            </w:r>
          </w:p>
        </w:tc>
        <w:tc>
          <w:tcPr>
            <w:tcW w:w="1025" w:type="dxa"/>
          </w:tcPr>
          <w:p>
            <w:pPr>
              <w:pStyle w:val="TableParagraph"/>
              <w:spacing w:before="2"/>
              <w:rPr>
                <w:sz w:val="24"/>
              </w:rPr>
            </w:pPr>
            <w:r>
              <w:rPr>
                <w:sz w:val="24"/>
              </w:rPr>
              <w:t>70</w:t>
            </w:r>
          </w:p>
        </w:tc>
      </w:tr>
      <w:tr>
        <w:trPr>
          <w:trHeight w:val="834" w:hRule="atLeast"/>
        </w:trPr>
        <w:tc>
          <w:tcPr>
            <w:tcW w:w="7622" w:type="dxa"/>
          </w:tcPr>
          <w:p>
            <w:pPr>
              <w:pStyle w:val="TableParagraph"/>
              <w:spacing w:line="276" w:lineRule="auto" w:before="2"/>
              <w:rPr>
                <w:sz w:val="24"/>
              </w:rPr>
            </w:pPr>
            <w:r>
              <w:rPr>
                <w:sz w:val="24"/>
              </w:rPr>
              <w:t>Ingressos entre el 70% i inferiors al 80% dels ingressos màxims mensuals</w:t>
            </w:r>
          </w:p>
        </w:tc>
        <w:tc>
          <w:tcPr>
            <w:tcW w:w="1025" w:type="dxa"/>
          </w:tcPr>
          <w:p>
            <w:pPr>
              <w:pStyle w:val="TableParagraph"/>
              <w:spacing w:before="2"/>
              <w:rPr>
                <w:sz w:val="24"/>
              </w:rPr>
            </w:pPr>
            <w:r>
              <w:rPr>
                <w:sz w:val="24"/>
              </w:rPr>
              <w:t>80</w:t>
            </w:r>
          </w:p>
        </w:tc>
      </w:tr>
      <w:tr>
        <w:trPr>
          <w:trHeight w:val="835" w:hRule="atLeast"/>
        </w:trPr>
        <w:tc>
          <w:tcPr>
            <w:tcW w:w="7622" w:type="dxa"/>
          </w:tcPr>
          <w:p>
            <w:pPr>
              <w:pStyle w:val="TableParagraph"/>
              <w:spacing w:line="276" w:lineRule="auto" w:before="2"/>
              <w:rPr>
                <w:sz w:val="24"/>
              </w:rPr>
            </w:pPr>
            <w:r>
              <w:rPr>
                <w:sz w:val="24"/>
              </w:rPr>
              <w:t>Ingressos entre el 80% i inferiors al 90% dels ingressos màxims mensuals</w:t>
            </w:r>
          </w:p>
        </w:tc>
        <w:tc>
          <w:tcPr>
            <w:tcW w:w="1025" w:type="dxa"/>
          </w:tcPr>
          <w:p>
            <w:pPr>
              <w:pStyle w:val="TableParagraph"/>
              <w:spacing w:before="2"/>
              <w:rPr>
                <w:sz w:val="24"/>
              </w:rPr>
            </w:pPr>
            <w:r>
              <w:rPr>
                <w:sz w:val="24"/>
              </w:rPr>
              <w:t>90</w:t>
            </w:r>
          </w:p>
        </w:tc>
      </w:tr>
      <w:tr>
        <w:trPr>
          <w:trHeight w:val="837" w:hRule="atLeast"/>
        </w:trPr>
        <w:tc>
          <w:tcPr>
            <w:tcW w:w="7622" w:type="dxa"/>
          </w:tcPr>
          <w:p>
            <w:pPr>
              <w:pStyle w:val="TableParagraph"/>
              <w:spacing w:line="276" w:lineRule="auto" w:before="2"/>
              <w:rPr>
                <w:sz w:val="24"/>
              </w:rPr>
            </w:pPr>
            <w:r>
              <w:rPr>
                <w:sz w:val="24"/>
              </w:rPr>
              <w:t>Ingressos inferiors entre el 90% i fins al 100% dels ingressos màxims mensuals</w:t>
            </w:r>
          </w:p>
        </w:tc>
        <w:tc>
          <w:tcPr>
            <w:tcW w:w="1025" w:type="dxa"/>
          </w:tcPr>
          <w:p>
            <w:pPr>
              <w:pStyle w:val="TableParagraph"/>
              <w:spacing w:before="2"/>
              <w:rPr>
                <w:sz w:val="24"/>
              </w:rPr>
            </w:pPr>
            <w:r>
              <w:rPr>
                <w:sz w:val="24"/>
              </w:rPr>
              <w:t>100</w:t>
            </w:r>
          </w:p>
        </w:tc>
      </w:tr>
    </w:tbl>
    <w:p>
      <w:pPr>
        <w:spacing w:after="0"/>
        <w:rPr>
          <w:sz w:val="24"/>
        </w:rPr>
        <w:sectPr>
          <w:pgSz w:w="11910" w:h="16840"/>
          <w:pgMar w:header="752" w:footer="1022" w:top="2860" w:bottom="1220" w:left="1480" w:right="1140"/>
        </w:sect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1"/>
        <w:rPr>
          <w:b/>
          <w:sz w:val="10"/>
        </w:rPr>
      </w:pPr>
    </w:p>
    <w:tbl>
      <w:tblPr>
        <w:tblW w:w="0" w:type="auto"/>
        <w:jc w:val="left"/>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41"/>
        <w:gridCol w:w="1275"/>
      </w:tblGrid>
      <w:tr>
        <w:trPr>
          <w:trHeight w:val="635" w:hRule="atLeast"/>
        </w:trPr>
        <w:tc>
          <w:tcPr>
            <w:tcW w:w="8616" w:type="dxa"/>
            <w:gridSpan w:val="2"/>
          </w:tcPr>
          <w:p>
            <w:pPr>
              <w:pStyle w:val="TableParagraph"/>
              <w:spacing w:before="2"/>
              <w:ind w:left="467"/>
              <w:rPr>
                <w:b/>
                <w:sz w:val="24"/>
              </w:rPr>
            </w:pPr>
            <w:r>
              <w:rPr>
                <w:b/>
                <w:sz w:val="24"/>
              </w:rPr>
              <w:t>B) Taula de puntuació per a la valoració social per mig criteris</w:t>
            </w:r>
          </w:p>
          <w:p>
            <w:pPr>
              <w:pStyle w:val="TableParagraph"/>
              <w:spacing w:before="41"/>
              <w:ind w:left="827"/>
              <w:rPr>
                <w:b/>
                <w:sz w:val="24"/>
              </w:rPr>
            </w:pPr>
            <w:r>
              <w:rPr>
                <w:b/>
                <w:sz w:val="24"/>
              </w:rPr>
              <w:t>objectius</w:t>
            </w:r>
          </w:p>
        </w:tc>
      </w:tr>
      <w:tr>
        <w:trPr>
          <w:trHeight w:val="518" w:hRule="atLeast"/>
        </w:trPr>
        <w:tc>
          <w:tcPr>
            <w:tcW w:w="7341" w:type="dxa"/>
          </w:tcPr>
          <w:p>
            <w:pPr>
              <w:pStyle w:val="TableParagraph"/>
              <w:ind w:left="0"/>
              <w:rPr>
                <w:rFonts w:ascii="Times New Roman"/>
                <w:sz w:val="22"/>
              </w:rPr>
            </w:pPr>
          </w:p>
        </w:tc>
        <w:tc>
          <w:tcPr>
            <w:tcW w:w="1275" w:type="dxa"/>
          </w:tcPr>
          <w:p>
            <w:pPr>
              <w:pStyle w:val="TableParagraph"/>
              <w:spacing w:before="1"/>
              <w:ind w:left="105"/>
              <w:rPr>
                <w:sz w:val="24"/>
              </w:rPr>
            </w:pPr>
            <w:r>
              <w:rPr>
                <w:sz w:val="24"/>
              </w:rPr>
              <w:t>Punts</w:t>
            </w:r>
          </w:p>
        </w:tc>
      </w:tr>
      <w:tr>
        <w:trPr>
          <w:trHeight w:val="518" w:hRule="atLeast"/>
        </w:trPr>
        <w:tc>
          <w:tcPr>
            <w:tcW w:w="7341" w:type="dxa"/>
          </w:tcPr>
          <w:p>
            <w:pPr>
              <w:pStyle w:val="TableParagraph"/>
              <w:rPr>
                <w:sz w:val="24"/>
              </w:rPr>
            </w:pPr>
            <w:r>
              <w:rPr>
                <w:sz w:val="24"/>
              </w:rPr>
              <w:t>Família nombrosa</w:t>
            </w:r>
          </w:p>
        </w:tc>
        <w:tc>
          <w:tcPr>
            <w:tcW w:w="1275" w:type="dxa"/>
          </w:tcPr>
          <w:p>
            <w:pPr>
              <w:pStyle w:val="TableParagraph"/>
              <w:ind w:left="105"/>
              <w:rPr>
                <w:sz w:val="24"/>
              </w:rPr>
            </w:pPr>
            <w:r>
              <w:rPr>
                <w:sz w:val="24"/>
              </w:rPr>
              <w:t>2,50</w:t>
            </w:r>
          </w:p>
        </w:tc>
      </w:tr>
      <w:tr>
        <w:trPr>
          <w:trHeight w:val="515" w:hRule="atLeast"/>
        </w:trPr>
        <w:tc>
          <w:tcPr>
            <w:tcW w:w="7341" w:type="dxa"/>
          </w:tcPr>
          <w:p>
            <w:pPr>
              <w:pStyle w:val="TableParagraph"/>
              <w:rPr>
                <w:sz w:val="24"/>
              </w:rPr>
            </w:pPr>
            <w:r>
              <w:rPr>
                <w:sz w:val="24"/>
              </w:rPr>
              <w:t>Família monoparental</w:t>
            </w:r>
          </w:p>
        </w:tc>
        <w:tc>
          <w:tcPr>
            <w:tcW w:w="1275" w:type="dxa"/>
          </w:tcPr>
          <w:p>
            <w:pPr>
              <w:pStyle w:val="TableParagraph"/>
              <w:ind w:left="105"/>
              <w:rPr>
                <w:sz w:val="24"/>
              </w:rPr>
            </w:pPr>
            <w:r>
              <w:rPr>
                <w:sz w:val="24"/>
              </w:rPr>
              <w:t>2,50</w:t>
            </w:r>
          </w:p>
        </w:tc>
      </w:tr>
      <w:tr>
        <w:trPr>
          <w:trHeight w:val="517" w:hRule="atLeast"/>
        </w:trPr>
        <w:tc>
          <w:tcPr>
            <w:tcW w:w="7341" w:type="dxa"/>
          </w:tcPr>
          <w:p>
            <w:pPr>
              <w:pStyle w:val="TableParagraph"/>
              <w:spacing w:before="2"/>
              <w:rPr>
                <w:sz w:val="24"/>
              </w:rPr>
            </w:pPr>
            <w:r>
              <w:rPr>
                <w:sz w:val="24"/>
              </w:rPr>
              <w:t>Infants en acolliment/ infant</w:t>
            </w:r>
          </w:p>
        </w:tc>
        <w:tc>
          <w:tcPr>
            <w:tcW w:w="1275" w:type="dxa"/>
          </w:tcPr>
          <w:p>
            <w:pPr>
              <w:pStyle w:val="TableParagraph"/>
              <w:spacing w:before="2"/>
              <w:ind w:left="105"/>
              <w:rPr>
                <w:sz w:val="24"/>
              </w:rPr>
            </w:pPr>
            <w:r>
              <w:rPr>
                <w:sz w:val="24"/>
              </w:rPr>
              <w:t>2,50</w:t>
            </w:r>
          </w:p>
        </w:tc>
      </w:tr>
      <w:tr>
        <w:trPr>
          <w:trHeight w:val="518" w:hRule="atLeast"/>
        </w:trPr>
        <w:tc>
          <w:tcPr>
            <w:tcW w:w="7341" w:type="dxa"/>
          </w:tcPr>
          <w:p>
            <w:pPr>
              <w:pStyle w:val="TableParagraph"/>
              <w:rPr>
                <w:sz w:val="24"/>
              </w:rPr>
            </w:pPr>
            <w:r>
              <w:rPr>
                <w:sz w:val="24"/>
              </w:rPr>
              <w:t>Situació d’atur/membre</w:t>
            </w:r>
          </w:p>
        </w:tc>
        <w:tc>
          <w:tcPr>
            <w:tcW w:w="1275" w:type="dxa"/>
          </w:tcPr>
          <w:p>
            <w:pPr>
              <w:pStyle w:val="TableParagraph"/>
              <w:ind w:left="0"/>
              <w:rPr>
                <w:rFonts w:ascii="Times New Roman"/>
                <w:sz w:val="22"/>
              </w:rPr>
            </w:pPr>
          </w:p>
        </w:tc>
      </w:tr>
      <w:tr>
        <w:trPr>
          <w:trHeight w:val="517" w:hRule="atLeast"/>
        </w:trPr>
        <w:tc>
          <w:tcPr>
            <w:tcW w:w="7341" w:type="dxa"/>
          </w:tcPr>
          <w:p>
            <w:pPr>
              <w:pStyle w:val="TableParagraph"/>
              <w:tabs>
                <w:tab w:pos="753" w:val="left" w:leader="none"/>
              </w:tabs>
              <w:ind w:left="393"/>
              <w:rPr>
                <w:sz w:val="24"/>
              </w:rPr>
            </w:pPr>
            <w:r>
              <w:rPr>
                <w:sz w:val="24"/>
              </w:rPr>
              <w:t>-</w:t>
              <w:tab/>
              <w:t>En el moment de la</w:t>
            </w:r>
            <w:r>
              <w:rPr>
                <w:spacing w:val="-8"/>
                <w:sz w:val="24"/>
              </w:rPr>
              <w:t> </w:t>
            </w:r>
            <w:r>
              <w:rPr>
                <w:sz w:val="24"/>
              </w:rPr>
              <w:t>sol·licitud</w:t>
            </w:r>
          </w:p>
        </w:tc>
        <w:tc>
          <w:tcPr>
            <w:tcW w:w="1275" w:type="dxa"/>
          </w:tcPr>
          <w:p>
            <w:pPr>
              <w:pStyle w:val="TableParagraph"/>
              <w:ind w:left="105"/>
              <w:rPr>
                <w:sz w:val="24"/>
              </w:rPr>
            </w:pPr>
            <w:r>
              <w:rPr>
                <w:sz w:val="24"/>
              </w:rPr>
              <w:t>1,25</w:t>
            </w:r>
          </w:p>
        </w:tc>
      </w:tr>
      <w:tr>
        <w:trPr>
          <w:trHeight w:val="516" w:hRule="atLeast"/>
        </w:trPr>
        <w:tc>
          <w:tcPr>
            <w:tcW w:w="7341" w:type="dxa"/>
          </w:tcPr>
          <w:p>
            <w:pPr>
              <w:pStyle w:val="TableParagraph"/>
              <w:tabs>
                <w:tab w:pos="753" w:val="left" w:leader="none"/>
              </w:tabs>
              <w:ind w:left="393"/>
              <w:rPr>
                <w:sz w:val="24"/>
              </w:rPr>
            </w:pPr>
            <w:r>
              <w:rPr>
                <w:sz w:val="24"/>
              </w:rPr>
              <w:t>-</w:t>
              <w:tab/>
              <w:t>Més de 6 mesos consecutius en el moment</w:t>
            </w:r>
            <w:r>
              <w:rPr>
                <w:spacing w:val="-13"/>
                <w:sz w:val="24"/>
              </w:rPr>
              <w:t> </w:t>
            </w:r>
            <w:r>
              <w:rPr>
                <w:sz w:val="24"/>
              </w:rPr>
              <w:t>sol·licitud</w:t>
            </w:r>
          </w:p>
        </w:tc>
        <w:tc>
          <w:tcPr>
            <w:tcW w:w="1275" w:type="dxa"/>
          </w:tcPr>
          <w:p>
            <w:pPr>
              <w:pStyle w:val="TableParagraph"/>
              <w:ind w:left="105"/>
              <w:rPr>
                <w:sz w:val="24"/>
              </w:rPr>
            </w:pPr>
            <w:r>
              <w:rPr>
                <w:sz w:val="24"/>
              </w:rPr>
              <w:t>2,50</w:t>
            </w:r>
          </w:p>
        </w:tc>
      </w:tr>
      <w:tr>
        <w:trPr>
          <w:trHeight w:val="517" w:hRule="atLeast"/>
        </w:trPr>
        <w:tc>
          <w:tcPr>
            <w:tcW w:w="7341" w:type="dxa"/>
          </w:tcPr>
          <w:p>
            <w:pPr>
              <w:pStyle w:val="TableParagraph"/>
              <w:rPr>
                <w:sz w:val="24"/>
              </w:rPr>
            </w:pPr>
            <w:r>
              <w:rPr>
                <w:sz w:val="24"/>
              </w:rPr>
              <w:t>Discapacitats/membre</w:t>
            </w:r>
          </w:p>
        </w:tc>
        <w:tc>
          <w:tcPr>
            <w:tcW w:w="1275" w:type="dxa"/>
          </w:tcPr>
          <w:p>
            <w:pPr>
              <w:pStyle w:val="TableParagraph"/>
              <w:ind w:left="105"/>
              <w:rPr>
                <w:sz w:val="24"/>
              </w:rPr>
            </w:pPr>
            <w:r>
              <w:rPr>
                <w:sz w:val="24"/>
              </w:rPr>
              <w:t>1,25</w:t>
            </w:r>
          </w:p>
        </w:tc>
      </w:tr>
      <w:tr>
        <w:trPr>
          <w:trHeight w:val="518" w:hRule="atLeast"/>
        </w:trPr>
        <w:tc>
          <w:tcPr>
            <w:tcW w:w="7341" w:type="dxa"/>
          </w:tcPr>
          <w:p>
            <w:pPr>
              <w:pStyle w:val="TableParagraph"/>
              <w:rPr>
                <w:sz w:val="24"/>
              </w:rPr>
            </w:pPr>
            <w:r>
              <w:rPr>
                <w:sz w:val="24"/>
              </w:rPr>
              <w:t>Necessitats especials/membre</w:t>
            </w:r>
          </w:p>
        </w:tc>
        <w:tc>
          <w:tcPr>
            <w:tcW w:w="1275" w:type="dxa"/>
          </w:tcPr>
          <w:p>
            <w:pPr>
              <w:pStyle w:val="TableParagraph"/>
              <w:ind w:left="105"/>
              <w:rPr>
                <w:sz w:val="24"/>
              </w:rPr>
            </w:pPr>
            <w:r>
              <w:rPr>
                <w:sz w:val="24"/>
              </w:rPr>
              <w:t>1.25</w:t>
            </w:r>
          </w:p>
        </w:tc>
      </w:tr>
      <w:tr>
        <w:trPr>
          <w:trHeight w:val="517" w:hRule="atLeast"/>
        </w:trPr>
        <w:tc>
          <w:tcPr>
            <w:tcW w:w="7341" w:type="dxa"/>
          </w:tcPr>
          <w:p>
            <w:pPr>
              <w:pStyle w:val="TableParagraph"/>
              <w:rPr>
                <w:sz w:val="24"/>
              </w:rPr>
            </w:pPr>
            <w:r>
              <w:rPr>
                <w:sz w:val="24"/>
              </w:rPr>
              <w:t>Persones amb dependència/membre</w:t>
            </w:r>
          </w:p>
        </w:tc>
        <w:tc>
          <w:tcPr>
            <w:tcW w:w="1275" w:type="dxa"/>
          </w:tcPr>
          <w:p>
            <w:pPr>
              <w:pStyle w:val="TableParagraph"/>
              <w:ind w:left="105"/>
              <w:rPr>
                <w:sz w:val="24"/>
              </w:rPr>
            </w:pPr>
            <w:r>
              <w:rPr>
                <w:sz w:val="24"/>
              </w:rPr>
              <w:t>2,50</w:t>
            </w:r>
          </w:p>
        </w:tc>
      </w:tr>
      <w:tr>
        <w:trPr>
          <w:trHeight w:val="2304" w:hRule="atLeast"/>
        </w:trPr>
        <w:tc>
          <w:tcPr>
            <w:tcW w:w="8616" w:type="dxa"/>
            <w:gridSpan w:val="2"/>
          </w:tcPr>
          <w:p>
            <w:pPr>
              <w:pStyle w:val="TableParagraph"/>
              <w:spacing w:line="276" w:lineRule="auto"/>
              <w:ind w:right="95"/>
              <w:jc w:val="both"/>
              <w:rPr>
                <w:i/>
                <w:sz w:val="24"/>
              </w:rPr>
            </w:pPr>
            <w:r>
              <w:rPr>
                <w:i/>
                <w:sz w:val="24"/>
              </w:rPr>
              <w:t>La circumstància de discapacitat i dependència no seran acumulables en la </w:t>
            </w:r>
            <w:r>
              <w:rPr>
                <w:i/>
                <w:sz w:val="24"/>
              </w:rPr>
              <w:t>mateixa persona: es tindrà en compte la dependència, per ser més favorable per al contribuent.</w:t>
            </w:r>
          </w:p>
          <w:p>
            <w:pPr>
              <w:pStyle w:val="TableParagraph"/>
              <w:spacing w:line="276" w:lineRule="auto" w:before="200"/>
              <w:ind w:right="98"/>
              <w:jc w:val="both"/>
              <w:rPr>
                <w:i/>
                <w:sz w:val="24"/>
              </w:rPr>
            </w:pPr>
            <w:r>
              <w:rPr>
                <w:i/>
                <w:sz w:val="24"/>
              </w:rPr>
              <w:t>La discapacitat i l’acreditació de necessitats especials no serà acumulable si el </w:t>
            </w:r>
            <w:r>
              <w:rPr>
                <w:i/>
                <w:sz w:val="24"/>
              </w:rPr>
              <w:t>motiu del reconeixement de la discapacitat va ser aquesta necessitat especial. La resta de circumstàncies sí que seran acumulables.</w:t>
            </w:r>
          </w:p>
        </w:tc>
      </w:tr>
    </w:tbl>
    <w:p>
      <w:pPr>
        <w:spacing w:after="0" w:line="276" w:lineRule="auto"/>
        <w:jc w:val="both"/>
        <w:rPr>
          <w:sz w:val="24"/>
        </w:rPr>
        <w:sectPr>
          <w:pgSz w:w="11910" w:h="16840"/>
          <w:pgMar w:header="752" w:footer="1022" w:top="2860" w:bottom="1220" w:left="1480" w:right="1140"/>
        </w:sectPr>
      </w:pPr>
    </w:p>
    <w:p>
      <w:pPr>
        <w:pStyle w:val="BodyText"/>
        <w:rPr>
          <w:b/>
          <w:sz w:val="20"/>
        </w:rPr>
      </w:pPr>
    </w:p>
    <w:p>
      <w:pPr>
        <w:pStyle w:val="BodyText"/>
        <w:spacing w:before="1"/>
        <w:rPr>
          <w:b/>
          <w:sz w:val="18"/>
        </w:rPr>
      </w:pPr>
    </w:p>
    <w:p>
      <w:pPr>
        <w:spacing w:before="92"/>
        <w:ind w:left="222" w:right="0" w:firstLine="0"/>
        <w:jc w:val="left"/>
        <w:rPr>
          <w:b/>
          <w:sz w:val="24"/>
        </w:rPr>
      </w:pPr>
      <w:r>
        <w:rPr>
          <w:b/>
          <w:sz w:val="24"/>
        </w:rPr>
        <w:t>Annex IV Documentació a presentar juntament amb la sol·licitud:</w:t>
      </w:r>
    </w:p>
    <w:p>
      <w:pPr>
        <w:pStyle w:val="BodyText"/>
        <w:spacing w:before="2"/>
        <w:rPr>
          <w:b/>
          <w:sz w:val="31"/>
        </w:rPr>
      </w:pPr>
    </w:p>
    <w:p>
      <w:pPr>
        <w:pStyle w:val="ListParagraph"/>
        <w:numPr>
          <w:ilvl w:val="0"/>
          <w:numId w:val="9"/>
        </w:numPr>
        <w:tabs>
          <w:tab w:pos="505" w:val="left" w:leader="none"/>
          <w:tab w:pos="506" w:val="left" w:leader="none"/>
        </w:tabs>
        <w:spacing w:line="240" w:lineRule="auto" w:before="0" w:after="0"/>
        <w:ind w:left="505" w:right="0" w:hanging="361"/>
        <w:jc w:val="left"/>
        <w:rPr>
          <w:sz w:val="24"/>
        </w:rPr>
      </w:pPr>
      <w:r>
        <w:rPr>
          <w:sz w:val="24"/>
        </w:rPr>
        <w:t>DNI/NIE de la persona sol·licitant en</w:t>
      </w:r>
      <w:r>
        <w:rPr>
          <w:spacing w:val="3"/>
          <w:sz w:val="24"/>
        </w:rPr>
        <w:t> </w:t>
      </w:r>
      <w:r>
        <w:rPr>
          <w:sz w:val="24"/>
        </w:rPr>
        <w:t>vigor.</w:t>
      </w:r>
    </w:p>
    <w:p>
      <w:pPr>
        <w:pStyle w:val="ListParagraph"/>
        <w:numPr>
          <w:ilvl w:val="0"/>
          <w:numId w:val="9"/>
        </w:numPr>
        <w:tabs>
          <w:tab w:pos="505" w:val="left" w:leader="none"/>
          <w:tab w:pos="506" w:val="left" w:leader="none"/>
        </w:tabs>
        <w:spacing w:line="240" w:lineRule="auto" w:before="184" w:after="0"/>
        <w:ind w:left="505" w:right="0" w:hanging="361"/>
        <w:jc w:val="left"/>
        <w:rPr>
          <w:sz w:val="24"/>
        </w:rPr>
      </w:pPr>
      <w:r>
        <w:rPr>
          <w:sz w:val="24"/>
        </w:rPr>
        <w:t>Carnet de família nombrosa i/o de família monoparental en</w:t>
      </w:r>
      <w:r>
        <w:rPr>
          <w:spacing w:val="-8"/>
          <w:sz w:val="24"/>
        </w:rPr>
        <w:t> </w:t>
      </w:r>
      <w:r>
        <w:rPr>
          <w:sz w:val="24"/>
        </w:rPr>
        <w:t>vigor.</w:t>
      </w:r>
    </w:p>
    <w:p>
      <w:pPr>
        <w:pStyle w:val="ListParagraph"/>
        <w:numPr>
          <w:ilvl w:val="0"/>
          <w:numId w:val="9"/>
        </w:numPr>
        <w:tabs>
          <w:tab w:pos="506" w:val="left" w:leader="none"/>
        </w:tabs>
        <w:spacing w:line="240" w:lineRule="auto" w:before="181" w:after="0"/>
        <w:ind w:left="505" w:right="130" w:hanging="360"/>
        <w:jc w:val="both"/>
        <w:rPr>
          <w:sz w:val="24"/>
        </w:rPr>
      </w:pPr>
      <w:r>
        <w:rPr>
          <w:sz w:val="24"/>
        </w:rPr>
        <w:t>Resolució de persona amb disminució o dependència i/o carnet de discapacitat, dels membres de la unitat familiar que tinguin aquesta</w:t>
      </w:r>
      <w:r>
        <w:rPr>
          <w:spacing w:val="-10"/>
          <w:sz w:val="24"/>
        </w:rPr>
        <w:t> </w:t>
      </w:r>
      <w:r>
        <w:rPr>
          <w:sz w:val="24"/>
        </w:rPr>
        <w:t>condició.</w:t>
      </w:r>
    </w:p>
    <w:p>
      <w:pPr>
        <w:pStyle w:val="ListParagraph"/>
        <w:numPr>
          <w:ilvl w:val="0"/>
          <w:numId w:val="9"/>
        </w:numPr>
        <w:tabs>
          <w:tab w:pos="506" w:val="left" w:leader="none"/>
        </w:tabs>
        <w:spacing w:line="240" w:lineRule="auto" w:before="181" w:after="0"/>
        <w:ind w:left="505" w:right="127" w:hanging="360"/>
        <w:jc w:val="both"/>
        <w:rPr>
          <w:sz w:val="24"/>
        </w:rPr>
      </w:pPr>
      <w:r>
        <w:rPr>
          <w:sz w:val="24"/>
        </w:rPr>
        <w:t>Autorització a l’Ajuntament de Deltebre per consultar les dades de la persona sol·licitant i unitats familiar davant els organismes oficials i declaració jurada assegurant que no tens altres comptes i dipòsits a nom del/la sol·licitant i dels membres de la unitat familiar en altres entitats bancàries. </w:t>
      </w:r>
      <w:r>
        <w:rPr>
          <w:i/>
          <w:sz w:val="24"/>
        </w:rPr>
        <w:t>Excepte si ja l’han </w:t>
      </w:r>
      <w:r>
        <w:rPr>
          <w:i/>
          <w:sz w:val="24"/>
        </w:rPr>
        <w:t>presentat dintre la mateixa</w:t>
      </w:r>
      <w:r>
        <w:rPr>
          <w:i/>
          <w:spacing w:val="-5"/>
          <w:sz w:val="24"/>
        </w:rPr>
        <w:t> </w:t>
      </w:r>
      <w:r>
        <w:rPr>
          <w:i/>
          <w:sz w:val="24"/>
        </w:rPr>
        <w:t>convocatòria</w:t>
      </w:r>
      <w:r>
        <w:rPr>
          <w:sz w:val="24"/>
        </w:rPr>
        <w:t>.</w:t>
      </w:r>
    </w:p>
    <w:p>
      <w:pPr>
        <w:pStyle w:val="ListParagraph"/>
        <w:numPr>
          <w:ilvl w:val="0"/>
          <w:numId w:val="9"/>
        </w:numPr>
        <w:tabs>
          <w:tab w:pos="506" w:val="left" w:leader="none"/>
        </w:tabs>
        <w:spacing w:line="240" w:lineRule="auto" w:before="184" w:after="0"/>
        <w:ind w:left="505" w:right="137" w:hanging="360"/>
        <w:jc w:val="both"/>
        <w:rPr>
          <w:sz w:val="24"/>
        </w:rPr>
      </w:pPr>
      <w:r>
        <w:rPr>
          <w:sz w:val="24"/>
        </w:rPr>
        <w:t>Si la persona sol·licitant es troba desocupada: targeta de demanda d’ocupació (DARDO atur) en</w:t>
      </w:r>
      <w:r>
        <w:rPr>
          <w:spacing w:val="-2"/>
          <w:sz w:val="24"/>
        </w:rPr>
        <w:t> </w:t>
      </w:r>
      <w:r>
        <w:rPr>
          <w:sz w:val="24"/>
        </w:rPr>
        <w:t>vigor.</w:t>
      </w:r>
    </w:p>
    <w:p>
      <w:pPr>
        <w:pStyle w:val="ListParagraph"/>
        <w:numPr>
          <w:ilvl w:val="0"/>
          <w:numId w:val="9"/>
        </w:numPr>
        <w:tabs>
          <w:tab w:pos="506" w:val="left" w:leader="none"/>
        </w:tabs>
        <w:spacing w:line="240" w:lineRule="auto" w:before="182" w:after="0"/>
        <w:ind w:left="505" w:right="131" w:hanging="360"/>
        <w:jc w:val="both"/>
        <w:rPr>
          <w:sz w:val="24"/>
        </w:rPr>
      </w:pPr>
      <w:r>
        <w:rPr>
          <w:sz w:val="24"/>
        </w:rPr>
        <w:t>Extracte bancari de TOTS els comptes a nom de qualsevol de tots els membres de la unitat familiar (inclosos menors) dels moviments dels 3 mesos immediatament* anteriors a la data de presentació de la</w:t>
      </w:r>
      <w:r>
        <w:rPr>
          <w:spacing w:val="-9"/>
          <w:sz w:val="24"/>
        </w:rPr>
        <w:t> </w:t>
      </w:r>
      <w:r>
        <w:rPr>
          <w:sz w:val="24"/>
        </w:rPr>
        <w:t>sol·licitud.</w:t>
      </w:r>
    </w:p>
    <w:p>
      <w:pPr>
        <w:spacing w:before="0"/>
        <w:ind w:left="505" w:right="135" w:firstLine="0"/>
        <w:jc w:val="both"/>
        <w:rPr>
          <w:i/>
          <w:sz w:val="24"/>
        </w:rPr>
      </w:pPr>
      <w:r>
        <w:rPr>
          <w:i/>
          <w:sz w:val="24"/>
        </w:rPr>
        <w:t>*poden ser moviments fins a 7 dies anteriors a la data de sol·licitud, sempre que </w:t>
      </w:r>
      <w:r>
        <w:rPr>
          <w:i/>
          <w:sz w:val="24"/>
        </w:rPr>
        <w:t>hi constin 3 mesos sencers.</w:t>
      </w:r>
    </w:p>
    <w:p>
      <w:pPr>
        <w:pStyle w:val="ListParagraph"/>
        <w:numPr>
          <w:ilvl w:val="0"/>
          <w:numId w:val="9"/>
        </w:numPr>
        <w:tabs>
          <w:tab w:pos="506" w:val="left" w:leader="none"/>
        </w:tabs>
        <w:spacing w:line="240" w:lineRule="auto" w:before="181" w:after="0"/>
        <w:ind w:left="505" w:right="133" w:hanging="360"/>
        <w:jc w:val="both"/>
        <w:rPr>
          <w:sz w:val="24"/>
        </w:rPr>
      </w:pPr>
      <w:r>
        <w:rPr>
          <w:sz w:val="24"/>
        </w:rPr>
        <w:t>Justificació del treball de tots els membres majors de 16 anys que es trobin capacitats per treballar segons les Bases</w:t>
      </w:r>
      <w:r>
        <w:rPr>
          <w:spacing w:val="-5"/>
          <w:sz w:val="24"/>
        </w:rPr>
        <w:t> </w:t>
      </w:r>
      <w:r>
        <w:rPr>
          <w:sz w:val="24"/>
        </w:rPr>
        <w:t>reguladores:</w:t>
      </w:r>
    </w:p>
    <w:p>
      <w:pPr>
        <w:pStyle w:val="ListParagraph"/>
        <w:numPr>
          <w:ilvl w:val="1"/>
          <w:numId w:val="9"/>
        </w:numPr>
        <w:tabs>
          <w:tab w:pos="1499" w:val="left" w:leader="none"/>
        </w:tabs>
        <w:spacing w:line="223" w:lineRule="auto" w:before="12" w:after="0"/>
        <w:ind w:left="1498" w:right="131" w:hanging="360"/>
        <w:jc w:val="both"/>
        <w:rPr>
          <w:sz w:val="24"/>
        </w:rPr>
      </w:pPr>
      <w:r>
        <w:rPr>
          <w:sz w:val="24"/>
        </w:rPr>
        <w:t>Vida laboral actualitzada de tots els membres del nucli familiar majors de 16 anys, excepte jubilats i estudiants menors de 18</w:t>
      </w:r>
      <w:r>
        <w:rPr>
          <w:spacing w:val="-14"/>
          <w:sz w:val="24"/>
        </w:rPr>
        <w:t> </w:t>
      </w:r>
      <w:r>
        <w:rPr>
          <w:sz w:val="24"/>
        </w:rPr>
        <w:t>anys.</w:t>
      </w:r>
    </w:p>
    <w:p>
      <w:pPr>
        <w:pStyle w:val="ListParagraph"/>
        <w:numPr>
          <w:ilvl w:val="1"/>
          <w:numId w:val="9"/>
        </w:numPr>
        <w:tabs>
          <w:tab w:pos="1499" w:val="left" w:leader="none"/>
        </w:tabs>
        <w:spacing w:line="230" w:lineRule="auto" w:before="12" w:after="0"/>
        <w:ind w:left="1498" w:right="128" w:hanging="360"/>
        <w:jc w:val="both"/>
        <w:rPr>
          <w:sz w:val="24"/>
        </w:rPr>
      </w:pPr>
      <w:r>
        <w:rPr>
          <w:sz w:val="24"/>
        </w:rPr>
        <w:t>En cas de ser treballadors per compte d’altri, nòmines dels últims tres mesos. Es pot ometre la presentació d’aquest document si a l’extracte bancari consta de forma clara l’ingrés corresponent a les</w:t>
      </w:r>
      <w:r>
        <w:rPr>
          <w:spacing w:val="-16"/>
          <w:sz w:val="24"/>
        </w:rPr>
        <w:t> </w:t>
      </w:r>
      <w:r>
        <w:rPr>
          <w:sz w:val="24"/>
        </w:rPr>
        <w:t>nòmines.</w:t>
      </w:r>
    </w:p>
    <w:p>
      <w:pPr>
        <w:pStyle w:val="ListParagraph"/>
        <w:numPr>
          <w:ilvl w:val="1"/>
          <w:numId w:val="9"/>
        </w:numPr>
        <w:tabs>
          <w:tab w:pos="1499" w:val="left" w:leader="none"/>
        </w:tabs>
        <w:spacing w:line="223" w:lineRule="auto" w:before="19" w:after="0"/>
        <w:ind w:left="1498" w:right="130" w:hanging="360"/>
        <w:jc w:val="both"/>
        <w:rPr>
          <w:sz w:val="24"/>
        </w:rPr>
      </w:pPr>
      <w:r>
        <w:rPr>
          <w:sz w:val="24"/>
        </w:rPr>
        <w:t>En cas de ser autònoms, última liquidació trimestral de l’IRPF o bé el butlletí de cotització a la Seguretat</w:t>
      </w:r>
      <w:r>
        <w:rPr>
          <w:spacing w:val="-6"/>
          <w:sz w:val="24"/>
        </w:rPr>
        <w:t> </w:t>
      </w:r>
      <w:r>
        <w:rPr>
          <w:sz w:val="24"/>
        </w:rPr>
        <w:t>Social.</w:t>
      </w:r>
    </w:p>
    <w:p>
      <w:pPr>
        <w:pStyle w:val="ListParagraph"/>
        <w:numPr>
          <w:ilvl w:val="0"/>
          <w:numId w:val="9"/>
        </w:numPr>
        <w:tabs>
          <w:tab w:pos="582" w:val="left" w:leader="none"/>
        </w:tabs>
        <w:spacing w:line="240" w:lineRule="auto" w:before="188" w:after="0"/>
        <w:ind w:left="581" w:right="129" w:hanging="360"/>
        <w:jc w:val="both"/>
        <w:rPr>
          <w:sz w:val="24"/>
        </w:rPr>
      </w:pPr>
      <w:r>
        <w:rPr>
          <w:sz w:val="24"/>
        </w:rPr>
        <w:t>Per als supòsits 2, 5, 6, 9, 11, 13 i 14 també s’ha d’adjuntar la corresponent liquidació.</w:t>
      </w:r>
    </w:p>
    <w:p>
      <w:pPr>
        <w:pStyle w:val="ListParagraph"/>
        <w:numPr>
          <w:ilvl w:val="0"/>
          <w:numId w:val="9"/>
        </w:numPr>
        <w:tabs>
          <w:tab w:pos="582" w:val="left" w:leader="none"/>
        </w:tabs>
        <w:spacing w:line="240" w:lineRule="auto" w:before="181" w:after="0"/>
        <w:ind w:left="581" w:right="135" w:hanging="360"/>
        <w:jc w:val="both"/>
        <w:rPr>
          <w:sz w:val="24"/>
        </w:rPr>
      </w:pPr>
      <w:r>
        <w:rPr>
          <w:sz w:val="24"/>
        </w:rPr>
        <w:t>Per als supòsits 7, 8.1 i 12, a més a més s’ha de presentar certificat de l’entitat corresponent al cost anual de</w:t>
      </w:r>
      <w:r>
        <w:rPr>
          <w:spacing w:val="-7"/>
          <w:sz w:val="24"/>
        </w:rPr>
        <w:t> </w:t>
      </w:r>
      <w:r>
        <w:rPr>
          <w:sz w:val="24"/>
        </w:rPr>
        <w:t>l’activitat.</w:t>
      </w:r>
    </w:p>
    <w:p>
      <w:pPr>
        <w:pStyle w:val="ListParagraph"/>
        <w:numPr>
          <w:ilvl w:val="0"/>
          <w:numId w:val="9"/>
        </w:numPr>
        <w:tabs>
          <w:tab w:pos="581" w:val="left" w:leader="none"/>
          <w:tab w:pos="582" w:val="left" w:leader="none"/>
        </w:tabs>
        <w:spacing w:line="293" w:lineRule="exact" w:before="182" w:after="0"/>
        <w:ind w:left="582" w:right="0" w:hanging="360"/>
        <w:jc w:val="left"/>
        <w:rPr>
          <w:sz w:val="24"/>
        </w:rPr>
      </w:pPr>
      <w:r>
        <w:rPr>
          <w:sz w:val="24"/>
        </w:rPr>
        <w:t>Per al supòsit 8.2, a més s’ha de</w:t>
      </w:r>
      <w:r>
        <w:rPr>
          <w:spacing w:val="-11"/>
          <w:sz w:val="24"/>
        </w:rPr>
        <w:t> </w:t>
      </w:r>
      <w:r>
        <w:rPr>
          <w:sz w:val="24"/>
        </w:rPr>
        <w:t>presentar:</w:t>
      </w:r>
    </w:p>
    <w:p>
      <w:pPr>
        <w:pStyle w:val="ListParagraph"/>
        <w:numPr>
          <w:ilvl w:val="1"/>
          <w:numId w:val="9"/>
        </w:numPr>
        <w:tabs>
          <w:tab w:pos="1302" w:val="left" w:leader="none"/>
        </w:tabs>
        <w:spacing w:line="223" w:lineRule="auto" w:before="13" w:after="0"/>
        <w:ind w:left="1302" w:right="136" w:hanging="360"/>
        <w:jc w:val="left"/>
        <w:rPr>
          <w:sz w:val="24"/>
        </w:rPr>
      </w:pPr>
      <w:r>
        <w:rPr>
          <w:sz w:val="24"/>
        </w:rPr>
        <w:t>Informe emès per un professional sanitari que acrediti les necessitats especials i la teràpia</w:t>
      </w:r>
      <w:r>
        <w:rPr>
          <w:spacing w:val="-2"/>
          <w:sz w:val="24"/>
        </w:rPr>
        <w:t> </w:t>
      </w:r>
      <w:r>
        <w:rPr>
          <w:sz w:val="24"/>
        </w:rPr>
        <w:t>requerida.</w:t>
      </w:r>
    </w:p>
    <w:p>
      <w:pPr>
        <w:pStyle w:val="ListParagraph"/>
        <w:numPr>
          <w:ilvl w:val="1"/>
          <w:numId w:val="9"/>
        </w:numPr>
        <w:tabs>
          <w:tab w:pos="1302" w:val="left" w:leader="none"/>
        </w:tabs>
        <w:spacing w:line="223" w:lineRule="auto" w:before="18" w:after="0"/>
        <w:ind w:left="1302" w:right="129" w:hanging="360"/>
        <w:jc w:val="left"/>
        <w:rPr>
          <w:sz w:val="24"/>
        </w:rPr>
      </w:pPr>
      <w:r>
        <w:rPr>
          <w:sz w:val="24"/>
        </w:rPr>
        <w:t>Certificat de cost trimestral de la teràpia o atenció especialitzada que necessitarà l’infant, emès pel centre on realitzarà les</w:t>
      </w:r>
      <w:r>
        <w:rPr>
          <w:spacing w:val="-9"/>
          <w:sz w:val="24"/>
        </w:rPr>
        <w:t> </w:t>
      </w:r>
      <w:r>
        <w:rPr>
          <w:sz w:val="24"/>
        </w:rPr>
        <w:t>sessions.</w:t>
      </w:r>
    </w:p>
    <w:sectPr>
      <w:pgSz w:w="11910" w:h="16840"/>
      <w:pgMar w:header="752" w:footer="1022" w:top="2860" w:bottom="1220" w:left="1480" w:right="11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Courier New">
    <w:altName w:val="Courier New"/>
    <w:charset w:val="0"/>
    <w:family w:val="modern"/>
    <w:pitch w:val="fixed"/>
  </w:font>
  <w:font w:name="Symbol">
    <w:altName w:val="Symbol"/>
    <w:charset w:val="2"/>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59.699997pt;margin-top:779.809998pt;width:261.8pt;height:10.050pt;mso-position-horizontal-relative:page;mso-position-vertical-relative:page;z-index:-252249088" type="#_x0000_t202" filled="false" stroked="false">
          <v:textbox inset="0,0,0,0">
            <w:txbxContent>
              <w:p>
                <w:pPr>
                  <w:spacing w:line="184" w:lineRule="exact" w:before="0"/>
                  <w:ind w:left="20" w:right="0" w:firstLine="0"/>
                  <w:jc w:val="left"/>
                  <w:rPr>
                    <w:rFonts w:ascii="Calibri" w:hAnsi="Calibri"/>
                    <w:b/>
                    <w:sz w:val="16"/>
                  </w:rPr>
                </w:pPr>
                <w:r>
                  <w:rPr>
                    <w:rFonts w:ascii="Calibri" w:hAnsi="Calibri"/>
                    <w:b/>
                    <w:sz w:val="16"/>
                  </w:rPr>
                  <w:t>l </w:t>
                </w:r>
                <w:hyperlink r:id="rId1">
                  <w:r>
                    <w:rPr>
                      <w:rFonts w:ascii="Calibri" w:hAnsi="Calibri"/>
                      <w:sz w:val="16"/>
                    </w:rPr>
                    <w:t>www.deltebre.cat </w:t>
                  </w:r>
                </w:hyperlink>
                <w:r>
                  <w:rPr>
                    <w:rFonts w:ascii="Calibri" w:hAnsi="Calibri"/>
                    <w:b/>
                    <w:sz w:val="16"/>
                  </w:rPr>
                  <w:t>l </w:t>
                </w:r>
                <w:r>
                  <w:rPr>
                    <w:rFonts w:ascii="Calibri" w:hAnsi="Calibri"/>
                    <w:sz w:val="16"/>
                  </w:rPr>
                  <w:t>Tel. 977 489 309 </w:t>
                </w:r>
                <w:r>
                  <w:rPr>
                    <w:rFonts w:ascii="Calibri" w:hAnsi="Calibri"/>
                    <w:b/>
                    <w:sz w:val="16"/>
                  </w:rPr>
                  <w:t>l </w:t>
                </w:r>
                <w:r>
                  <w:rPr>
                    <w:rFonts w:ascii="Calibri" w:hAnsi="Calibri"/>
                    <w:sz w:val="16"/>
                  </w:rPr>
                  <w:t>Plaça Vint de Maig, s/n, 43580 Deltebre </w:t>
                </w:r>
                <w:r>
                  <w:rPr>
                    <w:rFonts w:ascii="Calibri" w:hAnsi="Calibri"/>
                    <w:b/>
                    <w:sz w:val="16"/>
                  </w:rPr>
                  <w:t>l</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1" simplePos="0" relativeHeight="251065344">
          <wp:simplePos x="0" y="0"/>
          <wp:positionH relativeFrom="page">
            <wp:posOffset>815674</wp:posOffset>
          </wp:positionH>
          <wp:positionV relativeFrom="page">
            <wp:posOffset>477679</wp:posOffset>
          </wp:positionV>
          <wp:extent cx="1236296" cy="863929"/>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1" cstate="print"/>
                  <a:stretch>
                    <a:fillRect/>
                  </a:stretch>
                </pic:blipFill>
                <pic:spPr>
                  <a:xfrm>
                    <a:off x="0" y="0"/>
                    <a:ext cx="1236296" cy="863929"/>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62.863998pt;margin-top:115.4767pt;width:140.8pt;height:29.25pt;mso-position-horizontal-relative:page;mso-position-vertical-relative:page;z-index:-252250112" type="#_x0000_t202" filled="false" stroked="false">
          <v:textbox inset="0,0,0,0">
            <w:txbxContent>
              <w:p>
                <w:pPr>
                  <w:spacing w:before="12"/>
                  <w:ind w:left="20" w:right="0" w:firstLine="0"/>
                  <w:jc w:val="left"/>
                  <w:rPr>
                    <w:b/>
                    <w:sz w:val="24"/>
                  </w:rPr>
                </w:pPr>
                <w:r>
                  <w:rPr>
                    <w:b/>
                    <w:sz w:val="24"/>
                  </w:rPr>
                  <w:t>Àrea #DeltebreProjecció</w:t>
                </w:r>
              </w:p>
              <w:p>
                <w:pPr>
                  <w:pStyle w:val="BodyText"/>
                  <w:ind w:left="20"/>
                </w:pPr>
                <w:r>
                  <w:rPr/>
                  <w:t>Servei a les Persones</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0"/>
      <w:numFmt w:val="bullet"/>
      <w:lvlText w:val=""/>
      <w:lvlJc w:val="left"/>
      <w:pPr>
        <w:ind w:left="930" w:hanging="348"/>
      </w:pPr>
      <w:rPr>
        <w:rFonts w:hint="default" w:ascii="Symbol" w:hAnsi="Symbol" w:eastAsia="Symbol" w:cs="Symbol"/>
        <w:w w:val="100"/>
        <w:sz w:val="24"/>
        <w:szCs w:val="24"/>
        <w:lang w:val="es-es" w:eastAsia="es-es" w:bidi="es-es"/>
      </w:rPr>
    </w:lvl>
    <w:lvl w:ilvl="1">
      <w:start w:val="0"/>
      <w:numFmt w:val="bullet"/>
      <w:lvlText w:val="o"/>
      <w:lvlJc w:val="left"/>
      <w:pPr>
        <w:ind w:left="1016" w:hanging="274"/>
      </w:pPr>
      <w:rPr>
        <w:rFonts w:hint="default" w:ascii="Courier New" w:hAnsi="Courier New" w:eastAsia="Courier New" w:cs="Courier New"/>
        <w:w w:val="100"/>
        <w:sz w:val="24"/>
        <w:szCs w:val="24"/>
        <w:lang w:val="es-es" w:eastAsia="es-es" w:bidi="es-es"/>
      </w:rPr>
    </w:lvl>
    <w:lvl w:ilvl="2">
      <w:start w:val="0"/>
      <w:numFmt w:val="bullet"/>
      <w:lvlText w:val="•"/>
      <w:lvlJc w:val="left"/>
      <w:pPr>
        <w:ind w:left="1938" w:hanging="274"/>
      </w:pPr>
      <w:rPr>
        <w:rFonts w:hint="default"/>
        <w:lang w:val="es-es" w:eastAsia="es-es" w:bidi="es-es"/>
      </w:rPr>
    </w:lvl>
    <w:lvl w:ilvl="3">
      <w:start w:val="0"/>
      <w:numFmt w:val="bullet"/>
      <w:lvlText w:val="•"/>
      <w:lvlJc w:val="left"/>
      <w:pPr>
        <w:ind w:left="2856" w:hanging="274"/>
      </w:pPr>
      <w:rPr>
        <w:rFonts w:hint="default"/>
        <w:lang w:val="es-es" w:eastAsia="es-es" w:bidi="es-es"/>
      </w:rPr>
    </w:lvl>
    <w:lvl w:ilvl="4">
      <w:start w:val="0"/>
      <w:numFmt w:val="bullet"/>
      <w:lvlText w:val="•"/>
      <w:lvlJc w:val="left"/>
      <w:pPr>
        <w:ind w:left="3775" w:hanging="274"/>
      </w:pPr>
      <w:rPr>
        <w:rFonts w:hint="default"/>
        <w:lang w:val="es-es" w:eastAsia="es-es" w:bidi="es-es"/>
      </w:rPr>
    </w:lvl>
    <w:lvl w:ilvl="5">
      <w:start w:val="0"/>
      <w:numFmt w:val="bullet"/>
      <w:lvlText w:val="•"/>
      <w:lvlJc w:val="left"/>
      <w:pPr>
        <w:ind w:left="4693" w:hanging="274"/>
      </w:pPr>
      <w:rPr>
        <w:rFonts w:hint="default"/>
        <w:lang w:val="es-es" w:eastAsia="es-es" w:bidi="es-es"/>
      </w:rPr>
    </w:lvl>
    <w:lvl w:ilvl="6">
      <w:start w:val="0"/>
      <w:numFmt w:val="bullet"/>
      <w:lvlText w:val="•"/>
      <w:lvlJc w:val="left"/>
      <w:pPr>
        <w:ind w:left="5612" w:hanging="274"/>
      </w:pPr>
      <w:rPr>
        <w:rFonts w:hint="default"/>
        <w:lang w:val="es-es" w:eastAsia="es-es" w:bidi="es-es"/>
      </w:rPr>
    </w:lvl>
    <w:lvl w:ilvl="7">
      <w:start w:val="0"/>
      <w:numFmt w:val="bullet"/>
      <w:lvlText w:val="•"/>
      <w:lvlJc w:val="left"/>
      <w:pPr>
        <w:ind w:left="6530" w:hanging="274"/>
      </w:pPr>
      <w:rPr>
        <w:rFonts w:hint="default"/>
        <w:lang w:val="es-es" w:eastAsia="es-es" w:bidi="es-es"/>
      </w:rPr>
    </w:lvl>
    <w:lvl w:ilvl="8">
      <w:start w:val="0"/>
      <w:numFmt w:val="bullet"/>
      <w:lvlText w:val="•"/>
      <w:lvlJc w:val="left"/>
      <w:pPr>
        <w:ind w:left="7449" w:hanging="274"/>
      </w:pPr>
      <w:rPr>
        <w:rFonts w:hint="default"/>
        <w:lang w:val="es-es" w:eastAsia="es-es" w:bidi="es-es"/>
      </w:rPr>
    </w:lvl>
  </w:abstractNum>
  <w:abstractNum w:abstractNumId="8">
    <w:multiLevelType w:val="hybridMultilevel"/>
    <w:lvl w:ilvl="0">
      <w:start w:val="0"/>
      <w:numFmt w:val="bullet"/>
      <w:lvlText w:val=""/>
      <w:lvlJc w:val="left"/>
      <w:pPr>
        <w:ind w:left="505" w:hanging="360"/>
      </w:pPr>
      <w:rPr>
        <w:rFonts w:hint="default" w:ascii="Symbol" w:hAnsi="Symbol" w:eastAsia="Symbol" w:cs="Symbol"/>
        <w:w w:val="100"/>
        <w:sz w:val="24"/>
        <w:szCs w:val="24"/>
        <w:lang w:val="es-es" w:eastAsia="es-es" w:bidi="es-es"/>
      </w:rPr>
    </w:lvl>
    <w:lvl w:ilvl="1">
      <w:start w:val="0"/>
      <w:numFmt w:val="bullet"/>
      <w:lvlText w:val="o"/>
      <w:lvlJc w:val="left"/>
      <w:pPr>
        <w:ind w:left="1498" w:hanging="360"/>
      </w:pPr>
      <w:rPr>
        <w:rFonts w:hint="default" w:ascii="Courier New" w:hAnsi="Courier New" w:eastAsia="Courier New" w:cs="Courier New"/>
        <w:w w:val="100"/>
        <w:sz w:val="24"/>
        <w:szCs w:val="24"/>
        <w:lang w:val="es-es" w:eastAsia="es-es" w:bidi="es-es"/>
      </w:rPr>
    </w:lvl>
    <w:lvl w:ilvl="2">
      <w:start w:val="0"/>
      <w:numFmt w:val="bullet"/>
      <w:lvlText w:val="•"/>
      <w:lvlJc w:val="left"/>
      <w:pPr>
        <w:ind w:left="1500" w:hanging="360"/>
      </w:pPr>
      <w:rPr>
        <w:rFonts w:hint="default"/>
        <w:lang w:val="es-es" w:eastAsia="es-es" w:bidi="es-es"/>
      </w:rPr>
    </w:lvl>
    <w:lvl w:ilvl="3">
      <w:start w:val="0"/>
      <w:numFmt w:val="bullet"/>
      <w:lvlText w:val="•"/>
      <w:lvlJc w:val="left"/>
      <w:pPr>
        <w:ind w:left="2473" w:hanging="360"/>
      </w:pPr>
      <w:rPr>
        <w:rFonts w:hint="default"/>
        <w:lang w:val="es-es" w:eastAsia="es-es" w:bidi="es-es"/>
      </w:rPr>
    </w:lvl>
    <w:lvl w:ilvl="4">
      <w:start w:val="0"/>
      <w:numFmt w:val="bullet"/>
      <w:lvlText w:val="•"/>
      <w:lvlJc w:val="left"/>
      <w:pPr>
        <w:ind w:left="3446" w:hanging="360"/>
      </w:pPr>
      <w:rPr>
        <w:rFonts w:hint="default"/>
        <w:lang w:val="es-es" w:eastAsia="es-es" w:bidi="es-es"/>
      </w:rPr>
    </w:lvl>
    <w:lvl w:ilvl="5">
      <w:start w:val="0"/>
      <w:numFmt w:val="bullet"/>
      <w:lvlText w:val="•"/>
      <w:lvlJc w:val="left"/>
      <w:pPr>
        <w:ind w:left="4419" w:hanging="360"/>
      </w:pPr>
      <w:rPr>
        <w:rFonts w:hint="default"/>
        <w:lang w:val="es-es" w:eastAsia="es-es" w:bidi="es-es"/>
      </w:rPr>
    </w:lvl>
    <w:lvl w:ilvl="6">
      <w:start w:val="0"/>
      <w:numFmt w:val="bullet"/>
      <w:lvlText w:val="•"/>
      <w:lvlJc w:val="left"/>
      <w:pPr>
        <w:ind w:left="5393" w:hanging="360"/>
      </w:pPr>
      <w:rPr>
        <w:rFonts w:hint="default"/>
        <w:lang w:val="es-es" w:eastAsia="es-es" w:bidi="es-es"/>
      </w:rPr>
    </w:lvl>
    <w:lvl w:ilvl="7">
      <w:start w:val="0"/>
      <w:numFmt w:val="bullet"/>
      <w:lvlText w:val="•"/>
      <w:lvlJc w:val="left"/>
      <w:pPr>
        <w:ind w:left="6366" w:hanging="360"/>
      </w:pPr>
      <w:rPr>
        <w:rFonts w:hint="default"/>
        <w:lang w:val="es-es" w:eastAsia="es-es" w:bidi="es-es"/>
      </w:rPr>
    </w:lvl>
    <w:lvl w:ilvl="8">
      <w:start w:val="0"/>
      <w:numFmt w:val="bullet"/>
      <w:lvlText w:val="•"/>
      <w:lvlJc w:val="left"/>
      <w:pPr>
        <w:ind w:left="7339" w:hanging="360"/>
      </w:pPr>
      <w:rPr>
        <w:rFonts w:hint="default"/>
        <w:lang w:val="es-es" w:eastAsia="es-es" w:bidi="es-es"/>
      </w:rPr>
    </w:lvl>
  </w:abstractNum>
  <w:abstractNum w:abstractNumId="7">
    <w:multiLevelType w:val="hybridMultilevel"/>
    <w:lvl w:ilvl="0">
      <w:start w:val="4"/>
      <w:numFmt w:val="decimal"/>
      <w:lvlText w:val="%1-"/>
      <w:lvlJc w:val="left"/>
      <w:pPr>
        <w:ind w:left="222" w:hanging="293"/>
        <w:jc w:val="left"/>
      </w:pPr>
      <w:rPr>
        <w:rFonts w:hint="default" w:ascii="Arial" w:hAnsi="Arial" w:eastAsia="Arial" w:cs="Arial"/>
        <w:b/>
        <w:bCs/>
        <w:w w:val="99"/>
        <w:sz w:val="24"/>
        <w:szCs w:val="24"/>
        <w:lang w:val="es-es" w:eastAsia="es-es" w:bidi="es-es"/>
      </w:rPr>
    </w:lvl>
    <w:lvl w:ilvl="1">
      <w:start w:val="1"/>
      <w:numFmt w:val="decimal"/>
      <w:lvlText w:val="%1.%2."/>
      <w:lvlJc w:val="left"/>
      <w:pPr>
        <w:ind w:left="930" w:hanging="524"/>
        <w:jc w:val="left"/>
      </w:pPr>
      <w:rPr>
        <w:rFonts w:hint="default" w:ascii="Arial" w:hAnsi="Arial" w:eastAsia="Arial" w:cs="Arial"/>
        <w:b/>
        <w:bCs/>
        <w:w w:val="99"/>
        <w:sz w:val="24"/>
        <w:szCs w:val="24"/>
        <w:lang w:val="es-es" w:eastAsia="es-es" w:bidi="es-es"/>
      </w:rPr>
    </w:lvl>
    <w:lvl w:ilvl="2">
      <w:start w:val="0"/>
      <w:numFmt w:val="bullet"/>
      <w:lvlText w:val="•"/>
      <w:lvlJc w:val="left"/>
      <w:pPr>
        <w:ind w:left="1867" w:hanging="524"/>
      </w:pPr>
      <w:rPr>
        <w:rFonts w:hint="default"/>
        <w:lang w:val="es-es" w:eastAsia="es-es" w:bidi="es-es"/>
      </w:rPr>
    </w:lvl>
    <w:lvl w:ilvl="3">
      <w:start w:val="0"/>
      <w:numFmt w:val="bullet"/>
      <w:lvlText w:val="•"/>
      <w:lvlJc w:val="left"/>
      <w:pPr>
        <w:ind w:left="2794" w:hanging="524"/>
      </w:pPr>
      <w:rPr>
        <w:rFonts w:hint="default"/>
        <w:lang w:val="es-es" w:eastAsia="es-es" w:bidi="es-es"/>
      </w:rPr>
    </w:lvl>
    <w:lvl w:ilvl="4">
      <w:start w:val="0"/>
      <w:numFmt w:val="bullet"/>
      <w:lvlText w:val="•"/>
      <w:lvlJc w:val="left"/>
      <w:pPr>
        <w:ind w:left="3722" w:hanging="524"/>
      </w:pPr>
      <w:rPr>
        <w:rFonts w:hint="default"/>
        <w:lang w:val="es-es" w:eastAsia="es-es" w:bidi="es-es"/>
      </w:rPr>
    </w:lvl>
    <w:lvl w:ilvl="5">
      <w:start w:val="0"/>
      <w:numFmt w:val="bullet"/>
      <w:lvlText w:val="•"/>
      <w:lvlJc w:val="left"/>
      <w:pPr>
        <w:ind w:left="4649" w:hanging="524"/>
      </w:pPr>
      <w:rPr>
        <w:rFonts w:hint="default"/>
        <w:lang w:val="es-es" w:eastAsia="es-es" w:bidi="es-es"/>
      </w:rPr>
    </w:lvl>
    <w:lvl w:ilvl="6">
      <w:start w:val="0"/>
      <w:numFmt w:val="bullet"/>
      <w:lvlText w:val="•"/>
      <w:lvlJc w:val="left"/>
      <w:pPr>
        <w:ind w:left="5576" w:hanging="524"/>
      </w:pPr>
      <w:rPr>
        <w:rFonts w:hint="default"/>
        <w:lang w:val="es-es" w:eastAsia="es-es" w:bidi="es-es"/>
      </w:rPr>
    </w:lvl>
    <w:lvl w:ilvl="7">
      <w:start w:val="0"/>
      <w:numFmt w:val="bullet"/>
      <w:lvlText w:val="•"/>
      <w:lvlJc w:val="left"/>
      <w:pPr>
        <w:ind w:left="6504" w:hanging="524"/>
      </w:pPr>
      <w:rPr>
        <w:rFonts w:hint="default"/>
        <w:lang w:val="es-es" w:eastAsia="es-es" w:bidi="es-es"/>
      </w:rPr>
    </w:lvl>
    <w:lvl w:ilvl="8">
      <w:start w:val="0"/>
      <w:numFmt w:val="bullet"/>
      <w:lvlText w:val="•"/>
      <w:lvlJc w:val="left"/>
      <w:pPr>
        <w:ind w:left="7431" w:hanging="524"/>
      </w:pPr>
      <w:rPr>
        <w:rFonts w:hint="default"/>
        <w:lang w:val="es-es" w:eastAsia="es-es" w:bidi="es-es"/>
      </w:rPr>
    </w:lvl>
  </w:abstractNum>
  <w:abstractNum w:abstractNumId="6">
    <w:multiLevelType w:val="hybridMultilevel"/>
    <w:lvl w:ilvl="0">
      <w:start w:val="0"/>
      <w:numFmt w:val="bullet"/>
      <w:lvlText w:val="o"/>
      <w:lvlJc w:val="left"/>
      <w:pPr>
        <w:ind w:left="505" w:hanging="360"/>
      </w:pPr>
      <w:rPr>
        <w:rFonts w:hint="default" w:ascii="Courier New" w:hAnsi="Courier New" w:eastAsia="Courier New" w:cs="Courier New"/>
        <w:w w:val="100"/>
        <w:sz w:val="24"/>
        <w:szCs w:val="24"/>
        <w:lang w:val="es-es" w:eastAsia="es-es" w:bidi="es-es"/>
      </w:rPr>
    </w:lvl>
    <w:lvl w:ilvl="1">
      <w:start w:val="0"/>
      <w:numFmt w:val="bullet"/>
      <w:lvlText w:val=""/>
      <w:lvlJc w:val="left"/>
      <w:pPr>
        <w:ind w:left="1074" w:hanging="216"/>
      </w:pPr>
      <w:rPr>
        <w:rFonts w:hint="default" w:ascii="Symbol" w:hAnsi="Symbol" w:eastAsia="Symbol" w:cs="Symbol"/>
        <w:w w:val="100"/>
        <w:sz w:val="22"/>
        <w:szCs w:val="22"/>
        <w:lang w:val="es-es" w:eastAsia="es-es" w:bidi="es-es"/>
      </w:rPr>
    </w:lvl>
    <w:lvl w:ilvl="2">
      <w:start w:val="0"/>
      <w:numFmt w:val="bullet"/>
      <w:lvlText w:val="•"/>
      <w:lvlJc w:val="left"/>
      <w:pPr>
        <w:ind w:left="1991" w:hanging="216"/>
      </w:pPr>
      <w:rPr>
        <w:rFonts w:hint="default"/>
        <w:lang w:val="es-es" w:eastAsia="es-es" w:bidi="es-es"/>
      </w:rPr>
    </w:lvl>
    <w:lvl w:ilvl="3">
      <w:start w:val="0"/>
      <w:numFmt w:val="bullet"/>
      <w:lvlText w:val="•"/>
      <w:lvlJc w:val="left"/>
      <w:pPr>
        <w:ind w:left="2903" w:hanging="216"/>
      </w:pPr>
      <w:rPr>
        <w:rFonts w:hint="default"/>
        <w:lang w:val="es-es" w:eastAsia="es-es" w:bidi="es-es"/>
      </w:rPr>
    </w:lvl>
    <w:lvl w:ilvl="4">
      <w:start w:val="0"/>
      <w:numFmt w:val="bullet"/>
      <w:lvlText w:val="•"/>
      <w:lvlJc w:val="left"/>
      <w:pPr>
        <w:ind w:left="3815" w:hanging="216"/>
      </w:pPr>
      <w:rPr>
        <w:rFonts w:hint="default"/>
        <w:lang w:val="es-es" w:eastAsia="es-es" w:bidi="es-es"/>
      </w:rPr>
    </w:lvl>
    <w:lvl w:ilvl="5">
      <w:start w:val="0"/>
      <w:numFmt w:val="bullet"/>
      <w:lvlText w:val="•"/>
      <w:lvlJc w:val="left"/>
      <w:pPr>
        <w:ind w:left="4727" w:hanging="216"/>
      </w:pPr>
      <w:rPr>
        <w:rFonts w:hint="default"/>
        <w:lang w:val="es-es" w:eastAsia="es-es" w:bidi="es-es"/>
      </w:rPr>
    </w:lvl>
    <w:lvl w:ilvl="6">
      <w:start w:val="0"/>
      <w:numFmt w:val="bullet"/>
      <w:lvlText w:val="•"/>
      <w:lvlJc w:val="left"/>
      <w:pPr>
        <w:ind w:left="5639" w:hanging="216"/>
      </w:pPr>
      <w:rPr>
        <w:rFonts w:hint="default"/>
        <w:lang w:val="es-es" w:eastAsia="es-es" w:bidi="es-es"/>
      </w:rPr>
    </w:lvl>
    <w:lvl w:ilvl="7">
      <w:start w:val="0"/>
      <w:numFmt w:val="bullet"/>
      <w:lvlText w:val="•"/>
      <w:lvlJc w:val="left"/>
      <w:pPr>
        <w:ind w:left="6550" w:hanging="216"/>
      </w:pPr>
      <w:rPr>
        <w:rFonts w:hint="default"/>
        <w:lang w:val="es-es" w:eastAsia="es-es" w:bidi="es-es"/>
      </w:rPr>
    </w:lvl>
    <w:lvl w:ilvl="8">
      <w:start w:val="0"/>
      <w:numFmt w:val="bullet"/>
      <w:lvlText w:val="•"/>
      <w:lvlJc w:val="left"/>
      <w:pPr>
        <w:ind w:left="7462" w:hanging="216"/>
      </w:pPr>
      <w:rPr>
        <w:rFonts w:hint="default"/>
        <w:lang w:val="es-es" w:eastAsia="es-es" w:bidi="es-es"/>
      </w:rPr>
    </w:lvl>
  </w:abstractNum>
  <w:abstractNum w:abstractNumId="5">
    <w:multiLevelType w:val="hybridMultilevel"/>
    <w:lvl w:ilvl="0">
      <w:start w:val="0"/>
      <w:numFmt w:val="bullet"/>
      <w:lvlText w:val=""/>
      <w:lvlJc w:val="left"/>
      <w:pPr>
        <w:ind w:left="582" w:hanging="360"/>
      </w:pPr>
      <w:rPr>
        <w:rFonts w:hint="default" w:ascii="Symbol" w:hAnsi="Symbol" w:eastAsia="Symbol" w:cs="Symbol"/>
        <w:w w:val="100"/>
        <w:sz w:val="24"/>
        <w:szCs w:val="24"/>
        <w:lang w:val="es-es" w:eastAsia="es-es" w:bidi="es-es"/>
      </w:rPr>
    </w:lvl>
    <w:lvl w:ilvl="1">
      <w:start w:val="0"/>
      <w:numFmt w:val="bullet"/>
      <w:lvlText w:val="•"/>
      <w:lvlJc w:val="left"/>
      <w:pPr>
        <w:ind w:left="1450" w:hanging="360"/>
      </w:pPr>
      <w:rPr>
        <w:rFonts w:hint="default"/>
        <w:lang w:val="es-es" w:eastAsia="es-es" w:bidi="es-es"/>
      </w:rPr>
    </w:lvl>
    <w:lvl w:ilvl="2">
      <w:start w:val="0"/>
      <w:numFmt w:val="bullet"/>
      <w:lvlText w:val="•"/>
      <w:lvlJc w:val="left"/>
      <w:pPr>
        <w:ind w:left="2321" w:hanging="360"/>
      </w:pPr>
      <w:rPr>
        <w:rFonts w:hint="default"/>
        <w:lang w:val="es-es" w:eastAsia="es-es" w:bidi="es-es"/>
      </w:rPr>
    </w:lvl>
    <w:lvl w:ilvl="3">
      <w:start w:val="0"/>
      <w:numFmt w:val="bullet"/>
      <w:lvlText w:val="•"/>
      <w:lvlJc w:val="left"/>
      <w:pPr>
        <w:ind w:left="3191" w:hanging="360"/>
      </w:pPr>
      <w:rPr>
        <w:rFonts w:hint="default"/>
        <w:lang w:val="es-es" w:eastAsia="es-es" w:bidi="es-es"/>
      </w:rPr>
    </w:lvl>
    <w:lvl w:ilvl="4">
      <w:start w:val="0"/>
      <w:numFmt w:val="bullet"/>
      <w:lvlText w:val="•"/>
      <w:lvlJc w:val="left"/>
      <w:pPr>
        <w:ind w:left="4062" w:hanging="360"/>
      </w:pPr>
      <w:rPr>
        <w:rFonts w:hint="default"/>
        <w:lang w:val="es-es" w:eastAsia="es-es" w:bidi="es-es"/>
      </w:rPr>
    </w:lvl>
    <w:lvl w:ilvl="5">
      <w:start w:val="0"/>
      <w:numFmt w:val="bullet"/>
      <w:lvlText w:val="•"/>
      <w:lvlJc w:val="left"/>
      <w:pPr>
        <w:ind w:left="4933" w:hanging="360"/>
      </w:pPr>
      <w:rPr>
        <w:rFonts w:hint="default"/>
        <w:lang w:val="es-es" w:eastAsia="es-es" w:bidi="es-es"/>
      </w:rPr>
    </w:lvl>
    <w:lvl w:ilvl="6">
      <w:start w:val="0"/>
      <w:numFmt w:val="bullet"/>
      <w:lvlText w:val="•"/>
      <w:lvlJc w:val="left"/>
      <w:pPr>
        <w:ind w:left="5803" w:hanging="360"/>
      </w:pPr>
      <w:rPr>
        <w:rFonts w:hint="default"/>
        <w:lang w:val="es-es" w:eastAsia="es-es" w:bidi="es-es"/>
      </w:rPr>
    </w:lvl>
    <w:lvl w:ilvl="7">
      <w:start w:val="0"/>
      <w:numFmt w:val="bullet"/>
      <w:lvlText w:val="•"/>
      <w:lvlJc w:val="left"/>
      <w:pPr>
        <w:ind w:left="6674" w:hanging="360"/>
      </w:pPr>
      <w:rPr>
        <w:rFonts w:hint="default"/>
        <w:lang w:val="es-es" w:eastAsia="es-es" w:bidi="es-es"/>
      </w:rPr>
    </w:lvl>
    <w:lvl w:ilvl="8">
      <w:start w:val="0"/>
      <w:numFmt w:val="bullet"/>
      <w:lvlText w:val="•"/>
      <w:lvlJc w:val="left"/>
      <w:pPr>
        <w:ind w:left="7545" w:hanging="360"/>
      </w:pPr>
      <w:rPr>
        <w:rFonts w:hint="default"/>
        <w:lang w:val="es-es" w:eastAsia="es-es" w:bidi="es-es"/>
      </w:rPr>
    </w:lvl>
  </w:abstractNum>
  <w:abstractNum w:abstractNumId="3">
    <w:multiLevelType w:val="hybridMultilevel"/>
    <w:lvl w:ilvl="0">
      <w:start w:val="0"/>
      <w:numFmt w:val="bullet"/>
      <w:lvlText w:val="-"/>
      <w:lvlJc w:val="left"/>
      <w:pPr>
        <w:ind w:left="222" w:hanging="166"/>
      </w:pPr>
      <w:rPr>
        <w:rFonts w:hint="default" w:ascii="Arial" w:hAnsi="Arial" w:eastAsia="Arial" w:cs="Arial"/>
        <w:w w:val="99"/>
        <w:sz w:val="24"/>
        <w:szCs w:val="24"/>
        <w:lang w:val="es-es" w:eastAsia="es-es" w:bidi="es-es"/>
      </w:rPr>
    </w:lvl>
    <w:lvl w:ilvl="1">
      <w:start w:val="0"/>
      <w:numFmt w:val="bullet"/>
      <w:lvlText w:val="•"/>
      <w:lvlJc w:val="left"/>
      <w:pPr>
        <w:ind w:left="1126" w:hanging="166"/>
      </w:pPr>
      <w:rPr>
        <w:rFonts w:hint="default"/>
        <w:lang w:val="es-es" w:eastAsia="es-es" w:bidi="es-es"/>
      </w:rPr>
    </w:lvl>
    <w:lvl w:ilvl="2">
      <w:start w:val="0"/>
      <w:numFmt w:val="bullet"/>
      <w:lvlText w:val="•"/>
      <w:lvlJc w:val="left"/>
      <w:pPr>
        <w:ind w:left="2033" w:hanging="166"/>
      </w:pPr>
      <w:rPr>
        <w:rFonts w:hint="default"/>
        <w:lang w:val="es-es" w:eastAsia="es-es" w:bidi="es-es"/>
      </w:rPr>
    </w:lvl>
    <w:lvl w:ilvl="3">
      <w:start w:val="0"/>
      <w:numFmt w:val="bullet"/>
      <w:lvlText w:val="•"/>
      <w:lvlJc w:val="left"/>
      <w:pPr>
        <w:ind w:left="2939" w:hanging="166"/>
      </w:pPr>
      <w:rPr>
        <w:rFonts w:hint="default"/>
        <w:lang w:val="es-es" w:eastAsia="es-es" w:bidi="es-es"/>
      </w:rPr>
    </w:lvl>
    <w:lvl w:ilvl="4">
      <w:start w:val="0"/>
      <w:numFmt w:val="bullet"/>
      <w:lvlText w:val="•"/>
      <w:lvlJc w:val="left"/>
      <w:pPr>
        <w:ind w:left="3846" w:hanging="166"/>
      </w:pPr>
      <w:rPr>
        <w:rFonts w:hint="default"/>
        <w:lang w:val="es-es" w:eastAsia="es-es" w:bidi="es-es"/>
      </w:rPr>
    </w:lvl>
    <w:lvl w:ilvl="5">
      <w:start w:val="0"/>
      <w:numFmt w:val="bullet"/>
      <w:lvlText w:val="•"/>
      <w:lvlJc w:val="left"/>
      <w:pPr>
        <w:ind w:left="4753" w:hanging="166"/>
      </w:pPr>
      <w:rPr>
        <w:rFonts w:hint="default"/>
        <w:lang w:val="es-es" w:eastAsia="es-es" w:bidi="es-es"/>
      </w:rPr>
    </w:lvl>
    <w:lvl w:ilvl="6">
      <w:start w:val="0"/>
      <w:numFmt w:val="bullet"/>
      <w:lvlText w:val="•"/>
      <w:lvlJc w:val="left"/>
      <w:pPr>
        <w:ind w:left="5659" w:hanging="166"/>
      </w:pPr>
      <w:rPr>
        <w:rFonts w:hint="default"/>
        <w:lang w:val="es-es" w:eastAsia="es-es" w:bidi="es-es"/>
      </w:rPr>
    </w:lvl>
    <w:lvl w:ilvl="7">
      <w:start w:val="0"/>
      <w:numFmt w:val="bullet"/>
      <w:lvlText w:val="•"/>
      <w:lvlJc w:val="left"/>
      <w:pPr>
        <w:ind w:left="6566" w:hanging="166"/>
      </w:pPr>
      <w:rPr>
        <w:rFonts w:hint="default"/>
        <w:lang w:val="es-es" w:eastAsia="es-es" w:bidi="es-es"/>
      </w:rPr>
    </w:lvl>
    <w:lvl w:ilvl="8">
      <w:start w:val="0"/>
      <w:numFmt w:val="bullet"/>
      <w:lvlText w:val="•"/>
      <w:lvlJc w:val="left"/>
      <w:pPr>
        <w:ind w:left="7473" w:hanging="166"/>
      </w:pPr>
      <w:rPr>
        <w:rFonts w:hint="default"/>
        <w:lang w:val="es-es" w:eastAsia="es-es" w:bidi="es-es"/>
      </w:rPr>
    </w:lvl>
  </w:abstractNum>
  <w:abstractNum w:abstractNumId="2">
    <w:multiLevelType w:val="hybridMultilevel"/>
    <w:lvl w:ilvl="0">
      <w:start w:val="0"/>
      <w:numFmt w:val="bullet"/>
      <w:lvlText w:val=""/>
      <w:lvlJc w:val="left"/>
      <w:pPr>
        <w:ind w:left="942" w:hanging="348"/>
      </w:pPr>
      <w:rPr>
        <w:rFonts w:hint="default" w:ascii="Symbol" w:hAnsi="Symbol" w:eastAsia="Symbol" w:cs="Symbol"/>
        <w:w w:val="100"/>
        <w:sz w:val="24"/>
        <w:szCs w:val="24"/>
        <w:lang w:val="es-es" w:eastAsia="es-es" w:bidi="es-es"/>
      </w:rPr>
    </w:lvl>
    <w:lvl w:ilvl="1">
      <w:start w:val="0"/>
      <w:numFmt w:val="bullet"/>
      <w:lvlText w:val="o"/>
      <w:lvlJc w:val="left"/>
      <w:pPr>
        <w:ind w:left="1662" w:hanging="336"/>
      </w:pPr>
      <w:rPr>
        <w:rFonts w:hint="default" w:ascii="Courier New" w:hAnsi="Courier New" w:eastAsia="Courier New" w:cs="Courier New"/>
        <w:w w:val="100"/>
        <w:sz w:val="24"/>
        <w:szCs w:val="24"/>
        <w:lang w:val="es-es" w:eastAsia="es-es" w:bidi="es-es"/>
      </w:rPr>
    </w:lvl>
    <w:lvl w:ilvl="2">
      <w:start w:val="0"/>
      <w:numFmt w:val="bullet"/>
      <w:lvlText w:val="•"/>
      <w:lvlJc w:val="left"/>
      <w:pPr>
        <w:ind w:left="2507" w:hanging="336"/>
      </w:pPr>
      <w:rPr>
        <w:rFonts w:hint="default"/>
        <w:lang w:val="es-es" w:eastAsia="es-es" w:bidi="es-es"/>
      </w:rPr>
    </w:lvl>
    <w:lvl w:ilvl="3">
      <w:start w:val="0"/>
      <w:numFmt w:val="bullet"/>
      <w:lvlText w:val="•"/>
      <w:lvlJc w:val="left"/>
      <w:pPr>
        <w:ind w:left="3354" w:hanging="336"/>
      </w:pPr>
      <w:rPr>
        <w:rFonts w:hint="default"/>
        <w:lang w:val="es-es" w:eastAsia="es-es" w:bidi="es-es"/>
      </w:rPr>
    </w:lvl>
    <w:lvl w:ilvl="4">
      <w:start w:val="0"/>
      <w:numFmt w:val="bullet"/>
      <w:lvlText w:val="•"/>
      <w:lvlJc w:val="left"/>
      <w:pPr>
        <w:ind w:left="4202" w:hanging="336"/>
      </w:pPr>
      <w:rPr>
        <w:rFonts w:hint="default"/>
        <w:lang w:val="es-es" w:eastAsia="es-es" w:bidi="es-es"/>
      </w:rPr>
    </w:lvl>
    <w:lvl w:ilvl="5">
      <w:start w:val="0"/>
      <w:numFmt w:val="bullet"/>
      <w:lvlText w:val="•"/>
      <w:lvlJc w:val="left"/>
      <w:pPr>
        <w:ind w:left="5049" w:hanging="336"/>
      </w:pPr>
      <w:rPr>
        <w:rFonts w:hint="default"/>
        <w:lang w:val="es-es" w:eastAsia="es-es" w:bidi="es-es"/>
      </w:rPr>
    </w:lvl>
    <w:lvl w:ilvl="6">
      <w:start w:val="0"/>
      <w:numFmt w:val="bullet"/>
      <w:lvlText w:val="•"/>
      <w:lvlJc w:val="left"/>
      <w:pPr>
        <w:ind w:left="5896" w:hanging="336"/>
      </w:pPr>
      <w:rPr>
        <w:rFonts w:hint="default"/>
        <w:lang w:val="es-es" w:eastAsia="es-es" w:bidi="es-es"/>
      </w:rPr>
    </w:lvl>
    <w:lvl w:ilvl="7">
      <w:start w:val="0"/>
      <w:numFmt w:val="bullet"/>
      <w:lvlText w:val="•"/>
      <w:lvlJc w:val="left"/>
      <w:pPr>
        <w:ind w:left="6744" w:hanging="336"/>
      </w:pPr>
      <w:rPr>
        <w:rFonts w:hint="default"/>
        <w:lang w:val="es-es" w:eastAsia="es-es" w:bidi="es-es"/>
      </w:rPr>
    </w:lvl>
    <w:lvl w:ilvl="8">
      <w:start w:val="0"/>
      <w:numFmt w:val="bullet"/>
      <w:lvlText w:val="•"/>
      <w:lvlJc w:val="left"/>
      <w:pPr>
        <w:ind w:left="7591" w:hanging="336"/>
      </w:pPr>
      <w:rPr>
        <w:rFonts w:hint="default"/>
        <w:lang w:val="es-es" w:eastAsia="es-es" w:bidi="es-es"/>
      </w:rPr>
    </w:lvl>
  </w:abstractNum>
  <w:abstractNum w:abstractNumId="1">
    <w:multiLevelType w:val="hybridMultilevel"/>
    <w:lvl w:ilvl="0">
      <w:start w:val="12"/>
      <w:numFmt w:val="decimal"/>
      <w:lvlText w:val="%1."/>
      <w:lvlJc w:val="left"/>
      <w:pPr>
        <w:ind w:left="930" w:hanging="360"/>
        <w:jc w:val="left"/>
      </w:pPr>
      <w:rPr>
        <w:rFonts w:hint="default" w:ascii="Arial" w:hAnsi="Arial" w:eastAsia="Arial" w:cs="Arial"/>
        <w:w w:val="99"/>
        <w:sz w:val="24"/>
        <w:szCs w:val="24"/>
        <w:lang w:val="es-es" w:eastAsia="es-es" w:bidi="es-es"/>
      </w:rPr>
    </w:lvl>
    <w:lvl w:ilvl="1">
      <w:start w:val="0"/>
      <w:numFmt w:val="bullet"/>
      <w:lvlText w:val="•"/>
      <w:lvlJc w:val="left"/>
      <w:pPr>
        <w:ind w:left="1774" w:hanging="360"/>
      </w:pPr>
      <w:rPr>
        <w:rFonts w:hint="default"/>
        <w:lang w:val="es-es" w:eastAsia="es-es" w:bidi="es-es"/>
      </w:rPr>
    </w:lvl>
    <w:lvl w:ilvl="2">
      <w:start w:val="0"/>
      <w:numFmt w:val="bullet"/>
      <w:lvlText w:val="•"/>
      <w:lvlJc w:val="left"/>
      <w:pPr>
        <w:ind w:left="2609" w:hanging="360"/>
      </w:pPr>
      <w:rPr>
        <w:rFonts w:hint="default"/>
        <w:lang w:val="es-es" w:eastAsia="es-es" w:bidi="es-es"/>
      </w:rPr>
    </w:lvl>
    <w:lvl w:ilvl="3">
      <w:start w:val="0"/>
      <w:numFmt w:val="bullet"/>
      <w:lvlText w:val="•"/>
      <w:lvlJc w:val="left"/>
      <w:pPr>
        <w:ind w:left="3443" w:hanging="360"/>
      </w:pPr>
      <w:rPr>
        <w:rFonts w:hint="default"/>
        <w:lang w:val="es-es" w:eastAsia="es-es" w:bidi="es-es"/>
      </w:rPr>
    </w:lvl>
    <w:lvl w:ilvl="4">
      <w:start w:val="0"/>
      <w:numFmt w:val="bullet"/>
      <w:lvlText w:val="•"/>
      <w:lvlJc w:val="left"/>
      <w:pPr>
        <w:ind w:left="4278" w:hanging="360"/>
      </w:pPr>
      <w:rPr>
        <w:rFonts w:hint="default"/>
        <w:lang w:val="es-es" w:eastAsia="es-es" w:bidi="es-es"/>
      </w:rPr>
    </w:lvl>
    <w:lvl w:ilvl="5">
      <w:start w:val="0"/>
      <w:numFmt w:val="bullet"/>
      <w:lvlText w:val="•"/>
      <w:lvlJc w:val="left"/>
      <w:pPr>
        <w:ind w:left="5113" w:hanging="360"/>
      </w:pPr>
      <w:rPr>
        <w:rFonts w:hint="default"/>
        <w:lang w:val="es-es" w:eastAsia="es-es" w:bidi="es-es"/>
      </w:rPr>
    </w:lvl>
    <w:lvl w:ilvl="6">
      <w:start w:val="0"/>
      <w:numFmt w:val="bullet"/>
      <w:lvlText w:val="•"/>
      <w:lvlJc w:val="left"/>
      <w:pPr>
        <w:ind w:left="5947" w:hanging="360"/>
      </w:pPr>
      <w:rPr>
        <w:rFonts w:hint="default"/>
        <w:lang w:val="es-es" w:eastAsia="es-es" w:bidi="es-es"/>
      </w:rPr>
    </w:lvl>
    <w:lvl w:ilvl="7">
      <w:start w:val="0"/>
      <w:numFmt w:val="bullet"/>
      <w:lvlText w:val="•"/>
      <w:lvlJc w:val="left"/>
      <w:pPr>
        <w:ind w:left="6782" w:hanging="360"/>
      </w:pPr>
      <w:rPr>
        <w:rFonts w:hint="default"/>
        <w:lang w:val="es-es" w:eastAsia="es-es" w:bidi="es-es"/>
      </w:rPr>
    </w:lvl>
    <w:lvl w:ilvl="8">
      <w:start w:val="0"/>
      <w:numFmt w:val="bullet"/>
      <w:lvlText w:val="•"/>
      <w:lvlJc w:val="left"/>
      <w:pPr>
        <w:ind w:left="7617" w:hanging="360"/>
      </w:pPr>
      <w:rPr>
        <w:rFonts w:hint="default"/>
        <w:lang w:val="es-es" w:eastAsia="es-es" w:bidi="es-es"/>
      </w:rPr>
    </w:lvl>
  </w:abstractNum>
  <w:abstractNum w:abstractNumId="0">
    <w:multiLevelType w:val="hybridMultilevel"/>
    <w:lvl w:ilvl="0">
      <w:start w:val="1"/>
      <w:numFmt w:val="decimal"/>
      <w:lvlText w:val="%1."/>
      <w:lvlJc w:val="left"/>
      <w:pPr>
        <w:ind w:left="930" w:hanging="348"/>
        <w:jc w:val="left"/>
      </w:pPr>
      <w:rPr>
        <w:rFonts w:hint="default" w:ascii="Arial" w:hAnsi="Arial" w:eastAsia="Arial" w:cs="Arial"/>
        <w:spacing w:val="-3"/>
        <w:w w:val="99"/>
        <w:sz w:val="24"/>
        <w:szCs w:val="24"/>
        <w:lang w:val="es-es" w:eastAsia="es-es" w:bidi="es-es"/>
      </w:rPr>
    </w:lvl>
    <w:lvl w:ilvl="1">
      <w:start w:val="0"/>
      <w:numFmt w:val="bullet"/>
      <w:lvlText w:val="•"/>
      <w:lvlJc w:val="left"/>
      <w:pPr>
        <w:ind w:left="1774" w:hanging="348"/>
      </w:pPr>
      <w:rPr>
        <w:rFonts w:hint="default"/>
        <w:lang w:val="es-es" w:eastAsia="es-es" w:bidi="es-es"/>
      </w:rPr>
    </w:lvl>
    <w:lvl w:ilvl="2">
      <w:start w:val="0"/>
      <w:numFmt w:val="bullet"/>
      <w:lvlText w:val="•"/>
      <w:lvlJc w:val="left"/>
      <w:pPr>
        <w:ind w:left="2609" w:hanging="348"/>
      </w:pPr>
      <w:rPr>
        <w:rFonts w:hint="default"/>
        <w:lang w:val="es-es" w:eastAsia="es-es" w:bidi="es-es"/>
      </w:rPr>
    </w:lvl>
    <w:lvl w:ilvl="3">
      <w:start w:val="0"/>
      <w:numFmt w:val="bullet"/>
      <w:lvlText w:val="•"/>
      <w:lvlJc w:val="left"/>
      <w:pPr>
        <w:ind w:left="3443" w:hanging="348"/>
      </w:pPr>
      <w:rPr>
        <w:rFonts w:hint="default"/>
        <w:lang w:val="es-es" w:eastAsia="es-es" w:bidi="es-es"/>
      </w:rPr>
    </w:lvl>
    <w:lvl w:ilvl="4">
      <w:start w:val="0"/>
      <w:numFmt w:val="bullet"/>
      <w:lvlText w:val="•"/>
      <w:lvlJc w:val="left"/>
      <w:pPr>
        <w:ind w:left="4278" w:hanging="348"/>
      </w:pPr>
      <w:rPr>
        <w:rFonts w:hint="default"/>
        <w:lang w:val="es-es" w:eastAsia="es-es" w:bidi="es-es"/>
      </w:rPr>
    </w:lvl>
    <w:lvl w:ilvl="5">
      <w:start w:val="0"/>
      <w:numFmt w:val="bullet"/>
      <w:lvlText w:val="•"/>
      <w:lvlJc w:val="left"/>
      <w:pPr>
        <w:ind w:left="5113" w:hanging="348"/>
      </w:pPr>
      <w:rPr>
        <w:rFonts w:hint="default"/>
        <w:lang w:val="es-es" w:eastAsia="es-es" w:bidi="es-es"/>
      </w:rPr>
    </w:lvl>
    <w:lvl w:ilvl="6">
      <w:start w:val="0"/>
      <w:numFmt w:val="bullet"/>
      <w:lvlText w:val="•"/>
      <w:lvlJc w:val="left"/>
      <w:pPr>
        <w:ind w:left="5947" w:hanging="348"/>
      </w:pPr>
      <w:rPr>
        <w:rFonts w:hint="default"/>
        <w:lang w:val="es-es" w:eastAsia="es-es" w:bidi="es-es"/>
      </w:rPr>
    </w:lvl>
    <w:lvl w:ilvl="7">
      <w:start w:val="0"/>
      <w:numFmt w:val="bullet"/>
      <w:lvlText w:val="•"/>
      <w:lvlJc w:val="left"/>
      <w:pPr>
        <w:ind w:left="6782" w:hanging="348"/>
      </w:pPr>
      <w:rPr>
        <w:rFonts w:hint="default"/>
        <w:lang w:val="es-es" w:eastAsia="es-es" w:bidi="es-es"/>
      </w:rPr>
    </w:lvl>
    <w:lvl w:ilvl="8">
      <w:start w:val="0"/>
      <w:numFmt w:val="bullet"/>
      <w:lvlText w:val="•"/>
      <w:lvlJc w:val="left"/>
      <w:pPr>
        <w:ind w:left="7617" w:hanging="348"/>
      </w:pPr>
      <w:rPr>
        <w:rFonts w:hint="default"/>
        <w:lang w:val="es-es" w:eastAsia="es-es" w:bidi="es-es"/>
      </w:rPr>
    </w:lvl>
  </w:abstractNum>
  <w:num w:numId="5">
    <w:abstractNumId w:val="4"/>
  </w:num>
  <w:num w:numId="9">
    <w:abstractNumId w:val="8"/>
  </w:num>
  <w:num w:numId="8">
    <w:abstractNumId w:val="7"/>
  </w:num>
  <w:num w:numId="7">
    <w:abstractNumId w:val="6"/>
  </w:num>
  <w:num w:numId="6">
    <w:abstractNumId w:val="5"/>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s-es" w:bidi="es-es"/>
    </w:rPr>
  </w:style>
  <w:style w:styleId="BodyText" w:type="paragraph">
    <w:name w:val="Body Text"/>
    <w:basedOn w:val="Normal"/>
    <w:uiPriority w:val="1"/>
    <w:qFormat/>
    <w:pPr/>
    <w:rPr>
      <w:rFonts w:ascii="Arial" w:hAnsi="Arial" w:eastAsia="Arial" w:cs="Arial"/>
      <w:sz w:val="24"/>
      <w:szCs w:val="24"/>
      <w:lang w:val="es-es" w:eastAsia="es-es" w:bidi="es-es"/>
    </w:rPr>
  </w:style>
  <w:style w:styleId="Heading1" w:type="paragraph">
    <w:name w:val="Heading 1"/>
    <w:basedOn w:val="Normal"/>
    <w:uiPriority w:val="1"/>
    <w:qFormat/>
    <w:pPr>
      <w:ind w:left="222"/>
      <w:jc w:val="both"/>
      <w:outlineLvl w:val="1"/>
    </w:pPr>
    <w:rPr>
      <w:rFonts w:ascii="Arial" w:hAnsi="Arial" w:eastAsia="Arial" w:cs="Arial"/>
      <w:b/>
      <w:bCs/>
      <w:sz w:val="24"/>
      <w:szCs w:val="24"/>
      <w:lang w:val="es-es" w:eastAsia="es-es" w:bidi="es-es"/>
    </w:rPr>
  </w:style>
  <w:style w:styleId="ListParagraph" w:type="paragraph">
    <w:name w:val="List Paragraph"/>
    <w:basedOn w:val="Normal"/>
    <w:uiPriority w:val="1"/>
    <w:qFormat/>
    <w:pPr>
      <w:ind w:left="930" w:hanging="360"/>
    </w:pPr>
    <w:rPr>
      <w:rFonts w:ascii="Arial" w:hAnsi="Arial" w:eastAsia="Arial" w:cs="Arial"/>
      <w:lang w:val="es-es" w:eastAsia="es-es" w:bidi="es-es"/>
    </w:rPr>
  </w:style>
  <w:style w:styleId="TableParagraph" w:type="paragraph">
    <w:name w:val="Table Paragraph"/>
    <w:basedOn w:val="Normal"/>
    <w:uiPriority w:val="1"/>
    <w:qFormat/>
    <w:pPr>
      <w:ind w:left="107"/>
    </w:pPr>
    <w:rPr>
      <w:rFonts w:ascii="Arial" w:hAnsi="Arial" w:eastAsia="Arial" w:cs="Arial"/>
      <w:lang w:val="es-es" w:eastAsia="es-es" w:bidi="es-e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 Mateu</dc:creator>
  <dcterms:created xsi:type="dcterms:W3CDTF">2025-01-16T11:27:11Z</dcterms:created>
  <dcterms:modified xsi:type="dcterms:W3CDTF">2025-01-16T11:27:11Z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