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spacing w:before="3"/>
        <w:rPr>
          <w:rFonts w:ascii="Times New Roman"/>
          <w:sz w:val="15"/>
        </w:rPr>
      </w:pPr>
    </w:p>
    <w:p>
      <w:pPr>
        <w:spacing w:before="93"/>
        <w:ind w:left="113" w:right="0" w:firstLine="0"/>
        <w:jc w:val="both"/>
        <w:rPr>
          <w:b/>
          <w:sz w:val="23"/>
        </w:rPr>
      </w:pPr>
      <w:r>
        <w:rPr>
          <w:rFonts w:ascii="Times New Roman" w:hAnsi="Times New Roman"/>
          <w:w w:val="100"/>
          <w:sz w:val="23"/>
          <w:shd w:fill="FFDA64" w:color="auto" w:val="clear"/>
        </w:rPr>
        <w:t> </w:t>
      </w:r>
      <w:r>
        <w:rPr>
          <w:b/>
          <w:sz w:val="23"/>
          <w:shd w:fill="FFDA64" w:color="auto" w:val="clear"/>
        </w:rPr>
        <w:t>CONVOCATÒRIA D’AJUTS SOCIALS EURODELTA PER A L’EXERCICI 2025.    </w:t>
      </w:r>
    </w:p>
    <w:p>
      <w:pPr>
        <w:pStyle w:val="BodyText"/>
        <w:rPr>
          <w:b/>
          <w:sz w:val="26"/>
        </w:rPr>
      </w:pPr>
    </w:p>
    <w:p>
      <w:pPr>
        <w:pStyle w:val="BodyText"/>
        <w:spacing w:before="5"/>
        <w:rPr>
          <w:b/>
          <w:sz w:val="29"/>
        </w:rPr>
      </w:pPr>
    </w:p>
    <w:p>
      <w:pPr>
        <w:pStyle w:val="Heading1"/>
        <w:spacing w:before="1"/>
        <w:jc w:val="both"/>
      </w:pPr>
      <w:r>
        <w:rPr/>
        <w:t>1.- Objecte i finalitat</w:t>
      </w:r>
    </w:p>
    <w:p>
      <w:pPr>
        <w:pStyle w:val="BodyText"/>
        <w:rPr>
          <w:b/>
          <w:sz w:val="28"/>
        </w:rPr>
      </w:pPr>
    </w:p>
    <w:p>
      <w:pPr>
        <w:pStyle w:val="BodyText"/>
        <w:spacing w:line="276" w:lineRule="auto"/>
        <w:ind w:left="142" w:right="897"/>
        <w:jc w:val="both"/>
      </w:pPr>
      <w:r>
        <w:rPr/>
        <w:t>L’objecte d’aquesta convocatòria i les seves bases homònimes és atorgar ajuts socials a les persones físiques que es troben en una situació econòmica i/o laboral inestable per motius aliens a la seva voluntat, i/o situació que implica la insuficiència de recursos per atendre les necessitats ordinàries quotidianes de la unitat</w:t>
      </w:r>
      <w:r>
        <w:rPr>
          <w:spacing w:val="-1"/>
        </w:rPr>
        <w:t> </w:t>
      </w:r>
      <w:r>
        <w:rPr/>
        <w:t>familiar.</w:t>
      </w:r>
    </w:p>
    <w:p>
      <w:pPr>
        <w:pStyle w:val="BodyText"/>
        <w:spacing w:line="276" w:lineRule="auto" w:before="148"/>
        <w:ind w:left="142" w:right="894"/>
        <w:jc w:val="both"/>
      </w:pPr>
      <w:r>
        <w:rPr/>
        <w:t>La finalitat és vetllar per a que les persones que compleixin els requisits tinguin facilitats per cobrir les necessitats ordinàries i quotidianes establertes a l’apartat 3 de les Bases.</w:t>
      </w:r>
    </w:p>
    <w:p>
      <w:pPr>
        <w:pStyle w:val="BodyText"/>
        <w:spacing w:before="5"/>
      </w:pPr>
    </w:p>
    <w:p>
      <w:pPr>
        <w:pStyle w:val="Heading1"/>
        <w:spacing w:before="1"/>
        <w:jc w:val="both"/>
      </w:pPr>
      <w:r>
        <w:rPr/>
        <w:t>2.- Requisits per ser persones beneficiàries</w:t>
      </w:r>
    </w:p>
    <w:p>
      <w:pPr>
        <w:pStyle w:val="BodyText"/>
        <w:spacing w:before="11"/>
        <w:rPr>
          <w:b/>
          <w:sz w:val="27"/>
        </w:rPr>
      </w:pPr>
    </w:p>
    <w:p>
      <w:pPr>
        <w:pStyle w:val="BodyText"/>
        <w:spacing w:line="276" w:lineRule="auto"/>
        <w:ind w:left="142" w:right="896"/>
        <w:jc w:val="both"/>
      </w:pPr>
      <w:r>
        <w:rPr/>
        <w:t>Es consideraran persones beneficiàries dels Ajuts socials - EuroDelta</w:t>
      </w:r>
      <w:r>
        <w:rPr>
          <w:b/>
        </w:rPr>
        <w:t>, </w:t>
      </w:r>
      <w:r>
        <w:rPr/>
        <w:t>les que compleixin els requisits següents en el moment de presentació de la sol·licitud:</w:t>
      </w:r>
    </w:p>
    <w:p>
      <w:pPr>
        <w:pStyle w:val="BodyText"/>
        <w:spacing w:before="8"/>
        <w:rPr>
          <w:sz w:val="27"/>
        </w:rPr>
      </w:pPr>
    </w:p>
    <w:p>
      <w:pPr>
        <w:pStyle w:val="ListParagraph"/>
        <w:numPr>
          <w:ilvl w:val="0"/>
          <w:numId w:val="1"/>
        </w:numPr>
        <w:tabs>
          <w:tab w:pos="706" w:val="left" w:leader="none"/>
        </w:tabs>
        <w:spacing w:line="240" w:lineRule="auto" w:before="0" w:after="0"/>
        <w:ind w:left="706" w:right="0" w:hanging="281"/>
        <w:jc w:val="left"/>
        <w:rPr>
          <w:sz w:val="24"/>
        </w:rPr>
      </w:pPr>
      <w:r>
        <w:rPr>
          <w:sz w:val="24"/>
        </w:rPr>
        <w:t>Ser persona física i tenir més de divuit</w:t>
      </w:r>
      <w:r>
        <w:rPr>
          <w:spacing w:val="-9"/>
          <w:sz w:val="24"/>
        </w:rPr>
        <w:t> </w:t>
      </w:r>
      <w:r>
        <w:rPr>
          <w:sz w:val="24"/>
        </w:rPr>
        <w:t>anys.</w:t>
      </w:r>
    </w:p>
    <w:p>
      <w:pPr>
        <w:pStyle w:val="ListParagraph"/>
        <w:numPr>
          <w:ilvl w:val="0"/>
          <w:numId w:val="1"/>
        </w:numPr>
        <w:tabs>
          <w:tab w:pos="747" w:val="left" w:leader="none"/>
        </w:tabs>
        <w:spacing w:line="276" w:lineRule="auto" w:before="41" w:after="0"/>
        <w:ind w:left="425" w:right="898" w:firstLine="0"/>
        <w:jc w:val="left"/>
        <w:rPr>
          <w:sz w:val="24"/>
        </w:rPr>
      </w:pPr>
      <w:r>
        <w:rPr>
          <w:sz w:val="24"/>
        </w:rPr>
        <w:t>Estar empadronades en el municipi de Deltebre durant, almenys, els 6 mesos anteriors a la data de</w:t>
      </w:r>
      <w:r>
        <w:rPr>
          <w:spacing w:val="-5"/>
          <w:sz w:val="24"/>
        </w:rPr>
        <w:t> </w:t>
      </w:r>
      <w:r>
        <w:rPr>
          <w:sz w:val="24"/>
        </w:rPr>
        <w:t>sol·licitud.</w:t>
      </w:r>
    </w:p>
    <w:p>
      <w:pPr>
        <w:pStyle w:val="ListParagraph"/>
        <w:numPr>
          <w:ilvl w:val="0"/>
          <w:numId w:val="1"/>
        </w:numPr>
        <w:tabs>
          <w:tab w:pos="766" w:val="left" w:leader="none"/>
        </w:tabs>
        <w:spacing w:line="276" w:lineRule="auto" w:before="0" w:after="0"/>
        <w:ind w:left="425" w:right="897" w:firstLine="0"/>
        <w:jc w:val="left"/>
        <w:rPr>
          <w:sz w:val="24"/>
        </w:rPr>
      </w:pPr>
      <w:r>
        <w:rPr>
          <w:sz w:val="24"/>
        </w:rPr>
        <w:t>En els casos susceptibles d’ajuts d’urgència social s’ha de prioritzar aquest abans que</w:t>
      </w:r>
      <w:r>
        <w:rPr>
          <w:spacing w:val="-4"/>
          <w:sz w:val="24"/>
        </w:rPr>
        <w:t> </w:t>
      </w:r>
      <w:r>
        <w:rPr>
          <w:sz w:val="24"/>
        </w:rPr>
        <w:t>l’EuroDelta.</w:t>
      </w:r>
    </w:p>
    <w:p>
      <w:pPr>
        <w:pStyle w:val="ListParagraph"/>
        <w:numPr>
          <w:ilvl w:val="0"/>
          <w:numId w:val="1"/>
        </w:numPr>
        <w:tabs>
          <w:tab w:pos="774" w:val="left" w:leader="none"/>
        </w:tabs>
        <w:spacing w:line="276" w:lineRule="auto" w:before="0" w:after="0"/>
        <w:ind w:left="425" w:right="895" w:firstLine="0"/>
        <w:jc w:val="left"/>
        <w:rPr>
          <w:sz w:val="24"/>
        </w:rPr>
      </w:pPr>
      <w:r>
        <w:rPr>
          <w:sz w:val="24"/>
        </w:rPr>
        <w:t>Comprometre’s a les obligacions derivades de la concessió de l’ajut, definides a l’apartat 3 d’aquesta</w:t>
      </w:r>
      <w:r>
        <w:rPr>
          <w:spacing w:val="-2"/>
          <w:sz w:val="24"/>
        </w:rPr>
        <w:t> </w:t>
      </w:r>
      <w:r>
        <w:rPr>
          <w:sz w:val="24"/>
        </w:rPr>
        <w:t>convocatòria.</w:t>
      </w:r>
    </w:p>
    <w:p>
      <w:pPr>
        <w:pStyle w:val="BodyText"/>
        <w:spacing w:before="5"/>
        <w:rPr>
          <w:sz w:val="27"/>
        </w:rPr>
      </w:pPr>
    </w:p>
    <w:p>
      <w:pPr>
        <w:pStyle w:val="BodyText"/>
        <w:spacing w:line="278" w:lineRule="auto"/>
        <w:ind w:left="142" w:right="899"/>
        <w:jc w:val="both"/>
      </w:pPr>
      <w:r>
        <w:rPr/>
        <w:t>A més, els membres de tota la unitat familiar de la persona sol·licitant han de complir els requisits següents en el moment de presentació de la sol·licitud:</w:t>
      </w:r>
    </w:p>
    <w:p>
      <w:pPr>
        <w:pStyle w:val="BodyText"/>
        <w:spacing w:before="2"/>
        <w:rPr>
          <w:sz w:val="27"/>
        </w:rPr>
      </w:pPr>
    </w:p>
    <w:p>
      <w:pPr>
        <w:pStyle w:val="ListParagraph"/>
        <w:numPr>
          <w:ilvl w:val="0"/>
          <w:numId w:val="2"/>
        </w:numPr>
        <w:tabs>
          <w:tab w:pos="850" w:val="left" w:leader="none"/>
        </w:tabs>
        <w:spacing w:line="276" w:lineRule="auto" w:before="1" w:after="0"/>
        <w:ind w:left="861" w:right="895" w:hanging="360"/>
        <w:jc w:val="left"/>
        <w:rPr>
          <w:sz w:val="24"/>
        </w:rPr>
      </w:pPr>
      <w:r>
        <w:rPr>
          <w:sz w:val="24"/>
        </w:rPr>
        <w:t>Trobar-se en una situació d’inestabilitat econòmica* i, </w:t>
      </w:r>
      <w:r>
        <w:rPr>
          <w:b/>
          <w:sz w:val="24"/>
          <w:u w:val="thick"/>
        </w:rPr>
        <w:t>a més,</w:t>
      </w:r>
      <w:r>
        <w:rPr>
          <w:b/>
          <w:sz w:val="24"/>
        </w:rPr>
        <w:t> </w:t>
      </w:r>
      <w:r>
        <w:rPr>
          <w:sz w:val="24"/>
        </w:rPr>
        <w:t>les persones que es trobin capacitades per treballar han</w:t>
      </w:r>
      <w:r>
        <w:rPr>
          <w:spacing w:val="-12"/>
          <w:sz w:val="24"/>
        </w:rPr>
        <w:t> </w:t>
      </w:r>
      <w:r>
        <w:rPr>
          <w:sz w:val="24"/>
        </w:rPr>
        <w:t>de:</w:t>
      </w:r>
    </w:p>
    <w:p>
      <w:pPr>
        <w:pStyle w:val="ListParagraph"/>
        <w:numPr>
          <w:ilvl w:val="1"/>
          <w:numId w:val="2"/>
        </w:numPr>
        <w:tabs>
          <w:tab w:pos="918" w:val="left" w:leader="none"/>
        </w:tabs>
        <w:spacing w:line="240" w:lineRule="auto" w:before="1" w:after="0"/>
        <w:ind w:left="917" w:right="0" w:hanging="210"/>
        <w:jc w:val="left"/>
        <w:rPr>
          <w:sz w:val="24"/>
        </w:rPr>
      </w:pPr>
      <w:r>
        <w:rPr>
          <w:sz w:val="24"/>
        </w:rPr>
        <w:t>Ser treballador/a per compte d’altri o per compte</w:t>
      </w:r>
      <w:r>
        <w:rPr>
          <w:spacing w:val="-5"/>
          <w:sz w:val="24"/>
        </w:rPr>
        <w:t> </w:t>
      </w:r>
      <w:r>
        <w:rPr>
          <w:sz w:val="24"/>
        </w:rPr>
        <w:t>propi.</w:t>
      </w:r>
    </w:p>
    <w:p>
      <w:pPr>
        <w:pStyle w:val="ListParagraph"/>
        <w:numPr>
          <w:ilvl w:val="1"/>
          <w:numId w:val="2"/>
        </w:numPr>
        <w:tabs>
          <w:tab w:pos="918" w:val="left" w:leader="none"/>
        </w:tabs>
        <w:spacing w:line="271" w:lineRule="auto" w:before="40" w:after="0"/>
        <w:ind w:left="1068" w:right="902" w:hanging="360"/>
        <w:jc w:val="left"/>
        <w:rPr>
          <w:sz w:val="24"/>
        </w:rPr>
      </w:pPr>
      <w:r>
        <w:rPr>
          <w:sz w:val="24"/>
        </w:rPr>
        <w:t>O trobar-se en situació de demanda d’ocupació o estar rebent una prestació per jubilació o incapacitat</w:t>
      </w:r>
      <w:r>
        <w:rPr>
          <w:spacing w:val="-7"/>
          <w:sz w:val="24"/>
        </w:rPr>
        <w:t> </w:t>
      </w:r>
      <w:r>
        <w:rPr>
          <w:sz w:val="24"/>
        </w:rPr>
        <w:t>laboral.</w:t>
      </w:r>
    </w:p>
    <w:p>
      <w:pPr>
        <w:spacing w:after="0" w:line="271" w:lineRule="auto"/>
        <w:jc w:val="left"/>
        <w:rPr>
          <w:sz w:val="24"/>
        </w:rPr>
        <w:sectPr>
          <w:headerReference w:type="default" r:id="rId5"/>
          <w:footerReference w:type="default" r:id="rId6"/>
          <w:type w:val="continuous"/>
          <w:pgSz w:w="11910" w:h="16840"/>
          <w:pgMar w:header="751" w:footer="1829" w:top="2860" w:bottom="2020" w:left="1560" w:right="800"/>
        </w:sectPr>
      </w:pPr>
    </w:p>
    <w:p>
      <w:pPr>
        <w:pStyle w:val="BodyText"/>
        <w:spacing w:before="4"/>
        <w:rPr>
          <w:sz w:val="15"/>
        </w:rPr>
      </w:pPr>
    </w:p>
    <w:p>
      <w:pPr>
        <w:spacing w:line="276" w:lineRule="auto" w:before="92"/>
        <w:ind w:left="861" w:right="895" w:firstLine="0"/>
        <w:jc w:val="both"/>
        <w:rPr>
          <w:i/>
          <w:sz w:val="24"/>
        </w:rPr>
      </w:pPr>
      <w:r>
        <w:rPr>
          <w:i/>
          <w:sz w:val="24"/>
        </w:rPr>
        <w:t>*Es considerarà inestabilitat econòmica quan els ingressos de la unitat </w:t>
      </w:r>
      <w:r>
        <w:rPr>
          <w:i/>
          <w:sz w:val="24"/>
        </w:rPr>
        <w:t>familiar no superin els llindars establerts a la taula de l’apartat 4.2 de les bases.</w:t>
      </w:r>
    </w:p>
    <w:p>
      <w:pPr>
        <w:pStyle w:val="BodyText"/>
        <w:spacing w:before="7"/>
        <w:rPr>
          <w:i/>
          <w:sz w:val="27"/>
        </w:rPr>
      </w:pPr>
    </w:p>
    <w:p>
      <w:pPr>
        <w:pStyle w:val="ListParagraph"/>
        <w:numPr>
          <w:ilvl w:val="0"/>
          <w:numId w:val="2"/>
        </w:numPr>
        <w:tabs>
          <w:tab w:pos="850" w:val="left" w:leader="none"/>
        </w:tabs>
        <w:spacing w:line="276" w:lineRule="auto" w:before="0" w:after="0"/>
        <w:ind w:left="861" w:right="893" w:hanging="360"/>
        <w:jc w:val="both"/>
        <w:rPr>
          <w:sz w:val="24"/>
        </w:rPr>
      </w:pPr>
      <w:r>
        <w:rPr>
          <w:sz w:val="24"/>
        </w:rPr>
        <w:t>No disposar de saldos disponibles superiors a 10.000,00€ en tots els comptes bancaris de titularitat de la persona sol·licitant o la unitat  familiar en els tres mesos anteriors a la data de sol·licitud de l’ajut</w:t>
      </w:r>
      <w:r>
        <w:rPr>
          <w:i/>
          <w:sz w:val="24"/>
        </w:rPr>
        <w:t>, </w:t>
      </w:r>
      <w:r>
        <w:rPr>
          <w:sz w:val="24"/>
        </w:rPr>
        <w:t>així com tampoc disposar de comptes bancaris d’estalvi de cap mena que puguin ser suficients per fer front a les necessitats bàsiques de la unitat familiar.</w:t>
      </w:r>
    </w:p>
    <w:p>
      <w:pPr>
        <w:pStyle w:val="BodyText"/>
        <w:spacing w:before="8"/>
        <w:rPr>
          <w:sz w:val="27"/>
        </w:rPr>
      </w:pPr>
    </w:p>
    <w:p>
      <w:pPr>
        <w:pStyle w:val="ListParagraph"/>
        <w:numPr>
          <w:ilvl w:val="0"/>
          <w:numId w:val="2"/>
        </w:numPr>
        <w:tabs>
          <w:tab w:pos="850" w:val="left" w:leader="none"/>
        </w:tabs>
        <w:spacing w:line="276" w:lineRule="auto" w:before="0" w:after="0"/>
        <w:ind w:left="861" w:right="902" w:hanging="360"/>
        <w:jc w:val="both"/>
        <w:rPr>
          <w:sz w:val="24"/>
        </w:rPr>
      </w:pPr>
      <w:r>
        <w:rPr>
          <w:sz w:val="24"/>
        </w:rPr>
        <w:t>No rebre o haver rebut de l’Ajuntament de Deltebre o d’altres organismes o entitats (Creu Roja, Càritas, Consell Comarcal...), tres o més ajuts per a cobrir les necessitats establertes a l’apartat 3, dintre els tres mesos anteriors a la</w:t>
      </w:r>
      <w:r>
        <w:rPr>
          <w:spacing w:val="-4"/>
          <w:sz w:val="24"/>
        </w:rPr>
        <w:t> </w:t>
      </w:r>
      <w:r>
        <w:rPr>
          <w:sz w:val="24"/>
        </w:rPr>
        <w:t>sol·licitud.</w:t>
      </w:r>
    </w:p>
    <w:p>
      <w:pPr>
        <w:pStyle w:val="BodyText"/>
        <w:spacing w:before="7"/>
        <w:rPr>
          <w:sz w:val="27"/>
        </w:rPr>
      </w:pPr>
    </w:p>
    <w:p>
      <w:pPr>
        <w:pStyle w:val="Heading1"/>
      </w:pPr>
      <w:r>
        <w:rPr/>
        <w:t>3.- Obligacions de les persones beneficiàries</w:t>
      </w:r>
    </w:p>
    <w:p>
      <w:pPr>
        <w:pStyle w:val="BodyText"/>
        <w:spacing w:before="4"/>
        <w:rPr>
          <w:b/>
          <w:sz w:val="31"/>
        </w:rPr>
      </w:pPr>
    </w:p>
    <w:p>
      <w:pPr>
        <w:pStyle w:val="BodyText"/>
        <w:ind w:left="142"/>
      </w:pPr>
      <w:r>
        <w:rPr/>
        <w:t>Són obligacions dels beneficiaris, entre d’altres (apartat 7 de les Bases):</w:t>
      </w:r>
    </w:p>
    <w:p>
      <w:pPr>
        <w:pStyle w:val="BodyText"/>
        <w:spacing w:before="10"/>
        <w:rPr>
          <w:sz w:val="20"/>
        </w:rPr>
      </w:pPr>
    </w:p>
    <w:p>
      <w:pPr>
        <w:pStyle w:val="ListParagraph"/>
        <w:numPr>
          <w:ilvl w:val="0"/>
          <w:numId w:val="3"/>
        </w:numPr>
        <w:tabs>
          <w:tab w:pos="850" w:val="left" w:leader="none"/>
        </w:tabs>
        <w:spacing w:line="276" w:lineRule="auto" w:before="0" w:after="0"/>
        <w:ind w:left="861" w:right="900" w:hanging="360"/>
        <w:jc w:val="left"/>
        <w:rPr>
          <w:sz w:val="24"/>
        </w:rPr>
      </w:pPr>
      <w:r>
        <w:rPr>
          <w:sz w:val="24"/>
        </w:rPr>
        <w:t>Acreditar els requisits per tenir accés a l’ajut convocat, amb l’aportació de la documentació requerida, dintre el</w:t>
      </w:r>
      <w:r>
        <w:rPr>
          <w:spacing w:val="-5"/>
          <w:sz w:val="24"/>
        </w:rPr>
        <w:t> </w:t>
      </w:r>
      <w:r>
        <w:rPr>
          <w:sz w:val="24"/>
        </w:rPr>
        <w:t>termini.</w:t>
      </w:r>
    </w:p>
    <w:p>
      <w:pPr>
        <w:pStyle w:val="ListParagraph"/>
        <w:numPr>
          <w:ilvl w:val="0"/>
          <w:numId w:val="3"/>
        </w:numPr>
        <w:tabs>
          <w:tab w:pos="850" w:val="left" w:leader="none"/>
        </w:tabs>
        <w:spacing w:line="276" w:lineRule="auto" w:before="1" w:after="0"/>
        <w:ind w:left="861" w:right="901" w:hanging="360"/>
        <w:jc w:val="left"/>
        <w:rPr>
          <w:sz w:val="24"/>
        </w:rPr>
      </w:pPr>
      <w:r>
        <w:rPr>
          <w:sz w:val="24"/>
        </w:rPr>
        <w:t>Comunicar a l’Ajuntament de Deltebre qualsevol modificació d’aquests requisits.</w:t>
      </w:r>
    </w:p>
    <w:p>
      <w:pPr>
        <w:pStyle w:val="ListParagraph"/>
        <w:numPr>
          <w:ilvl w:val="0"/>
          <w:numId w:val="3"/>
        </w:numPr>
        <w:tabs>
          <w:tab w:pos="850" w:val="left" w:leader="none"/>
        </w:tabs>
        <w:spacing w:line="276" w:lineRule="auto" w:before="0" w:after="0"/>
        <w:ind w:left="861" w:right="904" w:hanging="360"/>
        <w:jc w:val="left"/>
        <w:rPr>
          <w:sz w:val="24"/>
        </w:rPr>
      </w:pPr>
      <w:r>
        <w:rPr>
          <w:sz w:val="24"/>
        </w:rPr>
        <w:t>Un cop concedit, fer un bon ús de l’ajut concedit amb el termes establerts a l’apartat 3 de les</w:t>
      </w:r>
      <w:r>
        <w:rPr>
          <w:spacing w:val="-2"/>
          <w:sz w:val="24"/>
        </w:rPr>
        <w:t> </w:t>
      </w:r>
      <w:r>
        <w:rPr>
          <w:sz w:val="24"/>
        </w:rPr>
        <w:t>bases.</w:t>
      </w:r>
    </w:p>
    <w:p>
      <w:pPr>
        <w:pStyle w:val="ListParagraph"/>
        <w:numPr>
          <w:ilvl w:val="0"/>
          <w:numId w:val="3"/>
        </w:numPr>
        <w:tabs>
          <w:tab w:pos="850" w:val="left" w:leader="none"/>
        </w:tabs>
        <w:spacing w:line="276" w:lineRule="auto" w:before="1" w:after="0"/>
        <w:ind w:left="861" w:right="903" w:hanging="360"/>
        <w:jc w:val="left"/>
        <w:rPr>
          <w:sz w:val="24"/>
        </w:rPr>
      </w:pPr>
      <w:r>
        <w:rPr>
          <w:sz w:val="24"/>
        </w:rPr>
        <w:t>Reintegrar els imports rebuts per l’Ajuntament en cas d’acreditar que no s’han complit les obligacions</w:t>
      </w:r>
      <w:r>
        <w:rPr>
          <w:spacing w:val="-3"/>
          <w:sz w:val="24"/>
        </w:rPr>
        <w:t> </w:t>
      </w:r>
      <w:r>
        <w:rPr>
          <w:sz w:val="24"/>
        </w:rPr>
        <w:t>anteriors.</w:t>
      </w:r>
    </w:p>
    <w:p>
      <w:pPr>
        <w:pStyle w:val="BodyText"/>
        <w:spacing w:before="5"/>
        <w:rPr>
          <w:sz w:val="27"/>
        </w:rPr>
      </w:pPr>
    </w:p>
    <w:p>
      <w:pPr>
        <w:pStyle w:val="Heading1"/>
      </w:pPr>
      <w:r>
        <w:rPr/>
        <w:t>4.- Forma i termini de la sol·licitud</w:t>
      </w:r>
    </w:p>
    <w:p>
      <w:pPr>
        <w:pStyle w:val="BodyText"/>
        <w:spacing w:before="3"/>
        <w:rPr>
          <w:b/>
          <w:sz w:val="31"/>
        </w:rPr>
      </w:pPr>
    </w:p>
    <w:p>
      <w:pPr>
        <w:pStyle w:val="BodyText"/>
        <w:spacing w:line="276" w:lineRule="auto"/>
        <w:ind w:left="142" w:right="612"/>
      </w:pPr>
      <w:r>
        <w:rPr/>
        <w:t>Les sol·licituds (model normalitzat publicat a la web de l’Ajuntament) es poden presentar:</w:t>
      </w:r>
    </w:p>
    <w:p>
      <w:pPr>
        <w:pStyle w:val="ListParagraph"/>
        <w:numPr>
          <w:ilvl w:val="1"/>
          <w:numId w:val="3"/>
        </w:numPr>
        <w:tabs>
          <w:tab w:pos="1069" w:val="left" w:leader="none"/>
        </w:tabs>
        <w:spacing w:line="276" w:lineRule="auto" w:before="201" w:after="0"/>
        <w:ind w:left="850" w:right="901" w:firstLine="0"/>
        <w:jc w:val="left"/>
        <w:rPr>
          <w:sz w:val="24"/>
        </w:rPr>
      </w:pPr>
      <w:r>
        <w:rPr>
          <w:sz w:val="24"/>
        </w:rPr>
        <w:t>De forma presencial, preferentment a la primera planta de l’Edifici Serveis (amb cita prèvia) de l’Ajuntament de</w:t>
      </w:r>
      <w:r>
        <w:rPr>
          <w:spacing w:val="-8"/>
          <w:sz w:val="24"/>
        </w:rPr>
        <w:t> </w:t>
      </w:r>
      <w:r>
        <w:rPr>
          <w:sz w:val="24"/>
        </w:rPr>
        <w:t>Deltebre.</w:t>
      </w:r>
    </w:p>
    <w:p>
      <w:pPr>
        <w:spacing w:after="0" w:line="276" w:lineRule="auto"/>
        <w:jc w:val="left"/>
        <w:rPr>
          <w:sz w:val="24"/>
        </w:rPr>
        <w:sectPr>
          <w:pgSz w:w="11910" w:h="16840"/>
          <w:pgMar w:header="751" w:footer="1829" w:top="2860" w:bottom="2020" w:left="1560" w:right="800"/>
        </w:sectPr>
      </w:pPr>
    </w:p>
    <w:p>
      <w:pPr>
        <w:pStyle w:val="BodyText"/>
        <w:spacing w:before="4"/>
        <w:rPr>
          <w:sz w:val="15"/>
        </w:rPr>
      </w:pPr>
    </w:p>
    <w:p>
      <w:pPr>
        <w:pStyle w:val="ListParagraph"/>
        <w:numPr>
          <w:ilvl w:val="1"/>
          <w:numId w:val="3"/>
        </w:numPr>
        <w:tabs>
          <w:tab w:pos="1002" w:val="left" w:leader="none"/>
        </w:tabs>
        <w:spacing w:line="278" w:lineRule="auto" w:before="92" w:after="0"/>
        <w:ind w:left="850" w:right="896" w:firstLine="0"/>
        <w:jc w:val="left"/>
        <w:rPr>
          <w:sz w:val="24"/>
        </w:rPr>
      </w:pPr>
      <w:r>
        <w:rPr>
          <w:sz w:val="24"/>
        </w:rPr>
        <w:t>De forma telemàtica per la seu electrònica de la web de l’Ajuntament de Deltebre.</w:t>
      </w:r>
    </w:p>
    <w:p>
      <w:pPr>
        <w:pStyle w:val="BodyText"/>
        <w:spacing w:line="276" w:lineRule="auto" w:before="195"/>
        <w:ind w:left="142" w:right="901"/>
        <w:jc w:val="both"/>
      </w:pPr>
      <w:r>
        <w:rPr/>
        <w:t>No obstant, es podran presentar per qualsevol dels mitjans que preveu la Llei 30/2015 d’1 d’Octubre.</w:t>
      </w:r>
    </w:p>
    <w:p>
      <w:pPr>
        <w:pStyle w:val="BodyText"/>
        <w:spacing w:line="276" w:lineRule="auto" w:before="201"/>
        <w:ind w:left="142" w:right="897"/>
        <w:jc w:val="both"/>
      </w:pPr>
      <w:r>
        <w:rPr/>
        <w:t>En qualsevol cas aniran acompanyades de la documentació necessària que acrediti la situació econòmica i familiar, i la corresponent documentació d’acord amb el que preveu l’apartat 11 de les Bases i que es reprodueix a l’Annex I d’aquesta convocatòria.</w:t>
      </w:r>
    </w:p>
    <w:p>
      <w:pPr>
        <w:pStyle w:val="BodyText"/>
        <w:spacing w:line="276" w:lineRule="auto" w:before="199"/>
        <w:ind w:left="142" w:right="895"/>
        <w:jc w:val="both"/>
      </w:pPr>
      <w:r>
        <w:rPr/>
        <w:t>El termini de presentació de les sol·licituds s’iniciarà el dia següent de la publicació d’aquesta convocatòria, i restarà obert fins al 20 de desembre de 2025 o fins a l’exhauriment de la dotació pressupostària destinada a aquests ajuts (apartat 11 d’aquesta convocatòria), el que abans succeeixi.</w:t>
      </w:r>
    </w:p>
    <w:p>
      <w:pPr>
        <w:pStyle w:val="Heading1"/>
        <w:spacing w:before="200"/>
        <w:jc w:val="both"/>
      </w:pPr>
      <w:r>
        <w:rPr/>
        <w:t>5.- Règim, procediment de concessió, notificacions i recursos.</w:t>
      </w:r>
    </w:p>
    <w:p>
      <w:pPr>
        <w:pStyle w:val="BodyText"/>
        <w:spacing w:before="3"/>
        <w:rPr>
          <w:b/>
          <w:sz w:val="31"/>
        </w:rPr>
      </w:pPr>
    </w:p>
    <w:p>
      <w:pPr>
        <w:pStyle w:val="BodyText"/>
        <w:spacing w:line="276" w:lineRule="auto" w:before="1"/>
        <w:ind w:left="142" w:right="895"/>
        <w:jc w:val="both"/>
      </w:pPr>
      <w:r>
        <w:rPr/>
        <w:t>Independentment de la denominació del procediment de concessió que consta a les bases (directa), a la pràctica resulta ser el de concurrència no competitiva (de la mateixa forma que es denominen ajuts socials però han de ser tractats, en la majoria del procediment, com una subvenció subjecta a la</w:t>
      </w:r>
      <w:r>
        <w:rPr>
          <w:spacing w:val="-12"/>
        </w:rPr>
        <w:t> </w:t>
      </w:r>
      <w:r>
        <w:rPr/>
        <w:t>LGS).</w:t>
      </w:r>
    </w:p>
    <w:p>
      <w:pPr>
        <w:pStyle w:val="BodyText"/>
        <w:spacing w:before="6"/>
        <w:rPr>
          <w:sz w:val="27"/>
        </w:rPr>
      </w:pPr>
    </w:p>
    <w:p>
      <w:pPr>
        <w:pStyle w:val="BodyText"/>
        <w:spacing w:line="276" w:lineRule="auto"/>
        <w:ind w:left="142" w:right="900"/>
        <w:jc w:val="both"/>
      </w:pPr>
      <w:r>
        <w:rPr/>
        <w:t>Les sol·licituds es resoldran per ordre cronològic de presentació, fins a l’esgotament de la corresponent partida pressupostària.</w:t>
      </w:r>
    </w:p>
    <w:p>
      <w:pPr>
        <w:pStyle w:val="BodyText"/>
        <w:spacing w:before="7"/>
        <w:rPr>
          <w:sz w:val="27"/>
        </w:rPr>
      </w:pPr>
    </w:p>
    <w:p>
      <w:pPr>
        <w:pStyle w:val="BodyText"/>
        <w:spacing w:line="276" w:lineRule="auto" w:before="1"/>
        <w:ind w:left="142" w:right="895"/>
        <w:jc w:val="both"/>
      </w:pPr>
      <w:r>
        <w:rPr/>
        <w:t>Un cop revisades les sol·licituds, i després de la comprovació dels requisits d'accés, des de l’Àrea #DeltebreProjecció, subàrea de Servei a les Persones de l’Ajuntament de Deltebre, s’emetrà informe de les persones que tenen dret a l’ajut i l’import individual dels incentius. Vista la relació de persones amb dret  als ajuts, s’elevarà proposta a la Junta de Govern Local, aquest òrgan acordarà en virtut de la</w:t>
      </w:r>
      <w:r>
        <w:rPr>
          <w:spacing w:val="-3"/>
        </w:rPr>
        <w:t> </w:t>
      </w:r>
      <w:r>
        <w:rPr/>
        <w:t>proposta.</w:t>
      </w:r>
    </w:p>
    <w:p>
      <w:pPr>
        <w:pStyle w:val="BodyText"/>
        <w:spacing w:before="8"/>
        <w:rPr>
          <w:sz w:val="27"/>
        </w:rPr>
      </w:pPr>
    </w:p>
    <w:p>
      <w:pPr>
        <w:pStyle w:val="BodyText"/>
        <w:spacing w:line="276" w:lineRule="auto"/>
        <w:ind w:left="142" w:right="897"/>
        <w:jc w:val="both"/>
      </w:pPr>
      <w:r>
        <w:rPr/>
        <w:t>Es notificarà de forma individual a les famílies beneficiàries de la forma més ràpida possible, en el termini màxim de 15 dies des de l’acord de Junta de Govern Local.</w:t>
      </w:r>
    </w:p>
    <w:p>
      <w:pPr>
        <w:spacing w:after="0" w:line="276" w:lineRule="auto"/>
        <w:jc w:val="both"/>
        <w:sectPr>
          <w:pgSz w:w="11910" w:h="16840"/>
          <w:pgMar w:header="751" w:footer="1829" w:top="2860" w:bottom="2020" w:left="1560" w:right="800"/>
        </w:sectPr>
      </w:pPr>
    </w:p>
    <w:p>
      <w:pPr>
        <w:pStyle w:val="BodyText"/>
        <w:spacing w:before="4"/>
        <w:rPr>
          <w:sz w:val="15"/>
        </w:rPr>
      </w:pPr>
    </w:p>
    <w:p>
      <w:pPr>
        <w:pStyle w:val="BodyText"/>
        <w:spacing w:line="276" w:lineRule="auto" w:before="92"/>
        <w:ind w:left="142" w:right="903"/>
        <w:jc w:val="both"/>
      </w:pPr>
      <w:r>
        <w:rPr/>
        <w:t>En cas de mancar documentació preceptiva o ser defectuosa, se sol·licitarà la seva esmena i/o aportació i, un cop esmenada la documentació, es seguirà el mateix tràmit. L’esmena de defectes o l’aportació de documentació s’ha de realitzar, previ requeriment i amb l’advertència de desistiment, en el termini màxim de 10 dies des de la seva notificació.</w:t>
      </w:r>
    </w:p>
    <w:p>
      <w:pPr>
        <w:pStyle w:val="BodyText"/>
        <w:spacing w:line="276" w:lineRule="auto"/>
        <w:ind w:left="142" w:right="903"/>
        <w:jc w:val="both"/>
      </w:pPr>
      <w:r>
        <w:rPr/>
        <w:t>Transcorregut el termini per esmenar la sol·licitud, per al cas que no s’hagi procedit a esmenar-la, o de forma motivada, s’hagi sol·licitat una pròrroga, la resolució serà desfavorable per manca de documentació.</w:t>
      </w:r>
    </w:p>
    <w:p>
      <w:pPr>
        <w:pStyle w:val="BodyText"/>
        <w:spacing w:before="7"/>
        <w:rPr>
          <w:sz w:val="27"/>
        </w:rPr>
      </w:pPr>
    </w:p>
    <w:p>
      <w:pPr>
        <w:pStyle w:val="BodyText"/>
        <w:spacing w:line="276" w:lineRule="auto"/>
        <w:ind w:left="142" w:right="895"/>
        <w:jc w:val="both"/>
      </w:pPr>
      <w:r>
        <w:rPr/>
        <w:t>En cas de denegació, sens perjudici dels recursos següents, la persona sol·licitant pot presentar una nova sol·licitud quan ho consideri oportú durant la vigència del termini de presentació de sol·licituds.</w:t>
      </w:r>
    </w:p>
    <w:p>
      <w:pPr>
        <w:pStyle w:val="BodyText"/>
        <w:spacing w:before="7"/>
        <w:rPr>
          <w:sz w:val="27"/>
        </w:rPr>
      </w:pPr>
    </w:p>
    <w:p>
      <w:pPr>
        <w:pStyle w:val="BodyText"/>
        <w:spacing w:line="276" w:lineRule="auto"/>
        <w:ind w:left="142" w:right="895"/>
        <w:jc w:val="both"/>
      </w:pPr>
      <w:r>
        <w:rPr/>
        <w:t>Contra la resolució de concessió o denegació de l’ajut, que exhaureix la via administrativa, les persones interessades poden interposar recurs contenciós administratiu davant el Jutjat Contenciós Administratiu de Tarragona, en el termini de dos mesos a comptar de l'endemà de la data de la seva notificació. Alternativament i de forma potestativa, es pot interposar recurs de reposició davant el mateix òrgan que l’ha dictat, en el termini d’un mes a comptar des del dia següent de la seva notificació.</w:t>
      </w:r>
    </w:p>
    <w:p>
      <w:pPr>
        <w:pStyle w:val="BodyText"/>
        <w:rPr>
          <w:sz w:val="26"/>
        </w:rPr>
      </w:pPr>
    </w:p>
    <w:p>
      <w:pPr>
        <w:pStyle w:val="BodyText"/>
        <w:spacing w:before="5"/>
        <w:rPr>
          <w:sz w:val="29"/>
        </w:rPr>
      </w:pPr>
    </w:p>
    <w:p>
      <w:pPr>
        <w:pStyle w:val="Heading1"/>
        <w:jc w:val="both"/>
      </w:pPr>
      <w:r>
        <w:rPr/>
        <w:t>6.- Criteris de concessió i valoració de la situació de necessitat</w:t>
      </w:r>
    </w:p>
    <w:p>
      <w:pPr>
        <w:pStyle w:val="BodyText"/>
        <w:spacing w:before="1"/>
        <w:rPr>
          <w:b/>
          <w:sz w:val="31"/>
        </w:rPr>
      </w:pPr>
    </w:p>
    <w:p>
      <w:pPr>
        <w:pStyle w:val="BodyText"/>
        <w:spacing w:line="276" w:lineRule="auto"/>
        <w:ind w:left="142" w:right="901"/>
        <w:jc w:val="both"/>
      </w:pPr>
      <w:r>
        <w:rPr/>
        <w:t>Els criteris generals bàsics que cal tenir en compte per valorar la situació d’urgència social per atorgar l’ajut econòmic EuroDelta a les persones individuals, famílies i/o unitats de convivència són els següents:</w:t>
      </w:r>
    </w:p>
    <w:p>
      <w:pPr>
        <w:pStyle w:val="BodyText"/>
        <w:spacing w:before="8"/>
        <w:rPr>
          <w:sz w:val="27"/>
        </w:rPr>
      </w:pPr>
    </w:p>
    <w:p>
      <w:pPr>
        <w:pStyle w:val="ListParagraph"/>
        <w:numPr>
          <w:ilvl w:val="0"/>
          <w:numId w:val="4"/>
        </w:numPr>
        <w:tabs>
          <w:tab w:pos="849" w:val="left" w:leader="none"/>
          <w:tab w:pos="850" w:val="left" w:leader="none"/>
        </w:tabs>
        <w:spacing w:line="271" w:lineRule="auto" w:before="0" w:after="0"/>
        <w:ind w:left="861" w:right="896" w:hanging="360"/>
        <w:jc w:val="left"/>
        <w:rPr>
          <w:sz w:val="24"/>
        </w:rPr>
      </w:pPr>
      <w:r>
        <w:rPr>
          <w:sz w:val="24"/>
        </w:rPr>
        <w:t>Que sigui una situació causada per qualsevol situació sobrevinguda i involuntària que li ha provocat un greuge sobre la situació</w:t>
      </w:r>
      <w:r>
        <w:rPr>
          <w:spacing w:val="-10"/>
          <w:sz w:val="24"/>
        </w:rPr>
        <w:t> </w:t>
      </w:r>
      <w:r>
        <w:rPr>
          <w:sz w:val="24"/>
        </w:rPr>
        <w:t>preexistent.</w:t>
      </w:r>
    </w:p>
    <w:p>
      <w:pPr>
        <w:pStyle w:val="ListParagraph"/>
        <w:numPr>
          <w:ilvl w:val="0"/>
          <w:numId w:val="4"/>
        </w:numPr>
        <w:tabs>
          <w:tab w:pos="849" w:val="left" w:leader="none"/>
          <w:tab w:pos="850" w:val="left" w:leader="none"/>
        </w:tabs>
        <w:spacing w:line="240" w:lineRule="auto" w:before="7" w:after="0"/>
        <w:ind w:left="850" w:right="0" w:hanging="349"/>
        <w:jc w:val="left"/>
        <w:rPr>
          <w:sz w:val="24"/>
        </w:rPr>
      </w:pPr>
      <w:r>
        <w:rPr>
          <w:sz w:val="24"/>
        </w:rPr>
        <w:t>Que hi hagi una situació de necessitat</w:t>
      </w:r>
      <w:r>
        <w:rPr>
          <w:spacing w:val="-8"/>
          <w:sz w:val="24"/>
        </w:rPr>
        <w:t> </w:t>
      </w:r>
      <w:r>
        <w:rPr>
          <w:sz w:val="24"/>
        </w:rPr>
        <w:t>econòmica.</w:t>
      </w:r>
    </w:p>
    <w:p>
      <w:pPr>
        <w:pStyle w:val="ListParagraph"/>
        <w:numPr>
          <w:ilvl w:val="0"/>
          <w:numId w:val="4"/>
        </w:numPr>
        <w:tabs>
          <w:tab w:pos="849" w:val="left" w:leader="none"/>
          <w:tab w:pos="850" w:val="left" w:leader="none"/>
        </w:tabs>
        <w:spacing w:line="271" w:lineRule="auto" w:before="39" w:after="0"/>
        <w:ind w:left="861" w:right="896" w:hanging="360"/>
        <w:jc w:val="left"/>
        <w:rPr>
          <w:sz w:val="24"/>
        </w:rPr>
      </w:pPr>
      <w:r>
        <w:rPr>
          <w:sz w:val="24"/>
        </w:rPr>
        <w:t>Que la persona sol·licitant tingui voluntat i esforç real de millorar la seva situació.</w:t>
      </w:r>
    </w:p>
    <w:p>
      <w:pPr>
        <w:pStyle w:val="BodyText"/>
        <w:rPr>
          <w:sz w:val="26"/>
        </w:rPr>
      </w:pPr>
    </w:p>
    <w:p>
      <w:pPr>
        <w:pStyle w:val="BodyText"/>
        <w:spacing w:before="9"/>
        <w:rPr>
          <w:sz w:val="29"/>
        </w:rPr>
      </w:pPr>
    </w:p>
    <w:p>
      <w:pPr>
        <w:spacing w:before="0"/>
        <w:ind w:left="142" w:right="0" w:firstLine="0"/>
        <w:jc w:val="both"/>
        <w:rPr>
          <w:b/>
          <w:sz w:val="24"/>
        </w:rPr>
      </w:pPr>
      <w:r>
        <w:rPr>
          <w:b/>
          <w:sz w:val="24"/>
          <w:u w:val="thick"/>
        </w:rPr>
        <w:t>Valoració econòmica</w:t>
      </w:r>
    </w:p>
    <w:p>
      <w:pPr>
        <w:spacing w:after="0"/>
        <w:jc w:val="both"/>
        <w:rPr>
          <w:sz w:val="24"/>
        </w:rPr>
        <w:sectPr>
          <w:pgSz w:w="11910" w:h="16840"/>
          <w:pgMar w:header="751" w:footer="1829" w:top="2860" w:bottom="2020" w:left="1560" w:right="800"/>
        </w:sectPr>
      </w:pPr>
    </w:p>
    <w:p>
      <w:pPr>
        <w:pStyle w:val="BodyText"/>
        <w:rPr>
          <w:b/>
          <w:sz w:val="20"/>
        </w:rPr>
      </w:pPr>
    </w:p>
    <w:p>
      <w:pPr>
        <w:pStyle w:val="BodyText"/>
        <w:spacing w:before="1"/>
        <w:rPr>
          <w:b/>
          <w:sz w:val="23"/>
        </w:rPr>
      </w:pPr>
    </w:p>
    <w:p>
      <w:pPr>
        <w:pStyle w:val="BodyText"/>
        <w:spacing w:line="276" w:lineRule="auto" w:before="92"/>
        <w:ind w:left="142" w:right="900"/>
        <w:jc w:val="both"/>
      </w:pPr>
      <w:r>
        <w:rPr/>
        <w:t>Per establir la situació econòmica de la família o la unitat de convivència, s’establirà el nivell d’ingressos percebuts pels membres de la llar dels últims tres mesos previs a la data de sol·licitud, segons l’apartat 4.1 de les</w:t>
      </w:r>
      <w:r>
        <w:rPr>
          <w:spacing w:val="-18"/>
        </w:rPr>
        <w:t> </w:t>
      </w:r>
      <w:r>
        <w:rPr/>
        <w:t>Bases.</w:t>
      </w:r>
    </w:p>
    <w:p>
      <w:pPr>
        <w:pStyle w:val="BodyText"/>
        <w:spacing w:before="5"/>
        <w:rPr>
          <w:sz w:val="27"/>
        </w:rPr>
      </w:pPr>
    </w:p>
    <w:p>
      <w:pPr>
        <w:spacing w:before="0"/>
        <w:ind w:left="142" w:right="0" w:firstLine="0"/>
        <w:jc w:val="left"/>
        <w:rPr>
          <w:b/>
          <w:sz w:val="24"/>
        </w:rPr>
      </w:pPr>
      <w:r>
        <w:rPr>
          <w:b/>
          <w:sz w:val="24"/>
          <w:u w:val="thick"/>
        </w:rPr>
        <w:t>Barems</w:t>
      </w:r>
    </w:p>
    <w:p>
      <w:pPr>
        <w:pStyle w:val="BodyText"/>
        <w:spacing w:before="4"/>
        <w:rPr>
          <w:b/>
          <w:sz w:val="23"/>
        </w:rPr>
      </w:pPr>
    </w:p>
    <w:p>
      <w:pPr>
        <w:pStyle w:val="BodyText"/>
        <w:spacing w:line="276" w:lineRule="auto" w:before="92"/>
        <w:ind w:left="142" w:right="894"/>
        <w:jc w:val="both"/>
      </w:pPr>
      <w:r>
        <w:rPr/>
        <w:t>A fi d’establir els límits familiars segons la composició de les diverses llars, s’utilitzarà l’Indicador de Renda de Suficiència de Catalunya (755,82.-€) multiplicat per 1,5.</w:t>
      </w:r>
    </w:p>
    <w:p>
      <w:pPr>
        <w:pStyle w:val="BodyText"/>
        <w:spacing w:before="7"/>
        <w:rPr>
          <w:sz w:val="27"/>
        </w:rPr>
      </w:pPr>
    </w:p>
    <w:p>
      <w:pPr>
        <w:pStyle w:val="BodyText"/>
        <w:ind w:left="142"/>
      </w:pPr>
      <w:r>
        <w:rPr/>
        <w:t>S’estableixen trams per fórmula de càlcul següent:</w:t>
      </w:r>
    </w:p>
    <w:p>
      <w:pPr>
        <w:pStyle w:val="ListParagraph"/>
        <w:numPr>
          <w:ilvl w:val="0"/>
          <w:numId w:val="4"/>
        </w:numPr>
        <w:tabs>
          <w:tab w:pos="849" w:val="left" w:leader="none"/>
          <w:tab w:pos="850" w:val="left" w:leader="none"/>
        </w:tabs>
        <w:spacing w:line="240" w:lineRule="auto" w:before="41" w:after="0"/>
        <w:ind w:left="850" w:right="0" w:hanging="349"/>
        <w:jc w:val="left"/>
        <w:rPr>
          <w:sz w:val="24"/>
        </w:rPr>
      </w:pPr>
      <w:r>
        <w:rPr>
          <w:sz w:val="24"/>
        </w:rPr>
        <w:t>Per a cada adult de més a la llar: (IRSC x 1,5) x</w:t>
      </w:r>
      <w:r>
        <w:rPr>
          <w:spacing w:val="-3"/>
          <w:sz w:val="24"/>
        </w:rPr>
        <w:t> </w:t>
      </w:r>
      <w:r>
        <w:rPr>
          <w:sz w:val="24"/>
        </w:rPr>
        <w:t>0,5</w:t>
      </w:r>
    </w:p>
    <w:p>
      <w:pPr>
        <w:pStyle w:val="ListParagraph"/>
        <w:numPr>
          <w:ilvl w:val="0"/>
          <w:numId w:val="4"/>
        </w:numPr>
        <w:tabs>
          <w:tab w:pos="849" w:val="left" w:leader="none"/>
          <w:tab w:pos="850" w:val="left" w:leader="none"/>
        </w:tabs>
        <w:spacing w:line="240" w:lineRule="auto" w:before="40" w:after="0"/>
        <w:ind w:left="850" w:right="0" w:hanging="349"/>
        <w:jc w:val="left"/>
        <w:rPr>
          <w:sz w:val="24"/>
        </w:rPr>
      </w:pPr>
      <w:r>
        <w:rPr>
          <w:sz w:val="24"/>
        </w:rPr>
        <w:t>Per a cada menor de més a la llar: (IRSC x 1,5) x</w:t>
      </w:r>
      <w:r>
        <w:rPr>
          <w:spacing w:val="-17"/>
          <w:sz w:val="24"/>
        </w:rPr>
        <w:t> </w:t>
      </w:r>
      <w:r>
        <w:rPr>
          <w:sz w:val="24"/>
        </w:rPr>
        <w:t>0,3</w:t>
      </w:r>
    </w:p>
    <w:p>
      <w:pPr>
        <w:pStyle w:val="BodyText"/>
        <w:rPr>
          <w:sz w:val="31"/>
        </w:rPr>
      </w:pPr>
    </w:p>
    <w:p>
      <w:pPr>
        <w:pStyle w:val="BodyText"/>
        <w:spacing w:line="276" w:lineRule="auto"/>
        <w:ind w:left="142" w:right="896"/>
        <w:jc w:val="both"/>
      </w:pPr>
      <w:r>
        <w:rPr/>
        <w:t>Segons la fórmula anterior, els límits màxims de l’import dels ingressos computables per sol·licitar l’ajuda l’any 2025, seran els establerts a la taula de l’Annex III d’aquesta convocatòria (actualitzables automàticament si canvia l’IRSC).</w:t>
      </w:r>
    </w:p>
    <w:p>
      <w:pPr>
        <w:pStyle w:val="BodyText"/>
        <w:spacing w:before="8"/>
        <w:rPr>
          <w:sz w:val="27"/>
        </w:rPr>
      </w:pPr>
    </w:p>
    <w:p>
      <w:pPr>
        <w:pStyle w:val="Heading1"/>
        <w:spacing w:before="1"/>
      </w:pPr>
      <w:r>
        <w:rPr/>
        <w:t>7.- Import concedit i forma de pagament</w:t>
      </w:r>
    </w:p>
    <w:p>
      <w:pPr>
        <w:pStyle w:val="BodyText"/>
        <w:rPr>
          <w:b/>
          <w:sz w:val="26"/>
        </w:rPr>
      </w:pPr>
    </w:p>
    <w:p>
      <w:pPr>
        <w:pStyle w:val="BodyText"/>
        <w:spacing w:before="4"/>
        <w:rPr>
          <w:b/>
          <w:sz w:val="22"/>
        </w:rPr>
      </w:pPr>
    </w:p>
    <w:p>
      <w:pPr>
        <w:pStyle w:val="BodyText"/>
        <w:ind w:left="142"/>
      </w:pPr>
      <w:r>
        <w:rPr/>
        <w:t>L’import de l’ajut es determinarà segons els membres de la unitat familiar:</w:t>
      </w:r>
    </w:p>
    <w:p>
      <w:pPr>
        <w:pStyle w:val="BodyText"/>
        <w:rPr>
          <w:sz w:val="20"/>
        </w:rPr>
      </w:pPr>
    </w:p>
    <w:p>
      <w:pPr>
        <w:pStyle w:val="BodyText"/>
        <w:spacing w:before="3" w:after="1"/>
        <w:rPr>
          <w:sz w:val="11"/>
        </w:rPr>
      </w:pPr>
    </w:p>
    <w:tbl>
      <w:tblPr>
        <w:tblW w:w="0" w:type="auto"/>
        <w:jc w:val="left"/>
        <w:tblInd w:w="1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910"/>
        <w:gridCol w:w="2124"/>
      </w:tblGrid>
      <w:tr>
        <w:trPr>
          <w:trHeight w:val="396" w:hRule="atLeast"/>
        </w:trPr>
        <w:tc>
          <w:tcPr>
            <w:tcW w:w="2910" w:type="dxa"/>
          </w:tcPr>
          <w:p>
            <w:pPr>
              <w:pStyle w:val="TableParagraph"/>
              <w:spacing w:before="41"/>
              <w:ind w:left="105"/>
              <w:rPr>
                <w:b/>
                <w:sz w:val="24"/>
              </w:rPr>
            </w:pPr>
            <w:r>
              <w:rPr>
                <w:b/>
                <w:sz w:val="24"/>
              </w:rPr>
              <w:t>Membres unitat familiar</w:t>
            </w:r>
          </w:p>
        </w:tc>
        <w:tc>
          <w:tcPr>
            <w:tcW w:w="2124" w:type="dxa"/>
          </w:tcPr>
          <w:p>
            <w:pPr>
              <w:pStyle w:val="TableParagraph"/>
              <w:spacing w:before="41"/>
              <w:ind w:left="107"/>
              <w:rPr>
                <w:b/>
                <w:sz w:val="24"/>
              </w:rPr>
            </w:pPr>
            <w:r>
              <w:rPr>
                <w:b/>
                <w:sz w:val="24"/>
              </w:rPr>
              <w:t>Import trimestral</w:t>
            </w:r>
          </w:p>
        </w:tc>
      </w:tr>
      <w:tr>
        <w:trPr>
          <w:trHeight w:val="397" w:hRule="atLeast"/>
        </w:trPr>
        <w:tc>
          <w:tcPr>
            <w:tcW w:w="2910" w:type="dxa"/>
          </w:tcPr>
          <w:p>
            <w:pPr>
              <w:pStyle w:val="TableParagraph"/>
              <w:spacing w:before="41"/>
              <w:ind w:left="105"/>
              <w:rPr>
                <w:sz w:val="24"/>
              </w:rPr>
            </w:pPr>
            <w:r>
              <w:rPr>
                <w:sz w:val="24"/>
              </w:rPr>
              <w:t>1 membre</w:t>
            </w:r>
          </w:p>
        </w:tc>
        <w:tc>
          <w:tcPr>
            <w:tcW w:w="2124" w:type="dxa"/>
          </w:tcPr>
          <w:p>
            <w:pPr>
              <w:pStyle w:val="TableParagraph"/>
              <w:spacing w:before="41"/>
              <w:ind w:left="107"/>
              <w:rPr>
                <w:sz w:val="24"/>
              </w:rPr>
            </w:pPr>
            <w:r>
              <w:rPr>
                <w:sz w:val="24"/>
              </w:rPr>
              <w:t>120,00 €</w:t>
            </w:r>
          </w:p>
        </w:tc>
      </w:tr>
      <w:tr>
        <w:trPr>
          <w:trHeight w:val="398" w:hRule="atLeast"/>
        </w:trPr>
        <w:tc>
          <w:tcPr>
            <w:tcW w:w="2910" w:type="dxa"/>
          </w:tcPr>
          <w:p>
            <w:pPr>
              <w:pStyle w:val="TableParagraph"/>
              <w:spacing w:before="41"/>
              <w:ind w:left="105"/>
              <w:rPr>
                <w:sz w:val="24"/>
              </w:rPr>
            </w:pPr>
            <w:r>
              <w:rPr>
                <w:sz w:val="24"/>
              </w:rPr>
              <w:t>dos membres</w:t>
            </w:r>
          </w:p>
        </w:tc>
        <w:tc>
          <w:tcPr>
            <w:tcW w:w="2124" w:type="dxa"/>
          </w:tcPr>
          <w:p>
            <w:pPr>
              <w:pStyle w:val="TableParagraph"/>
              <w:spacing w:before="41"/>
              <w:ind w:left="107"/>
              <w:rPr>
                <w:sz w:val="24"/>
              </w:rPr>
            </w:pPr>
            <w:r>
              <w:rPr>
                <w:sz w:val="24"/>
              </w:rPr>
              <w:t>160,00 €</w:t>
            </w:r>
          </w:p>
        </w:tc>
      </w:tr>
      <w:tr>
        <w:trPr>
          <w:trHeight w:val="395" w:hRule="atLeast"/>
        </w:trPr>
        <w:tc>
          <w:tcPr>
            <w:tcW w:w="2910" w:type="dxa"/>
          </w:tcPr>
          <w:p>
            <w:pPr>
              <w:pStyle w:val="TableParagraph"/>
              <w:spacing w:before="38"/>
              <w:ind w:left="105"/>
              <w:rPr>
                <w:sz w:val="24"/>
              </w:rPr>
            </w:pPr>
            <w:r>
              <w:rPr>
                <w:sz w:val="24"/>
              </w:rPr>
              <w:t>tres membres</w:t>
            </w:r>
          </w:p>
        </w:tc>
        <w:tc>
          <w:tcPr>
            <w:tcW w:w="2124" w:type="dxa"/>
          </w:tcPr>
          <w:p>
            <w:pPr>
              <w:pStyle w:val="TableParagraph"/>
              <w:spacing w:before="38"/>
              <w:ind w:left="107"/>
              <w:rPr>
                <w:sz w:val="24"/>
              </w:rPr>
            </w:pPr>
            <w:r>
              <w:rPr>
                <w:sz w:val="24"/>
              </w:rPr>
              <w:t>250,00 €</w:t>
            </w:r>
          </w:p>
        </w:tc>
      </w:tr>
      <w:tr>
        <w:trPr>
          <w:trHeight w:val="398" w:hRule="atLeast"/>
        </w:trPr>
        <w:tc>
          <w:tcPr>
            <w:tcW w:w="2910" w:type="dxa"/>
          </w:tcPr>
          <w:p>
            <w:pPr>
              <w:pStyle w:val="TableParagraph"/>
              <w:spacing w:before="41"/>
              <w:ind w:left="105"/>
              <w:rPr>
                <w:sz w:val="24"/>
              </w:rPr>
            </w:pPr>
            <w:r>
              <w:rPr>
                <w:sz w:val="24"/>
              </w:rPr>
              <w:t>≥ quatre membres</w:t>
            </w:r>
          </w:p>
        </w:tc>
        <w:tc>
          <w:tcPr>
            <w:tcW w:w="2124" w:type="dxa"/>
          </w:tcPr>
          <w:p>
            <w:pPr>
              <w:pStyle w:val="TableParagraph"/>
              <w:spacing w:before="41"/>
              <w:ind w:left="107"/>
              <w:rPr>
                <w:sz w:val="24"/>
              </w:rPr>
            </w:pPr>
            <w:r>
              <w:rPr>
                <w:sz w:val="24"/>
              </w:rPr>
              <w:t>300,00 €</w:t>
            </w:r>
          </w:p>
        </w:tc>
      </w:tr>
    </w:tbl>
    <w:p>
      <w:pPr>
        <w:pStyle w:val="BodyText"/>
        <w:rPr>
          <w:sz w:val="26"/>
        </w:rPr>
      </w:pPr>
    </w:p>
    <w:p>
      <w:pPr>
        <w:pStyle w:val="BodyText"/>
        <w:spacing w:line="276" w:lineRule="auto" w:before="217"/>
        <w:ind w:left="142" w:right="897"/>
        <w:jc w:val="both"/>
      </w:pPr>
      <w:r>
        <w:rPr/>
        <w:t>L’ajut concedit es farà efectiu, a elecció de la persona beneficiària, amb el lliurament de la targeta moneder carregada amb l’import concedit, o dels tiquets EuroDelta amb valor de 5,00 €, 10,00 € o 20,00 €, que es podran utilitzar per</w:t>
      </w:r>
    </w:p>
    <w:p>
      <w:pPr>
        <w:spacing w:after="0" w:line="276" w:lineRule="auto"/>
        <w:jc w:val="both"/>
        <w:sectPr>
          <w:pgSz w:w="11910" w:h="16840"/>
          <w:pgMar w:header="751" w:footer="1829" w:top="2860" w:bottom="2020" w:left="1560" w:right="800"/>
        </w:sectPr>
      </w:pPr>
    </w:p>
    <w:p>
      <w:pPr>
        <w:pStyle w:val="BodyText"/>
        <w:spacing w:before="4"/>
        <w:rPr>
          <w:sz w:val="15"/>
        </w:rPr>
      </w:pPr>
    </w:p>
    <w:p>
      <w:pPr>
        <w:pStyle w:val="BodyText"/>
        <w:spacing w:line="276" w:lineRule="auto" w:before="92"/>
        <w:ind w:left="142" w:right="895"/>
        <w:jc w:val="both"/>
      </w:pPr>
      <w:r>
        <w:rPr/>
        <w:t>bescanviar-los pels productes o serveis inclosos a l’Annex I, a qualsevol establiment del municipi de Deltebre adherit a la Xarxa de comerç local EuroDelta.</w:t>
      </w:r>
    </w:p>
    <w:p>
      <w:pPr>
        <w:pStyle w:val="BodyText"/>
        <w:spacing w:line="276" w:lineRule="auto" w:before="200"/>
        <w:ind w:left="142" w:right="901"/>
        <w:jc w:val="both"/>
      </w:pPr>
      <w:r>
        <w:rPr/>
        <w:t>El cost d’emissió inicial de la targeta moneder, el primer cop que es demana, és de 4’50 €. Aquest import el satisfarà l’Ajuntament i la despesa es descomptarà de l’ajut concedit a la persona beneficiària.</w:t>
      </w:r>
    </w:p>
    <w:p>
      <w:pPr>
        <w:pStyle w:val="BodyText"/>
        <w:spacing w:line="276" w:lineRule="auto" w:before="200"/>
        <w:ind w:left="142" w:right="896"/>
        <w:jc w:val="both"/>
      </w:pPr>
      <w:r>
        <w:rPr/>
        <w:t>La persona beneficiària pot canviar de modalitat (tiquets o targeta) un cop aprovada la concessió de l’ajut, si encara no ha gastat res de l’import atorgat, o posteriorment al sol·licitar la renovació.</w:t>
      </w:r>
    </w:p>
    <w:p>
      <w:pPr>
        <w:pStyle w:val="BodyText"/>
        <w:spacing w:line="276" w:lineRule="auto" w:before="200"/>
        <w:ind w:left="142" w:right="895"/>
        <w:jc w:val="both"/>
      </w:pPr>
      <w:r>
        <w:rPr/>
        <w:t>L’import concedit serà trimestral, en finalitzar aquest període podran realitzar una nova sol·licitud d’ajut, sempre que l’ajut concedit hagi estat justificat correctament.</w:t>
      </w:r>
    </w:p>
    <w:p>
      <w:pPr>
        <w:pStyle w:val="BodyText"/>
        <w:rPr>
          <w:sz w:val="26"/>
        </w:rPr>
      </w:pPr>
    </w:p>
    <w:p>
      <w:pPr>
        <w:pStyle w:val="Heading1"/>
        <w:spacing w:before="221"/>
      </w:pPr>
      <w:r>
        <w:rPr/>
        <w:t>8.- Renovació.</w:t>
      </w:r>
    </w:p>
    <w:p>
      <w:pPr>
        <w:pStyle w:val="BodyText"/>
        <w:spacing w:before="1"/>
        <w:rPr>
          <w:b/>
          <w:sz w:val="31"/>
        </w:rPr>
      </w:pPr>
    </w:p>
    <w:p>
      <w:pPr>
        <w:pStyle w:val="BodyText"/>
        <w:spacing w:line="276" w:lineRule="auto"/>
        <w:ind w:left="142" w:right="893"/>
        <w:jc w:val="both"/>
      </w:pPr>
      <w:r>
        <w:rPr/>
        <w:t>Les persones que ja hagin estat beneficiàries de la prestació econòmica EuroDelta podran presentar una nova sol·licitud, a partir dels 15 dies previs a  la finalització del trimestre en el qual han percebut l’ajut. En aquesta nova sol·licitud, i sempre que la unitat familiar no hagi sofert variacions respecte a la declarada en la primera sol·licitud d’ajut EuroDelta, només hauran d’adjuntar la documentació acreditativa de la situació econòmica (ingressos i treball) de tota la unitat familiar, d’acord amb els apartats 11 i 12 de les</w:t>
      </w:r>
      <w:r>
        <w:rPr>
          <w:spacing w:val="-12"/>
        </w:rPr>
        <w:t> </w:t>
      </w:r>
      <w:r>
        <w:rPr/>
        <w:t>Bases.</w:t>
      </w:r>
    </w:p>
    <w:p>
      <w:pPr>
        <w:pStyle w:val="BodyText"/>
        <w:spacing w:before="7"/>
        <w:rPr>
          <w:sz w:val="27"/>
        </w:rPr>
      </w:pPr>
    </w:p>
    <w:p>
      <w:pPr>
        <w:pStyle w:val="BodyText"/>
        <w:spacing w:line="276" w:lineRule="auto" w:before="1"/>
        <w:ind w:left="142" w:right="898"/>
        <w:jc w:val="both"/>
      </w:pPr>
      <w:r>
        <w:rPr/>
        <w:t>Havent-se concedit l’ajut 6 cops en 24 mesos, haurà de transcórrer un període de 6 mesos seguits sense el gaudi de l’ajut per a poder tornar a presentar sol·licitud de renovació per la mateixa persona sol·licitant o qualsevol de la mateixa unitat familiar.</w:t>
      </w:r>
    </w:p>
    <w:p>
      <w:pPr>
        <w:pStyle w:val="BodyText"/>
        <w:spacing w:before="6"/>
        <w:rPr>
          <w:sz w:val="27"/>
        </w:rPr>
      </w:pPr>
    </w:p>
    <w:p>
      <w:pPr>
        <w:pStyle w:val="Heading1"/>
      </w:pPr>
      <w:r>
        <w:rPr/>
        <w:t>9.- Extinció i reintegrament de l’ajut percebut</w:t>
      </w:r>
    </w:p>
    <w:p>
      <w:pPr>
        <w:pStyle w:val="BodyText"/>
        <w:spacing w:before="3"/>
        <w:rPr>
          <w:b/>
          <w:sz w:val="31"/>
        </w:rPr>
      </w:pPr>
    </w:p>
    <w:p>
      <w:pPr>
        <w:pStyle w:val="BodyText"/>
        <w:spacing w:before="1"/>
        <w:ind w:left="142"/>
      </w:pPr>
      <w:r>
        <w:rPr/>
        <w:t>Són causes de denegació i/o d’extinció del dret a percebre l’ajut:</w:t>
      </w:r>
    </w:p>
    <w:p>
      <w:pPr>
        <w:pStyle w:val="ListParagraph"/>
        <w:numPr>
          <w:ilvl w:val="0"/>
          <w:numId w:val="5"/>
        </w:numPr>
        <w:tabs>
          <w:tab w:pos="787" w:val="left" w:leader="none"/>
          <w:tab w:pos="788" w:val="left" w:leader="none"/>
        </w:tabs>
        <w:spacing w:line="276" w:lineRule="auto" w:before="40" w:after="0"/>
        <w:ind w:left="787" w:right="895" w:hanging="360"/>
        <w:jc w:val="left"/>
        <w:rPr>
          <w:sz w:val="24"/>
        </w:rPr>
      </w:pPr>
      <w:r>
        <w:rPr>
          <w:sz w:val="24"/>
        </w:rPr>
        <w:t>Inexactitud, falsedat o omissió de caràcter essencial en l’acreditació dels requisits que donen dret a la condició de beneficiari (article 69.4</w:t>
      </w:r>
      <w:r>
        <w:rPr>
          <w:spacing w:val="8"/>
          <w:sz w:val="24"/>
        </w:rPr>
        <w:t> </w:t>
      </w:r>
      <w:r>
        <w:rPr>
          <w:sz w:val="24"/>
        </w:rPr>
        <w:t>LPAC).</w:t>
      </w:r>
    </w:p>
    <w:p>
      <w:pPr>
        <w:spacing w:after="0" w:line="276" w:lineRule="auto"/>
        <w:jc w:val="left"/>
        <w:rPr>
          <w:sz w:val="24"/>
        </w:rPr>
        <w:sectPr>
          <w:pgSz w:w="11910" w:h="16840"/>
          <w:pgMar w:header="751" w:footer="1829" w:top="2860" w:bottom="2020" w:left="1560" w:right="800"/>
        </w:sectPr>
      </w:pPr>
    </w:p>
    <w:p>
      <w:pPr>
        <w:pStyle w:val="BodyText"/>
        <w:spacing w:before="4"/>
        <w:rPr>
          <w:sz w:val="15"/>
        </w:rPr>
      </w:pPr>
    </w:p>
    <w:p>
      <w:pPr>
        <w:pStyle w:val="BodyText"/>
        <w:spacing w:line="278" w:lineRule="auto" w:before="92"/>
        <w:ind w:left="787" w:right="902"/>
        <w:jc w:val="both"/>
      </w:pPr>
      <w:r>
        <w:rPr/>
        <w:t>Això comportarà el conseqüent deure de reintegrament de les quantitats percebudes.</w:t>
      </w:r>
    </w:p>
    <w:p>
      <w:pPr>
        <w:pStyle w:val="ListParagraph"/>
        <w:numPr>
          <w:ilvl w:val="0"/>
          <w:numId w:val="5"/>
        </w:numPr>
        <w:tabs>
          <w:tab w:pos="788" w:val="left" w:leader="none"/>
        </w:tabs>
        <w:spacing w:line="276" w:lineRule="auto" w:before="0" w:after="0"/>
        <w:ind w:left="787" w:right="901" w:hanging="360"/>
        <w:jc w:val="both"/>
        <w:rPr>
          <w:sz w:val="24"/>
        </w:rPr>
      </w:pPr>
      <w:r>
        <w:rPr>
          <w:sz w:val="24"/>
        </w:rPr>
        <w:t>Desaparició de les circumstàncies que van donar lloc a la seva concessió.</w:t>
      </w:r>
    </w:p>
    <w:p>
      <w:pPr>
        <w:pStyle w:val="ListParagraph"/>
        <w:numPr>
          <w:ilvl w:val="0"/>
          <w:numId w:val="5"/>
        </w:numPr>
        <w:tabs>
          <w:tab w:pos="788" w:val="left" w:leader="none"/>
        </w:tabs>
        <w:spacing w:line="276" w:lineRule="auto" w:before="0" w:after="0"/>
        <w:ind w:left="787" w:right="897" w:hanging="360"/>
        <w:jc w:val="both"/>
        <w:rPr>
          <w:sz w:val="24"/>
        </w:rPr>
      </w:pPr>
      <w:r>
        <w:rPr>
          <w:sz w:val="24"/>
        </w:rPr>
        <w:t>Incompliment de les obligacions mencionades a l’apartat 3 d’aquesta convocatòria.</w:t>
      </w:r>
    </w:p>
    <w:p>
      <w:pPr>
        <w:pStyle w:val="ListParagraph"/>
        <w:numPr>
          <w:ilvl w:val="0"/>
          <w:numId w:val="5"/>
        </w:numPr>
        <w:tabs>
          <w:tab w:pos="788" w:val="left" w:leader="none"/>
        </w:tabs>
        <w:spacing w:line="276" w:lineRule="auto" w:before="0" w:after="0"/>
        <w:ind w:left="787" w:right="900" w:hanging="360"/>
        <w:jc w:val="both"/>
        <w:rPr>
          <w:sz w:val="24"/>
        </w:rPr>
      </w:pPr>
      <w:r>
        <w:rPr>
          <w:sz w:val="24"/>
        </w:rPr>
        <w:t>Renúncia expressa del sol·licitant: es pot realitzar en qualsevol moment, de manera que perd el dret a exigir-lo. La renúncia es formalitza mitjançant la presentació a l’Espai de Reactivació Socioeconòmica de l’Ajuntament de l’escrit corresponent signat pel</w:t>
      </w:r>
      <w:r>
        <w:rPr>
          <w:spacing w:val="-9"/>
          <w:sz w:val="24"/>
        </w:rPr>
        <w:t> </w:t>
      </w:r>
      <w:r>
        <w:rPr>
          <w:sz w:val="24"/>
        </w:rPr>
        <w:t>beneficiari.</w:t>
      </w:r>
    </w:p>
    <w:p>
      <w:pPr>
        <w:pStyle w:val="ListParagraph"/>
        <w:numPr>
          <w:ilvl w:val="0"/>
          <w:numId w:val="5"/>
        </w:numPr>
        <w:tabs>
          <w:tab w:pos="788" w:val="left" w:leader="none"/>
        </w:tabs>
        <w:spacing w:line="276" w:lineRule="auto" w:before="0" w:after="0"/>
        <w:ind w:left="787" w:right="902" w:hanging="360"/>
        <w:jc w:val="both"/>
        <w:rPr>
          <w:sz w:val="24"/>
        </w:rPr>
      </w:pPr>
      <w:r>
        <w:rPr>
          <w:sz w:val="24"/>
        </w:rPr>
        <w:t>Desistiment tàcit al no esmenar la documentació requerida dintre el termini.</w:t>
      </w:r>
    </w:p>
    <w:p>
      <w:pPr>
        <w:pStyle w:val="BodyText"/>
        <w:spacing w:before="2"/>
        <w:rPr>
          <w:sz w:val="27"/>
        </w:rPr>
      </w:pPr>
    </w:p>
    <w:p>
      <w:pPr>
        <w:pStyle w:val="Heading1"/>
      </w:pPr>
      <w:r>
        <w:rPr/>
        <w:t>10.- Revisió dels ajuts</w:t>
      </w:r>
    </w:p>
    <w:p>
      <w:pPr>
        <w:pStyle w:val="BodyText"/>
        <w:spacing w:before="4"/>
        <w:rPr>
          <w:b/>
          <w:sz w:val="31"/>
        </w:rPr>
      </w:pPr>
    </w:p>
    <w:p>
      <w:pPr>
        <w:pStyle w:val="BodyText"/>
        <w:spacing w:line="276" w:lineRule="auto"/>
        <w:ind w:left="142" w:right="896"/>
        <w:jc w:val="both"/>
      </w:pPr>
      <w:r>
        <w:rPr/>
        <w:t>L’Ajuntament pot modificar l’acord d’atorgament dels ajuts objecte d’aquesta convocatòria, havent concedit prèviament un termini d’audiència de deu dies a la persona beneficiària, en relació amb el seu contingut i quan s’acrediti la falsedat de les dades facilitades per la persona sol·licitant o la manca d’aportació total o parcial de les que havien de ser tingudes en compte per adjudicar-li la condició de persona beneficiària de l’ajut.</w:t>
      </w:r>
    </w:p>
    <w:p>
      <w:pPr>
        <w:pStyle w:val="BodyText"/>
        <w:spacing w:before="7"/>
        <w:rPr>
          <w:sz w:val="27"/>
        </w:rPr>
      </w:pPr>
    </w:p>
    <w:p>
      <w:pPr>
        <w:pStyle w:val="Heading1"/>
      </w:pPr>
      <w:r>
        <w:rPr/>
        <w:t>11.- Crèdit pressupostari i quantia total màxima</w:t>
      </w:r>
    </w:p>
    <w:p>
      <w:pPr>
        <w:pStyle w:val="BodyText"/>
        <w:spacing w:before="1"/>
        <w:rPr>
          <w:b/>
          <w:sz w:val="31"/>
        </w:rPr>
      </w:pPr>
    </w:p>
    <w:p>
      <w:pPr>
        <w:pStyle w:val="BodyText"/>
        <w:spacing w:line="276" w:lineRule="auto" w:before="1"/>
        <w:ind w:left="142" w:right="900"/>
        <w:jc w:val="both"/>
      </w:pPr>
      <w:r>
        <w:rPr/>
        <w:t>Els Ajuts socials - EuroDelta d'aquesta convocatòria estan dotats amb 40.000,00 euros. El pagament dels ajuts es farà amb càrrec a l'aplicació pressupostària 48000.23105 Ajut EuroDelta.</w:t>
      </w:r>
    </w:p>
    <w:p>
      <w:pPr>
        <w:pStyle w:val="BodyText"/>
        <w:spacing w:before="7"/>
        <w:rPr>
          <w:sz w:val="27"/>
        </w:rPr>
      </w:pPr>
    </w:p>
    <w:p>
      <w:pPr>
        <w:pStyle w:val="Heading1"/>
      </w:pPr>
      <w:r>
        <w:rPr/>
        <w:t>12.- Interpretació de les bases, convocatòria i règim jurídic aplicable</w:t>
      </w:r>
    </w:p>
    <w:p>
      <w:pPr>
        <w:pStyle w:val="BodyText"/>
        <w:spacing w:before="1"/>
        <w:rPr>
          <w:b/>
          <w:sz w:val="31"/>
        </w:rPr>
      </w:pPr>
    </w:p>
    <w:p>
      <w:pPr>
        <w:pStyle w:val="BodyText"/>
        <w:spacing w:line="276" w:lineRule="auto"/>
        <w:ind w:left="142" w:right="896"/>
        <w:jc w:val="both"/>
      </w:pPr>
      <w:r>
        <w:rPr/>
        <w:t>Qualsevol dubte d’interpretació d’aquesta convocatòria o les seves bases serà resolt per les subàrees de Servei a les Persones i d’Afers Interns de l’Ajuntament de Deltebre.</w:t>
      </w:r>
    </w:p>
    <w:p>
      <w:pPr>
        <w:pStyle w:val="BodyText"/>
        <w:spacing w:before="7"/>
        <w:rPr>
          <w:sz w:val="27"/>
        </w:rPr>
      </w:pPr>
    </w:p>
    <w:p>
      <w:pPr>
        <w:pStyle w:val="BodyText"/>
        <w:spacing w:line="278" w:lineRule="auto"/>
        <w:ind w:left="142" w:right="895"/>
        <w:jc w:val="both"/>
      </w:pPr>
      <w:r>
        <w:rPr/>
        <w:t>En tot allò que no es preveu en aquesta convocatòria o a les bases reguladores de manera expressa, serà d’aplicació el que disposa la Llei General de</w:t>
      </w:r>
    </w:p>
    <w:p>
      <w:pPr>
        <w:spacing w:after="0" w:line="278" w:lineRule="auto"/>
        <w:jc w:val="both"/>
        <w:sectPr>
          <w:pgSz w:w="11910" w:h="16840"/>
          <w:pgMar w:header="751" w:footer="1829" w:top="2860" w:bottom="2020" w:left="1560" w:right="800"/>
        </w:sectPr>
      </w:pPr>
    </w:p>
    <w:p>
      <w:pPr>
        <w:pStyle w:val="BodyText"/>
        <w:spacing w:before="4"/>
        <w:rPr>
          <w:sz w:val="15"/>
        </w:rPr>
      </w:pPr>
    </w:p>
    <w:p>
      <w:pPr>
        <w:pStyle w:val="BodyText"/>
        <w:spacing w:line="276" w:lineRule="auto" w:before="92"/>
        <w:ind w:left="142" w:right="896"/>
        <w:jc w:val="both"/>
      </w:pPr>
      <w:r>
        <w:rPr/>
        <w:t>Subvencions i la Llei 13/2006, de 27 de juliol, de prestacions socials de caràcter econòmic de la Generalitat de Catalunya i la resta de normativa prevista a l’Informe jurídic relatiu a l’aprovació de les Bases que han de regir l’atorgament d’Ajuts socials – EuroDelta.</w:t>
      </w:r>
    </w:p>
    <w:p>
      <w:pPr>
        <w:pStyle w:val="Heading1"/>
        <w:spacing w:before="202"/>
        <w:jc w:val="both"/>
      </w:pPr>
      <w:r>
        <w:rPr/>
        <w:t>Disposició final. Aplicació i vigència</w:t>
      </w:r>
    </w:p>
    <w:p>
      <w:pPr>
        <w:pStyle w:val="BodyText"/>
        <w:spacing w:before="10"/>
        <w:rPr>
          <w:b/>
          <w:sz w:val="20"/>
        </w:rPr>
      </w:pPr>
    </w:p>
    <w:p>
      <w:pPr>
        <w:pStyle w:val="BodyText"/>
        <w:spacing w:line="276" w:lineRule="auto"/>
        <w:ind w:left="142" w:right="896"/>
        <w:jc w:val="both"/>
      </w:pPr>
      <w:r>
        <w:rPr/>
        <w:t>L’aplicació d’aquesta convocatòria queda condicionada a l’aprovació de les corresponents dotacions pressupostàries mitjançant l’aprovació dels pressupostos per a l’exercici 2025. En cas contrari, quedaran sense aplicació.</w:t>
      </w:r>
    </w:p>
    <w:p>
      <w:pPr>
        <w:pStyle w:val="BodyText"/>
        <w:spacing w:line="276" w:lineRule="auto" w:before="200"/>
        <w:ind w:left="142" w:right="896"/>
        <w:jc w:val="both"/>
      </w:pPr>
      <w:r>
        <w:rPr/>
        <w:t>Un cop aprovada per la Junta de Govern Local, aquesta convocatòria entrarà en vigor l’endemà de la seva publicació al Butlletí Oficial de la Província de Tarragona.</w:t>
      </w:r>
    </w:p>
    <w:p>
      <w:pPr>
        <w:spacing w:after="0" w:line="276" w:lineRule="auto"/>
        <w:jc w:val="both"/>
        <w:sectPr>
          <w:pgSz w:w="11910" w:h="16840"/>
          <w:pgMar w:header="751" w:footer="1829" w:top="2860" w:bottom="2020" w:left="1560" w:right="800"/>
        </w:sectPr>
      </w:pPr>
    </w:p>
    <w:p>
      <w:pPr>
        <w:pStyle w:val="BodyText"/>
        <w:spacing w:before="2"/>
        <w:rPr>
          <w:sz w:val="15"/>
        </w:rPr>
      </w:pPr>
    </w:p>
    <w:p>
      <w:pPr>
        <w:spacing w:line="278" w:lineRule="auto" w:before="94"/>
        <w:ind w:left="142" w:right="612" w:firstLine="0"/>
        <w:jc w:val="left"/>
        <w:rPr>
          <w:b/>
          <w:sz w:val="22"/>
        </w:rPr>
      </w:pPr>
      <w:r>
        <w:rPr>
          <w:b/>
          <w:sz w:val="22"/>
        </w:rPr>
        <w:t>Annex 1. Documentació que s'ha de presentar junt amb el formulari de sol·licitud oficial.</w:t>
      </w:r>
    </w:p>
    <w:p>
      <w:pPr>
        <w:spacing w:before="195"/>
        <w:ind w:left="142" w:right="0" w:firstLine="0"/>
        <w:jc w:val="left"/>
        <w:rPr>
          <w:sz w:val="20"/>
        </w:rPr>
      </w:pPr>
      <w:r>
        <w:rPr>
          <w:sz w:val="20"/>
        </w:rPr>
        <w:t>Genèrica, en tot cas:</w:t>
      </w:r>
    </w:p>
    <w:p>
      <w:pPr>
        <w:pStyle w:val="BodyText"/>
        <w:spacing w:before="5" w:after="1"/>
        <w:rPr>
          <w:sz w:val="20"/>
        </w:rPr>
      </w:pPr>
    </w:p>
    <w:tbl>
      <w:tblPr>
        <w:tblW w:w="0" w:type="auto"/>
        <w:jc w:val="left"/>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196"/>
      </w:tblGrid>
      <w:tr>
        <w:trPr>
          <w:trHeight w:val="475" w:hRule="atLeast"/>
        </w:trPr>
        <w:tc>
          <w:tcPr>
            <w:tcW w:w="9196" w:type="dxa"/>
          </w:tcPr>
          <w:p>
            <w:pPr>
              <w:pStyle w:val="TableParagraph"/>
              <w:spacing w:before="124"/>
              <w:ind w:left="175"/>
              <w:rPr>
                <w:sz w:val="20"/>
              </w:rPr>
            </w:pPr>
            <w:r>
              <w:rPr>
                <w:b/>
                <w:sz w:val="20"/>
              </w:rPr>
              <w:t>DNI/NIE/Passaport </w:t>
            </w:r>
            <w:r>
              <w:rPr>
                <w:sz w:val="20"/>
              </w:rPr>
              <w:t>de la persona sol·licitant en vigor.</w:t>
            </w:r>
          </w:p>
        </w:tc>
      </w:tr>
      <w:tr>
        <w:trPr>
          <w:trHeight w:val="820" w:hRule="atLeast"/>
        </w:trPr>
        <w:tc>
          <w:tcPr>
            <w:tcW w:w="9196" w:type="dxa"/>
          </w:tcPr>
          <w:p>
            <w:pPr>
              <w:pStyle w:val="TableParagraph"/>
              <w:spacing w:line="264" w:lineRule="auto" w:before="172"/>
              <w:ind w:left="175"/>
              <w:rPr>
                <w:sz w:val="20"/>
              </w:rPr>
            </w:pPr>
            <w:r>
              <w:rPr>
                <w:b/>
                <w:sz w:val="20"/>
              </w:rPr>
              <w:t>Autorització </w:t>
            </w:r>
            <w:r>
              <w:rPr>
                <w:sz w:val="20"/>
              </w:rPr>
              <w:t>a l’Ajuntament per obtenir dades del Padró municipal i consultar dades als organismes oficials, i </w:t>
            </w:r>
            <w:r>
              <w:rPr>
                <w:b/>
                <w:sz w:val="20"/>
              </w:rPr>
              <w:t>declaració jurada </w:t>
            </w:r>
            <w:r>
              <w:rPr>
                <w:sz w:val="20"/>
              </w:rPr>
              <w:t>de comptes bancaris de tota la unitat familiar.</w:t>
            </w:r>
          </w:p>
        </w:tc>
      </w:tr>
      <w:tr>
        <w:trPr>
          <w:trHeight w:val="1475" w:hRule="atLeast"/>
        </w:trPr>
        <w:tc>
          <w:tcPr>
            <w:tcW w:w="9196" w:type="dxa"/>
          </w:tcPr>
          <w:p>
            <w:pPr>
              <w:pStyle w:val="TableParagraph"/>
              <w:spacing w:line="261" w:lineRule="auto" w:before="124"/>
              <w:ind w:left="184" w:right="97"/>
              <w:jc w:val="both"/>
              <w:rPr>
                <w:sz w:val="20"/>
              </w:rPr>
            </w:pPr>
            <w:r>
              <w:rPr>
                <w:b/>
                <w:sz w:val="20"/>
              </w:rPr>
              <w:t>Extracte bancari de TOTS els comptes </w:t>
            </w:r>
            <w:r>
              <w:rPr>
                <w:sz w:val="20"/>
              </w:rPr>
              <w:t>a nom de qualsevol de tots els membres de la unitat familiar (inclosos menors) dels moviments dels 3 mesos immediatament* anteriors a la data de presentació de la sol·licitud.</w:t>
            </w:r>
          </w:p>
          <w:p>
            <w:pPr>
              <w:pStyle w:val="TableParagraph"/>
              <w:spacing w:line="261" w:lineRule="auto" w:before="1"/>
              <w:ind w:left="184" w:right="97"/>
              <w:jc w:val="both"/>
              <w:rPr>
                <w:i/>
                <w:sz w:val="20"/>
              </w:rPr>
            </w:pPr>
            <w:r>
              <w:rPr>
                <w:i/>
                <w:sz w:val="20"/>
              </w:rPr>
              <w:t>*poden ser moviments fins a 7 dies anteriors a la data de sol·licitud, sempre que hi constin 3 mesos </w:t>
            </w:r>
            <w:r>
              <w:rPr>
                <w:i/>
                <w:sz w:val="20"/>
              </w:rPr>
              <w:t>sencers.</w:t>
            </w:r>
          </w:p>
        </w:tc>
      </w:tr>
    </w:tbl>
    <w:p>
      <w:pPr>
        <w:pStyle w:val="BodyText"/>
        <w:spacing w:before="10"/>
        <w:rPr>
          <w:sz w:val="22"/>
        </w:rPr>
      </w:pPr>
    </w:p>
    <w:p>
      <w:pPr>
        <w:spacing w:line="278" w:lineRule="auto" w:before="0"/>
        <w:ind w:left="142" w:right="612" w:firstLine="0"/>
        <w:jc w:val="left"/>
        <w:rPr>
          <w:sz w:val="20"/>
        </w:rPr>
      </w:pPr>
      <w:r>
        <w:rPr>
          <w:sz w:val="20"/>
        </w:rPr>
        <w:t>Justificació del treball de tots els membres majors de 16 anys que es trobin capacitats* per treballar:</w:t>
      </w:r>
    </w:p>
    <w:p>
      <w:pPr>
        <w:pStyle w:val="BodyText"/>
        <w:spacing w:before="1" w:after="1"/>
        <w:rPr>
          <w:sz w:val="17"/>
        </w:rPr>
      </w:pPr>
    </w:p>
    <w:tbl>
      <w:tblPr>
        <w:tblW w:w="0" w:type="auto"/>
        <w:jc w:val="left"/>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196"/>
      </w:tblGrid>
      <w:tr>
        <w:trPr>
          <w:trHeight w:val="772" w:hRule="atLeast"/>
        </w:trPr>
        <w:tc>
          <w:tcPr>
            <w:tcW w:w="9196" w:type="dxa"/>
          </w:tcPr>
          <w:p>
            <w:pPr>
              <w:pStyle w:val="TableParagraph"/>
              <w:spacing w:line="264" w:lineRule="auto" w:before="148"/>
              <w:ind w:left="232" w:right="127"/>
              <w:rPr>
                <w:sz w:val="20"/>
              </w:rPr>
            </w:pPr>
            <w:r>
              <w:rPr>
                <w:b/>
                <w:sz w:val="20"/>
              </w:rPr>
              <w:t>Vida laboral </w:t>
            </w:r>
            <w:r>
              <w:rPr>
                <w:sz w:val="20"/>
              </w:rPr>
              <w:t>actualitzada de tots els membres del nucli familiar majors de 16 anys, excepte jubilats i estudiants menors de 18 anys.</w:t>
            </w:r>
          </w:p>
        </w:tc>
      </w:tr>
      <w:tr>
        <w:trPr>
          <w:trHeight w:val="606" w:hRule="atLeast"/>
        </w:trPr>
        <w:tc>
          <w:tcPr>
            <w:tcW w:w="9196" w:type="dxa"/>
          </w:tcPr>
          <w:p>
            <w:pPr>
              <w:pStyle w:val="TableParagraph"/>
              <w:spacing w:before="191"/>
              <w:ind w:left="175"/>
              <w:rPr>
                <w:sz w:val="20"/>
              </w:rPr>
            </w:pPr>
            <w:r>
              <w:rPr>
                <w:sz w:val="20"/>
              </w:rPr>
              <w:t>En cas de persones desocupades, </w:t>
            </w:r>
            <w:r>
              <w:rPr>
                <w:b/>
                <w:sz w:val="20"/>
              </w:rPr>
              <w:t>targeta de demanda d’ocupació </w:t>
            </w:r>
            <w:r>
              <w:rPr>
                <w:sz w:val="20"/>
              </w:rPr>
              <w:t>en vigor.</w:t>
            </w:r>
          </w:p>
        </w:tc>
      </w:tr>
      <w:tr>
        <w:trPr>
          <w:trHeight w:val="772" w:hRule="atLeast"/>
        </w:trPr>
        <w:tc>
          <w:tcPr>
            <w:tcW w:w="9196" w:type="dxa"/>
          </w:tcPr>
          <w:p>
            <w:pPr>
              <w:pStyle w:val="TableParagraph"/>
              <w:spacing w:line="264" w:lineRule="auto" w:before="148"/>
              <w:ind w:left="175"/>
              <w:rPr>
                <w:sz w:val="20"/>
              </w:rPr>
            </w:pPr>
            <w:r>
              <w:rPr>
                <w:sz w:val="20"/>
              </w:rPr>
              <w:t>En cas de ser autònoms, última liquidació </w:t>
            </w:r>
            <w:r>
              <w:rPr>
                <w:b/>
                <w:sz w:val="20"/>
              </w:rPr>
              <w:t>trimestral </w:t>
            </w:r>
            <w:r>
              <w:rPr>
                <w:sz w:val="20"/>
              </w:rPr>
              <w:t>de l’IRPF o bé el butlletí de cotització a la Seguretat Social.</w:t>
            </w:r>
          </w:p>
        </w:tc>
      </w:tr>
      <w:tr>
        <w:trPr>
          <w:trHeight w:val="772" w:hRule="atLeast"/>
        </w:trPr>
        <w:tc>
          <w:tcPr>
            <w:tcW w:w="9196" w:type="dxa"/>
          </w:tcPr>
          <w:p>
            <w:pPr>
              <w:pStyle w:val="TableParagraph"/>
              <w:spacing w:before="148"/>
              <w:ind w:left="175"/>
              <w:rPr>
                <w:sz w:val="20"/>
              </w:rPr>
            </w:pPr>
            <w:r>
              <w:rPr>
                <w:sz w:val="20"/>
              </w:rPr>
              <w:t>En cas de ser treballadors per compte d’altri, </w:t>
            </w:r>
            <w:r>
              <w:rPr>
                <w:b/>
                <w:sz w:val="20"/>
              </w:rPr>
              <w:t>nòmines </w:t>
            </w:r>
            <w:r>
              <w:rPr>
                <w:sz w:val="20"/>
              </w:rPr>
              <w:t>dels últims tres mesos.</w:t>
            </w:r>
          </w:p>
          <w:p>
            <w:pPr>
              <w:pStyle w:val="TableParagraph"/>
              <w:spacing w:before="22"/>
              <w:ind w:left="175"/>
              <w:rPr>
                <w:i/>
                <w:sz w:val="20"/>
              </w:rPr>
            </w:pPr>
            <w:r>
              <w:rPr>
                <w:i/>
                <w:sz w:val="20"/>
              </w:rPr>
              <w:t>Es pot ometre si a l’extracte bancari consta de forma clara l’ingrés.</w:t>
            </w:r>
          </w:p>
        </w:tc>
      </w:tr>
    </w:tbl>
    <w:p>
      <w:pPr>
        <w:pStyle w:val="BodyText"/>
        <w:spacing w:before="11"/>
        <w:rPr>
          <w:sz w:val="28"/>
        </w:rPr>
      </w:pPr>
    </w:p>
    <w:p>
      <w:pPr>
        <w:spacing w:before="0"/>
        <w:ind w:left="427" w:right="0" w:firstLine="0"/>
        <w:jc w:val="left"/>
        <w:rPr>
          <w:i/>
          <w:sz w:val="18"/>
        </w:rPr>
      </w:pPr>
      <w:r>
        <w:rPr>
          <w:i/>
          <w:sz w:val="18"/>
        </w:rPr>
        <w:t>CONSIDERACIONS:</w:t>
      </w:r>
    </w:p>
    <w:p>
      <w:pPr>
        <w:pStyle w:val="BodyText"/>
        <w:rPr>
          <w:i/>
          <w:sz w:val="20"/>
        </w:rPr>
      </w:pPr>
    </w:p>
    <w:p>
      <w:pPr>
        <w:spacing w:line="276" w:lineRule="auto" w:before="0"/>
        <w:ind w:left="427" w:right="1342" w:firstLine="0"/>
        <w:jc w:val="both"/>
        <w:rPr>
          <w:i/>
          <w:sz w:val="18"/>
        </w:rPr>
      </w:pPr>
      <w:r>
        <w:rPr>
          <w:i/>
          <w:sz w:val="18"/>
        </w:rPr>
        <w:t>L’extracte de comptes bancaris serà exigible a totes aquelles persones de la unitat familiar que </w:t>
      </w:r>
      <w:r>
        <w:rPr>
          <w:i/>
          <w:sz w:val="18"/>
        </w:rPr>
        <w:t>en tinguin (inclús menors d’edat). La resta de documentació s’exigirà a tots els membres de la unitat familiar majors de 16 anys que es trobin capacitats per</w:t>
      </w:r>
      <w:r>
        <w:rPr>
          <w:i/>
          <w:spacing w:val="-8"/>
          <w:sz w:val="18"/>
        </w:rPr>
        <w:t> </w:t>
      </w:r>
      <w:r>
        <w:rPr>
          <w:i/>
          <w:sz w:val="18"/>
        </w:rPr>
        <w:t>treballar.</w:t>
      </w:r>
    </w:p>
    <w:p>
      <w:pPr>
        <w:pStyle w:val="BodyText"/>
        <w:spacing w:before="5"/>
        <w:rPr>
          <w:i/>
          <w:sz w:val="17"/>
        </w:rPr>
      </w:pPr>
    </w:p>
    <w:p>
      <w:pPr>
        <w:spacing w:line="276" w:lineRule="auto" w:before="0"/>
        <w:ind w:left="427" w:right="1343" w:firstLine="0"/>
        <w:jc w:val="both"/>
        <w:rPr>
          <w:i/>
          <w:sz w:val="18"/>
        </w:rPr>
      </w:pPr>
      <w:r>
        <w:rPr>
          <w:i/>
          <w:sz w:val="18"/>
        </w:rPr>
        <w:t>NO es consideren capacitades per treballar les persones que acreditin una incapacitat temporal </w:t>
      </w:r>
      <w:r>
        <w:rPr>
          <w:i/>
          <w:sz w:val="18"/>
        </w:rPr>
        <w:t>(baixa mèdica), aquelles en edat de jubilació, les que rebin una prestació per incapacitat total o absoluta, o les que acreditin una discapacitat del 65% o superior.</w:t>
      </w:r>
    </w:p>
    <w:p>
      <w:pPr>
        <w:pStyle w:val="BodyText"/>
        <w:spacing w:before="4"/>
        <w:rPr>
          <w:i/>
          <w:sz w:val="17"/>
        </w:rPr>
      </w:pPr>
    </w:p>
    <w:p>
      <w:pPr>
        <w:spacing w:line="276" w:lineRule="auto" w:before="1"/>
        <w:ind w:left="427" w:right="1342" w:firstLine="0"/>
        <w:jc w:val="both"/>
        <w:rPr>
          <w:i/>
          <w:sz w:val="18"/>
        </w:rPr>
      </w:pPr>
      <w:r>
        <w:rPr>
          <w:i/>
          <w:sz w:val="18"/>
        </w:rPr>
        <w:t>NO es computarà com a membre de la unitat familiar aquella persona que no aporti </w:t>
      </w:r>
      <w:r>
        <w:rPr>
          <w:i/>
          <w:sz w:val="18"/>
        </w:rPr>
        <w:t>documentació per no disposar de DNI, NIE o targeta de residència, així com per trobar-se interna en un centre penitenciari o de salut</w:t>
      </w:r>
      <w:r>
        <w:rPr>
          <w:i/>
          <w:spacing w:val="-6"/>
          <w:sz w:val="18"/>
        </w:rPr>
        <w:t> </w:t>
      </w:r>
      <w:r>
        <w:rPr>
          <w:i/>
          <w:sz w:val="18"/>
        </w:rPr>
        <w:t>mental.</w:t>
      </w:r>
    </w:p>
    <w:p>
      <w:pPr>
        <w:spacing w:after="0" w:line="276" w:lineRule="auto"/>
        <w:jc w:val="both"/>
        <w:rPr>
          <w:sz w:val="18"/>
        </w:rPr>
        <w:sectPr>
          <w:pgSz w:w="11910" w:h="16840"/>
          <w:pgMar w:header="751" w:footer="1829" w:top="2860" w:bottom="2020" w:left="1560" w:right="800"/>
        </w:sectPr>
      </w:pPr>
    </w:p>
    <w:p>
      <w:pPr>
        <w:pStyle w:val="BodyText"/>
        <w:spacing w:before="4"/>
        <w:rPr>
          <w:i/>
          <w:sz w:val="15"/>
        </w:rPr>
      </w:pPr>
    </w:p>
    <w:p>
      <w:pPr>
        <w:spacing w:before="94"/>
        <w:ind w:left="427" w:right="0" w:firstLine="0"/>
        <w:jc w:val="left"/>
        <w:rPr>
          <w:b/>
          <w:sz w:val="22"/>
        </w:rPr>
      </w:pPr>
      <w:r>
        <w:rPr>
          <w:b/>
          <w:sz w:val="22"/>
        </w:rPr>
        <w:t>Annex 2. Taula de barems.</w:t>
      </w:r>
    </w:p>
    <w:p>
      <w:pPr>
        <w:pStyle w:val="BodyText"/>
        <w:spacing w:before="6"/>
        <w:rPr>
          <w:b/>
          <w:sz w:val="20"/>
        </w:rPr>
      </w:pPr>
    </w:p>
    <w:p>
      <w:pPr>
        <w:spacing w:line="276" w:lineRule="auto" w:before="1"/>
        <w:ind w:left="142" w:right="892" w:firstLine="0"/>
        <w:jc w:val="both"/>
        <w:rPr>
          <w:sz w:val="22"/>
        </w:rPr>
      </w:pPr>
      <w:r>
        <w:rPr>
          <w:sz w:val="22"/>
        </w:rPr>
        <w:t>Els límits màxims de l’import dels ingressos computables per sol·licitar l’ajuda l’any 2025, seran els següents, (els valors d’aquesta taula s’actualitzaran de forma automàtica en entrar en vigor el nou IRSC, sense necessitat de modificació de les Bases o la convocatòria):</w:t>
      </w:r>
    </w:p>
    <w:p>
      <w:pPr>
        <w:pStyle w:val="BodyText"/>
        <w:spacing w:before="5"/>
        <w:rPr>
          <w:sz w:val="19"/>
        </w:rPr>
      </w:pPr>
    </w:p>
    <w:tbl>
      <w:tblPr>
        <w:tblW w:w="0" w:type="auto"/>
        <w:jc w:val="left"/>
        <w:tblInd w:w="2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417"/>
        <w:gridCol w:w="1317"/>
      </w:tblGrid>
      <w:tr>
        <w:trPr>
          <w:trHeight w:val="623" w:hRule="atLeast"/>
        </w:trPr>
        <w:tc>
          <w:tcPr>
            <w:tcW w:w="2417" w:type="dxa"/>
          </w:tcPr>
          <w:p>
            <w:pPr>
              <w:pStyle w:val="TableParagraph"/>
              <w:spacing w:before="98"/>
              <w:ind w:left="107"/>
              <w:rPr>
                <w:b/>
                <w:sz w:val="22"/>
              </w:rPr>
            </w:pPr>
            <w:r>
              <w:rPr>
                <w:b/>
                <w:sz w:val="22"/>
              </w:rPr>
              <w:t>UNITAT FAMILIAR</w:t>
            </w:r>
          </w:p>
        </w:tc>
        <w:tc>
          <w:tcPr>
            <w:tcW w:w="1317" w:type="dxa"/>
          </w:tcPr>
          <w:p>
            <w:pPr>
              <w:pStyle w:val="TableParagraph"/>
              <w:spacing w:before="60"/>
              <w:ind w:right="75"/>
              <w:jc w:val="center"/>
              <w:rPr>
                <w:b/>
                <w:sz w:val="22"/>
              </w:rPr>
            </w:pPr>
            <w:r>
              <w:rPr>
                <w:b/>
                <w:sz w:val="22"/>
              </w:rPr>
              <w:t>IRSC X 1’5</w:t>
            </w:r>
          </w:p>
        </w:tc>
      </w:tr>
      <w:tr>
        <w:trPr>
          <w:trHeight w:val="522" w:hRule="atLeast"/>
        </w:trPr>
        <w:tc>
          <w:tcPr>
            <w:tcW w:w="2417" w:type="dxa"/>
          </w:tcPr>
          <w:p>
            <w:pPr>
              <w:pStyle w:val="TableParagraph"/>
              <w:ind w:left="813" w:right="809"/>
              <w:jc w:val="center"/>
              <w:rPr>
                <w:sz w:val="20"/>
              </w:rPr>
            </w:pPr>
            <w:r>
              <w:rPr>
                <w:sz w:val="20"/>
              </w:rPr>
              <w:t>Un adult</w:t>
            </w:r>
          </w:p>
        </w:tc>
        <w:tc>
          <w:tcPr>
            <w:tcW w:w="1317" w:type="dxa"/>
          </w:tcPr>
          <w:p>
            <w:pPr>
              <w:pStyle w:val="TableParagraph"/>
              <w:ind w:right="23"/>
              <w:jc w:val="center"/>
              <w:rPr>
                <w:sz w:val="20"/>
              </w:rPr>
            </w:pPr>
            <w:r>
              <w:rPr>
                <w:sz w:val="20"/>
              </w:rPr>
              <w:t>1.133,73 €</w:t>
            </w:r>
          </w:p>
        </w:tc>
      </w:tr>
      <w:tr>
        <w:trPr>
          <w:trHeight w:val="520" w:hRule="atLeast"/>
        </w:trPr>
        <w:tc>
          <w:tcPr>
            <w:tcW w:w="2417" w:type="dxa"/>
          </w:tcPr>
          <w:p>
            <w:pPr>
              <w:pStyle w:val="TableParagraph"/>
              <w:ind w:left="295"/>
              <w:rPr>
                <w:sz w:val="20"/>
              </w:rPr>
            </w:pPr>
            <w:r>
              <w:rPr>
                <w:sz w:val="20"/>
              </w:rPr>
              <w:t>Un adult i un menor*</w:t>
            </w:r>
          </w:p>
        </w:tc>
        <w:tc>
          <w:tcPr>
            <w:tcW w:w="1317" w:type="dxa"/>
          </w:tcPr>
          <w:p>
            <w:pPr>
              <w:pStyle w:val="TableParagraph"/>
              <w:ind w:right="23"/>
              <w:jc w:val="center"/>
              <w:rPr>
                <w:sz w:val="20"/>
              </w:rPr>
            </w:pPr>
            <w:r>
              <w:rPr>
                <w:sz w:val="20"/>
              </w:rPr>
              <w:t>1.473,85 €</w:t>
            </w:r>
          </w:p>
        </w:tc>
      </w:tr>
      <w:tr>
        <w:trPr>
          <w:trHeight w:val="522" w:hRule="atLeast"/>
        </w:trPr>
        <w:tc>
          <w:tcPr>
            <w:tcW w:w="2417" w:type="dxa"/>
          </w:tcPr>
          <w:p>
            <w:pPr>
              <w:pStyle w:val="TableParagraph"/>
              <w:ind w:left="235"/>
              <w:rPr>
                <w:sz w:val="20"/>
              </w:rPr>
            </w:pPr>
            <w:r>
              <w:rPr>
                <w:sz w:val="20"/>
              </w:rPr>
              <w:t>Un adult i dos menors</w:t>
            </w:r>
          </w:p>
        </w:tc>
        <w:tc>
          <w:tcPr>
            <w:tcW w:w="1317" w:type="dxa"/>
          </w:tcPr>
          <w:p>
            <w:pPr>
              <w:pStyle w:val="TableParagraph"/>
              <w:ind w:right="23"/>
              <w:jc w:val="center"/>
              <w:rPr>
                <w:sz w:val="20"/>
              </w:rPr>
            </w:pPr>
            <w:r>
              <w:rPr>
                <w:sz w:val="20"/>
              </w:rPr>
              <w:t>1.813,97 €</w:t>
            </w:r>
          </w:p>
        </w:tc>
      </w:tr>
      <w:tr>
        <w:trPr>
          <w:trHeight w:val="520" w:hRule="atLeast"/>
        </w:trPr>
        <w:tc>
          <w:tcPr>
            <w:tcW w:w="2417" w:type="dxa"/>
          </w:tcPr>
          <w:p>
            <w:pPr>
              <w:pStyle w:val="TableParagraph"/>
              <w:spacing w:before="54"/>
              <w:ind w:left="230"/>
              <w:rPr>
                <w:sz w:val="20"/>
              </w:rPr>
            </w:pPr>
            <w:r>
              <w:rPr>
                <w:sz w:val="20"/>
              </w:rPr>
              <w:t>Un adult i tres menors</w:t>
            </w:r>
          </w:p>
        </w:tc>
        <w:tc>
          <w:tcPr>
            <w:tcW w:w="1317" w:type="dxa"/>
          </w:tcPr>
          <w:p>
            <w:pPr>
              <w:pStyle w:val="TableParagraph"/>
              <w:spacing w:before="54"/>
              <w:ind w:right="23"/>
              <w:jc w:val="center"/>
              <w:rPr>
                <w:sz w:val="20"/>
              </w:rPr>
            </w:pPr>
            <w:r>
              <w:rPr>
                <w:sz w:val="20"/>
              </w:rPr>
              <w:t>2.154,09 €</w:t>
            </w:r>
          </w:p>
        </w:tc>
      </w:tr>
      <w:tr>
        <w:trPr>
          <w:trHeight w:val="520" w:hRule="atLeast"/>
        </w:trPr>
        <w:tc>
          <w:tcPr>
            <w:tcW w:w="2417" w:type="dxa"/>
          </w:tcPr>
          <w:p>
            <w:pPr>
              <w:pStyle w:val="TableParagraph"/>
              <w:ind w:left="734"/>
              <w:rPr>
                <w:sz w:val="20"/>
              </w:rPr>
            </w:pPr>
            <w:r>
              <w:rPr>
                <w:sz w:val="20"/>
              </w:rPr>
              <w:t>Dos adults</w:t>
            </w:r>
          </w:p>
        </w:tc>
        <w:tc>
          <w:tcPr>
            <w:tcW w:w="1317" w:type="dxa"/>
          </w:tcPr>
          <w:p>
            <w:pPr>
              <w:pStyle w:val="TableParagraph"/>
              <w:ind w:right="23"/>
              <w:jc w:val="center"/>
              <w:rPr>
                <w:sz w:val="20"/>
              </w:rPr>
            </w:pPr>
            <w:r>
              <w:rPr>
                <w:sz w:val="20"/>
              </w:rPr>
              <w:t>1.700,60 €</w:t>
            </w:r>
          </w:p>
        </w:tc>
      </w:tr>
      <w:tr>
        <w:trPr>
          <w:trHeight w:val="522" w:hRule="atLeast"/>
        </w:trPr>
        <w:tc>
          <w:tcPr>
            <w:tcW w:w="2417" w:type="dxa"/>
          </w:tcPr>
          <w:p>
            <w:pPr>
              <w:pStyle w:val="TableParagraph"/>
              <w:ind w:left="235"/>
              <w:rPr>
                <w:sz w:val="20"/>
              </w:rPr>
            </w:pPr>
            <w:r>
              <w:rPr>
                <w:sz w:val="20"/>
              </w:rPr>
              <w:t>Dos adults i un menor</w:t>
            </w:r>
          </w:p>
        </w:tc>
        <w:tc>
          <w:tcPr>
            <w:tcW w:w="1317" w:type="dxa"/>
          </w:tcPr>
          <w:p>
            <w:pPr>
              <w:pStyle w:val="TableParagraph"/>
              <w:ind w:right="23"/>
              <w:jc w:val="center"/>
              <w:rPr>
                <w:sz w:val="20"/>
              </w:rPr>
            </w:pPr>
            <w:r>
              <w:rPr>
                <w:sz w:val="20"/>
              </w:rPr>
              <w:t>2.040,71 €</w:t>
            </w:r>
          </w:p>
        </w:tc>
      </w:tr>
      <w:tr>
        <w:trPr>
          <w:trHeight w:val="520" w:hRule="atLeast"/>
        </w:trPr>
        <w:tc>
          <w:tcPr>
            <w:tcW w:w="2417" w:type="dxa"/>
          </w:tcPr>
          <w:p>
            <w:pPr>
              <w:pStyle w:val="TableParagraph"/>
              <w:ind w:left="134"/>
              <w:rPr>
                <w:sz w:val="20"/>
              </w:rPr>
            </w:pPr>
            <w:r>
              <w:rPr>
                <w:sz w:val="20"/>
              </w:rPr>
              <w:t>Dos adults i dos menors</w:t>
            </w:r>
          </w:p>
        </w:tc>
        <w:tc>
          <w:tcPr>
            <w:tcW w:w="1317" w:type="dxa"/>
          </w:tcPr>
          <w:p>
            <w:pPr>
              <w:pStyle w:val="TableParagraph"/>
              <w:ind w:right="23"/>
              <w:jc w:val="center"/>
              <w:rPr>
                <w:sz w:val="20"/>
              </w:rPr>
            </w:pPr>
            <w:r>
              <w:rPr>
                <w:sz w:val="20"/>
              </w:rPr>
              <w:t>2.380,83 €</w:t>
            </w:r>
          </w:p>
        </w:tc>
      </w:tr>
      <w:tr>
        <w:trPr>
          <w:trHeight w:val="522" w:hRule="atLeast"/>
        </w:trPr>
        <w:tc>
          <w:tcPr>
            <w:tcW w:w="2417" w:type="dxa"/>
          </w:tcPr>
          <w:p>
            <w:pPr>
              <w:pStyle w:val="TableParagraph"/>
              <w:ind w:left="129"/>
              <w:rPr>
                <w:sz w:val="20"/>
              </w:rPr>
            </w:pPr>
            <w:r>
              <w:rPr>
                <w:sz w:val="20"/>
              </w:rPr>
              <w:t>Dos adults i tres menors</w:t>
            </w:r>
          </w:p>
        </w:tc>
        <w:tc>
          <w:tcPr>
            <w:tcW w:w="1317" w:type="dxa"/>
          </w:tcPr>
          <w:p>
            <w:pPr>
              <w:pStyle w:val="TableParagraph"/>
              <w:ind w:right="23"/>
              <w:jc w:val="center"/>
              <w:rPr>
                <w:sz w:val="20"/>
              </w:rPr>
            </w:pPr>
            <w:r>
              <w:rPr>
                <w:sz w:val="20"/>
              </w:rPr>
              <w:t>2.720,95 €</w:t>
            </w:r>
          </w:p>
        </w:tc>
      </w:tr>
      <w:tr>
        <w:trPr>
          <w:trHeight w:val="520" w:hRule="atLeast"/>
        </w:trPr>
        <w:tc>
          <w:tcPr>
            <w:tcW w:w="2417" w:type="dxa"/>
          </w:tcPr>
          <w:p>
            <w:pPr>
              <w:pStyle w:val="TableParagraph"/>
              <w:ind w:left="712"/>
              <w:rPr>
                <w:sz w:val="20"/>
              </w:rPr>
            </w:pPr>
            <w:r>
              <w:rPr>
                <w:sz w:val="20"/>
              </w:rPr>
              <w:t>Tres adults</w:t>
            </w:r>
          </w:p>
        </w:tc>
        <w:tc>
          <w:tcPr>
            <w:tcW w:w="1317" w:type="dxa"/>
          </w:tcPr>
          <w:p>
            <w:pPr>
              <w:pStyle w:val="TableParagraph"/>
              <w:ind w:right="23"/>
              <w:jc w:val="center"/>
              <w:rPr>
                <w:sz w:val="20"/>
              </w:rPr>
            </w:pPr>
            <w:r>
              <w:rPr>
                <w:sz w:val="20"/>
              </w:rPr>
              <w:t>2.267,46 €</w:t>
            </w:r>
          </w:p>
        </w:tc>
      </w:tr>
      <w:tr>
        <w:trPr>
          <w:trHeight w:val="522" w:hRule="atLeast"/>
        </w:trPr>
        <w:tc>
          <w:tcPr>
            <w:tcW w:w="2417" w:type="dxa"/>
          </w:tcPr>
          <w:p>
            <w:pPr>
              <w:pStyle w:val="TableParagraph"/>
              <w:ind w:left="213"/>
              <w:rPr>
                <w:sz w:val="20"/>
              </w:rPr>
            </w:pPr>
            <w:r>
              <w:rPr>
                <w:sz w:val="20"/>
              </w:rPr>
              <w:t>Tres adults i un menor</w:t>
            </w:r>
          </w:p>
        </w:tc>
        <w:tc>
          <w:tcPr>
            <w:tcW w:w="1317" w:type="dxa"/>
          </w:tcPr>
          <w:p>
            <w:pPr>
              <w:pStyle w:val="TableParagraph"/>
              <w:ind w:right="23"/>
              <w:jc w:val="center"/>
              <w:rPr>
                <w:sz w:val="20"/>
              </w:rPr>
            </w:pPr>
            <w:r>
              <w:rPr>
                <w:sz w:val="20"/>
              </w:rPr>
              <w:t>2.607,58 €</w:t>
            </w:r>
          </w:p>
        </w:tc>
      </w:tr>
      <w:tr>
        <w:trPr>
          <w:trHeight w:val="520" w:hRule="atLeast"/>
        </w:trPr>
        <w:tc>
          <w:tcPr>
            <w:tcW w:w="2417" w:type="dxa"/>
          </w:tcPr>
          <w:p>
            <w:pPr>
              <w:pStyle w:val="TableParagraph"/>
              <w:ind w:left="112"/>
              <w:rPr>
                <w:sz w:val="20"/>
              </w:rPr>
            </w:pPr>
            <w:r>
              <w:rPr>
                <w:sz w:val="20"/>
              </w:rPr>
              <w:t>Tres adults i dos menors</w:t>
            </w:r>
          </w:p>
        </w:tc>
        <w:tc>
          <w:tcPr>
            <w:tcW w:w="1317" w:type="dxa"/>
          </w:tcPr>
          <w:p>
            <w:pPr>
              <w:pStyle w:val="TableParagraph"/>
              <w:ind w:right="23"/>
              <w:jc w:val="center"/>
              <w:rPr>
                <w:sz w:val="20"/>
              </w:rPr>
            </w:pPr>
            <w:r>
              <w:rPr>
                <w:sz w:val="20"/>
              </w:rPr>
              <w:t>2.947,70 €</w:t>
            </w:r>
          </w:p>
        </w:tc>
      </w:tr>
      <w:tr>
        <w:trPr>
          <w:trHeight w:val="681" w:hRule="atLeast"/>
        </w:trPr>
        <w:tc>
          <w:tcPr>
            <w:tcW w:w="2417" w:type="dxa"/>
          </w:tcPr>
          <w:p>
            <w:pPr>
              <w:pStyle w:val="TableParagraph"/>
              <w:spacing w:before="136"/>
              <w:ind w:left="107"/>
              <w:rPr>
                <w:sz w:val="20"/>
              </w:rPr>
            </w:pPr>
            <w:r>
              <w:rPr>
                <w:sz w:val="20"/>
              </w:rPr>
              <w:t>Tres adults i tres menors</w:t>
            </w:r>
          </w:p>
        </w:tc>
        <w:tc>
          <w:tcPr>
            <w:tcW w:w="1317" w:type="dxa"/>
          </w:tcPr>
          <w:p>
            <w:pPr>
              <w:pStyle w:val="TableParagraph"/>
              <w:ind w:right="23"/>
              <w:jc w:val="center"/>
              <w:rPr>
                <w:sz w:val="20"/>
              </w:rPr>
            </w:pPr>
            <w:r>
              <w:rPr>
                <w:sz w:val="20"/>
              </w:rPr>
              <w:t>3.287,82 €</w:t>
            </w:r>
          </w:p>
        </w:tc>
      </w:tr>
    </w:tbl>
    <w:p>
      <w:pPr>
        <w:pStyle w:val="BodyText"/>
      </w:pPr>
    </w:p>
    <w:p>
      <w:pPr>
        <w:pStyle w:val="BodyText"/>
        <w:spacing w:before="6"/>
        <w:rPr>
          <w:sz w:val="32"/>
        </w:rPr>
      </w:pPr>
    </w:p>
    <w:p>
      <w:pPr>
        <w:spacing w:line="278" w:lineRule="auto" w:before="0"/>
        <w:ind w:left="142" w:right="897" w:firstLine="0"/>
        <w:jc w:val="both"/>
        <w:rPr>
          <w:i/>
          <w:sz w:val="22"/>
        </w:rPr>
      </w:pPr>
      <w:r>
        <w:rPr>
          <w:i/>
          <w:sz w:val="22"/>
        </w:rPr>
        <w:t>*Es consideraran menors les persones menors de 18 anys a data de presentació de la </w:t>
      </w:r>
      <w:r>
        <w:rPr>
          <w:i/>
          <w:sz w:val="22"/>
        </w:rPr>
        <w:t>sol·licitud.</w:t>
      </w:r>
    </w:p>
    <w:sectPr>
      <w:pgSz w:w="11910" w:h="16840"/>
      <w:pgMar w:header="751" w:footer="1829" w:top="2860" w:bottom="2020" w:left="1560" w:right="8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 w:name="Symbol">
    <w:altName w:val="Symbol"/>
    <w:charset w:val="2"/>
    <w:family w:val="roman"/>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149.020004pt;margin-top:739.48999pt;width:261.8pt;height:10.050pt;mso-position-horizontal-relative:page;mso-position-vertical-relative:page;z-index:-252036096" type="#_x0000_t202" filled="false" stroked="false">
          <v:textbox inset="0,0,0,0">
            <w:txbxContent>
              <w:p>
                <w:pPr>
                  <w:spacing w:line="184" w:lineRule="exact" w:before="0"/>
                  <w:ind w:left="20" w:right="0" w:firstLine="0"/>
                  <w:jc w:val="left"/>
                  <w:rPr>
                    <w:rFonts w:ascii="Calibri" w:hAnsi="Calibri"/>
                    <w:b/>
                    <w:sz w:val="16"/>
                  </w:rPr>
                </w:pPr>
                <w:r>
                  <w:rPr>
                    <w:rFonts w:ascii="Calibri" w:hAnsi="Calibri"/>
                    <w:b/>
                    <w:sz w:val="16"/>
                  </w:rPr>
                  <w:t>l </w:t>
                </w:r>
                <w:hyperlink r:id="rId1">
                  <w:r>
                    <w:rPr>
                      <w:rFonts w:ascii="Calibri" w:hAnsi="Calibri"/>
                      <w:sz w:val="16"/>
                    </w:rPr>
                    <w:t>www.deltebre.cat </w:t>
                  </w:r>
                </w:hyperlink>
                <w:r>
                  <w:rPr>
                    <w:rFonts w:ascii="Calibri" w:hAnsi="Calibri"/>
                    <w:b/>
                    <w:sz w:val="16"/>
                  </w:rPr>
                  <w:t>l </w:t>
                </w:r>
                <w:r>
                  <w:rPr>
                    <w:rFonts w:ascii="Calibri" w:hAnsi="Calibri"/>
                    <w:sz w:val="16"/>
                  </w:rPr>
                  <w:t>Tel. 977 489 309 </w:t>
                </w:r>
                <w:r>
                  <w:rPr>
                    <w:rFonts w:ascii="Calibri" w:hAnsi="Calibri"/>
                    <w:b/>
                    <w:sz w:val="16"/>
                  </w:rPr>
                  <w:t>l </w:t>
                </w:r>
                <w:r>
                  <w:rPr>
                    <w:rFonts w:ascii="Calibri" w:hAnsi="Calibri"/>
                    <w:sz w:val="16"/>
                  </w:rPr>
                  <w:t>Plaça Vint de Maig, s/n, 43580 Deltebre </w:t>
                </w:r>
                <w:r>
                  <w:rPr>
                    <w:rFonts w:ascii="Calibri" w:hAnsi="Calibri"/>
                    <w:b/>
                    <w:sz w:val="16"/>
                  </w:rPr>
                  <w:t>l</w:t>
                </w:r>
              </w:p>
            </w:txbxContent>
          </v:textbox>
          <w10:wrap type="none"/>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drawing>
        <wp:anchor distT="0" distB="0" distL="0" distR="0" allowOverlap="1" layoutInCell="1" locked="0" behindDoc="1" simplePos="0" relativeHeight="251278336">
          <wp:simplePos x="0" y="0"/>
          <wp:positionH relativeFrom="page">
            <wp:posOffset>815674</wp:posOffset>
          </wp:positionH>
          <wp:positionV relativeFrom="page">
            <wp:posOffset>477044</wp:posOffset>
          </wp:positionV>
          <wp:extent cx="1236296" cy="863928"/>
          <wp:effectExtent l="0" t="0" r="0" b="0"/>
          <wp:wrapNone/>
          <wp:docPr id="1" name="image1.png"/>
          <wp:cNvGraphicFramePr>
            <a:graphicFrameLocks noChangeAspect="1"/>
          </wp:cNvGraphicFramePr>
          <a:graphic>
            <a:graphicData uri="http://schemas.openxmlformats.org/drawingml/2006/picture">
              <pic:pic>
                <pic:nvPicPr>
                  <pic:cNvPr id="2" name="image1.png"/>
                  <pic:cNvPicPr/>
                </pic:nvPicPr>
                <pic:blipFill>
                  <a:blip r:embed="rId1" cstate="print"/>
                  <a:stretch>
                    <a:fillRect/>
                  </a:stretch>
                </pic:blipFill>
                <pic:spPr>
                  <a:xfrm>
                    <a:off x="0" y="0"/>
                    <a:ext cx="1236296" cy="863928"/>
                  </a:xfrm>
                  <a:prstGeom prst="rect">
                    <a:avLst/>
                  </a:prstGeom>
                </pic:spPr>
              </pic:pic>
            </a:graphicData>
          </a:graphic>
        </wp:anchor>
      </w:drawing>
    </w:r>
    <w:r>
      <w:rPr/>
      <w:pict>
        <v:shapetype id="_x0000_t202" o:spt="202" coordsize="21600,21600" path="m,l,21600r21600,l21600,xe">
          <v:stroke joinstyle="miter"/>
          <v:path gradientshapeok="t" o:connecttype="rect"/>
        </v:shapetype>
        <v:shape style="position:absolute;margin-left:62.863998pt;margin-top:115.356705pt;width:140.8pt;height:29.25pt;mso-position-horizontal-relative:page;mso-position-vertical-relative:page;z-index:-252037120" type="#_x0000_t202" filled="false" stroked="false">
          <v:textbox inset="0,0,0,0">
            <w:txbxContent>
              <w:p>
                <w:pPr>
                  <w:spacing w:before="12"/>
                  <w:ind w:left="20" w:right="0" w:firstLine="0"/>
                  <w:jc w:val="left"/>
                  <w:rPr>
                    <w:b/>
                    <w:sz w:val="24"/>
                  </w:rPr>
                </w:pPr>
                <w:r>
                  <w:rPr>
                    <w:b/>
                    <w:sz w:val="24"/>
                  </w:rPr>
                  <w:t>Àrea #DeltebreProjecció</w:t>
                </w:r>
              </w:p>
              <w:p>
                <w:pPr>
                  <w:pStyle w:val="BodyText"/>
                  <w:ind w:left="20"/>
                </w:pPr>
                <w:r>
                  <w:rPr/>
                  <w:t>Servei a les Persones</w:t>
                </w:r>
              </w:p>
            </w:txbxContent>
          </v:textbox>
          <w10:wrap type="non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multiLevelType w:val="hybridMultilevel"/>
    <w:lvl w:ilvl="0">
      <w:start w:val="0"/>
      <w:numFmt w:val="bullet"/>
      <w:lvlText w:val="-"/>
      <w:lvlJc w:val="left"/>
      <w:pPr>
        <w:ind w:left="787" w:hanging="360"/>
      </w:pPr>
      <w:rPr>
        <w:rFonts w:hint="default" w:ascii="Arial" w:hAnsi="Arial" w:eastAsia="Arial" w:cs="Arial"/>
        <w:spacing w:val="-3"/>
        <w:w w:val="99"/>
        <w:sz w:val="24"/>
        <w:szCs w:val="24"/>
        <w:lang w:val="es-es" w:eastAsia="es-es" w:bidi="es-es"/>
      </w:rPr>
    </w:lvl>
    <w:lvl w:ilvl="1">
      <w:start w:val="0"/>
      <w:numFmt w:val="bullet"/>
      <w:lvlText w:val="•"/>
      <w:lvlJc w:val="left"/>
      <w:pPr>
        <w:ind w:left="1656" w:hanging="360"/>
      </w:pPr>
      <w:rPr>
        <w:rFonts w:hint="default"/>
        <w:lang w:val="es-es" w:eastAsia="es-es" w:bidi="es-es"/>
      </w:rPr>
    </w:lvl>
    <w:lvl w:ilvl="2">
      <w:start w:val="0"/>
      <w:numFmt w:val="bullet"/>
      <w:lvlText w:val="•"/>
      <w:lvlJc w:val="left"/>
      <w:pPr>
        <w:ind w:left="2533" w:hanging="360"/>
      </w:pPr>
      <w:rPr>
        <w:rFonts w:hint="default"/>
        <w:lang w:val="es-es" w:eastAsia="es-es" w:bidi="es-es"/>
      </w:rPr>
    </w:lvl>
    <w:lvl w:ilvl="3">
      <w:start w:val="0"/>
      <w:numFmt w:val="bullet"/>
      <w:lvlText w:val="•"/>
      <w:lvlJc w:val="left"/>
      <w:pPr>
        <w:ind w:left="3409" w:hanging="360"/>
      </w:pPr>
      <w:rPr>
        <w:rFonts w:hint="default"/>
        <w:lang w:val="es-es" w:eastAsia="es-es" w:bidi="es-es"/>
      </w:rPr>
    </w:lvl>
    <w:lvl w:ilvl="4">
      <w:start w:val="0"/>
      <w:numFmt w:val="bullet"/>
      <w:lvlText w:val="•"/>
      <w:lvlJc w:val="left"/>
      <w:pPr>
        <w:ind w:left="4286" w:hanging="360"/>
      </w:pPr>
      <w:rPr>
        <w:rFonts w:hint="default"/>
        <w:lang w:val="es-es" w:eastAsia="es-es" w:bidi="es-es"/>
      </w:rPr>
    </w:lvl>
    <w:lvl w:ilvl="5">
      <w:start w:val="0"/>
      <w:numFmt w:val="bullet"/>
      <w:lvlText w:val="•"/>
      <w:lvlJc w:val="left"/>
      <w:pPr>
        <w:ind w:left="5163" w:hanging="360"/>
      </w:pPr>
      <w:rPr>
        <w:rFonts w:hint="default"/>
        <w:lang w:val="es-es" w:eastAsia="es-es" w:bidi="es-es"/>
      </w:rPr>
    </w:lvl>
    <w:lvl w:ilvl="6">
      <w:start w:val="0"/>
      <w:numFmt w:val="bullet"/>
      <w:lvlText w:val="•"/>
      <w:lvlJc w:val="left"/>
      <w:pPr>
        <w:ind w:left="6039" w:hanging="360"/>
      </w:pPr>
      <w:rPr>
        <w:rFonts w:hint="default"/>
        <w:lang w:val="es-es" w:eastAsia="es-es" w:bidi="es-es"/>
      </w:rPr>
    </w:lvl>
    <w:lvl w:ilvl="7">
      <w:start w:val="0"/>
      <w:numFmt w:val="bullet"/>
      <w:lvlText w:val="•"/>
      <w:lvlJc w:val="left"/>
      <w:pPr>
        <w:ind w:left="6916" w:hanging="360"/>
      </w:pPr>
      <w:rPr>
        <w:rFonts w:hint="default"/>
        <w:lang w:val="es-es" w:eastAsia="es-es" w:bidi="es-es"/>
      </w:rPr>
    </w:lvl>
    <w:lvl w:ilvl="8">
      <w:start w:val="0"/>
      <w:numFmt w:val="bullet"/>
      <w:lvlText w:val="•"/>
      <w:lvlJc w:val="left"/>
      <w:pPr>
        <w:ind w:left="7793" w:hanging="360"/>
      </w:pPr>
      <w:rPr>
        <w:rFonts w:hint="default"/>
        <w:lang w:val="es-es" w:eastAsia="es-es" w:bidi="es-es"/>
      </w:rPr>
    </w:lvl>
  </w:abstractNum>
  <w:abstractNum w:abstractNumId="3">
    <w:multiLevelType w:val="hybridMultilevel"/>
    <w:lvl w:ilvl="0">
      <w:start w:val="0"/>
      <w:numFmt w:val="bullet"/>
      <w:lvlText w:val=""/>
      <w:lvlJc w:val="left"/>
      <w:pPr>
        <w:ind w:left="862" w:hanging="348"/>
      </w:pPr>
      <w:rPr>
        <w:rFonts w:hint="default" w:ascii="Symbol" w:hAnsi="Symbol" w:eastAsia="Symbol" w:cs="Symbol"/>
        <w:w w:val="100"/>
        <w:sz w:val="24"/>
        <w:szCs w:val="24"/>
        <w:lang w:val="es-es" w:eastAsia="es-es" w:bidi="es-es"/>
      </w:rPr>
    </w:lvl>
    <w:lvl w:ilvl="1">
      <w:start w:val="0"/>
      <w:numFmt w:val="bullet"/>
      <w:lvlText w:val="•"/>
      <w:lvlJc w:val="left"/>
      <w:pPr>
        <w:ind w:left="1728" w:hanging="348"/>
      </w:pPr>
      <w:rPr>
        <w:rFonts w:hint="default"/>
        <w:lang w:val="es-es" w:eastAsia="es-es" w:bidi="es-es"/>
      </w:rPr>
    </w:lvl>
    <w:lvl w:ilvl="2">
      <w:start w:val="0"/>
      <w:numFmt w:val="bullet"/>
      <w:lvlText w:val="•"/>
      <w:lvlJc w:val="left"/>
      <w:pPr>
        <w:ind w:left="2597" w:hanging="348"/>
      </w:pPr>
      <w:rPr>
        <w:rFonts w:hint="default"/>
        <w:lang w:val="es-es" w:eastAsia="es-es" w:bidi="es-es"/>
      </w:rPr>
    </w:lvl>
    <w:lvl w:ilvl="3">
      <w:start w:val="0"/>
      <w:numFmt w:val="bullet"/>
      <w:lvlText w:val="•"/>
      <w:lvlJc w:val="left"/>
      <w:pPr>
        <w:ind w:left="3465" w:hanging="348"/>
      </w:pPr>
      <w:rPr>
        <w:rFonts w:hint="default"/>
        <w:lang w:val="es-es" w:eastAsia="es-es" w:bidi="es-es"/>
      </w:rPr>
    </w:lvl>
    <w:lvl w:ilvl="4">
      <w:start w:val="0"/>
      <w:numFmt w:val="bullet"/>
      <w:lvlText w:val="•"/>
      <w:lvlJc w:val="left"/>
      <w:pPr>
        <w:ind w:left="4334" w:hanging="348"/>
      </w:pPr>
      <w:rPr>
        <w:rFonts w:hint="default"/>
        <w:lang w:val="es-es" w:eastAsia="es-es" w:bidi="es-es"/>
      </w:rPr>
    </w:lvl>
    <w:lvl w:ilvl="5">
      <w:start w:val="0"/>
      <w:numFmt w:val="bullet"/>
      <w:lvlText w:val="•"/>
      <w:lvlJc w:val="left"/>
      <w:pPr>
        <w:ind w:left="5203" w:hanging="348"/>
      </w:pPr>
      <w:rPr>
        <w:rFonts w:hint="default"/>
        <w:lang w:val="es-es" w:eastAsia="es-es" w:bidi="es-es"/>
      </w:rPr>
    </w:lvl>
    <w:lvl w:ilvl="6">
      <w:start w:val="0"/>
      <w:numFmt w:val="bullet"/>
      <w:lvlText w:val="•"/>
      <w:lvlJc w:val="left"/>
      <w:pPr>
        <w:ind w:left="6071" w:hanging="348"/>
      </w:pPr>
      <w:rPr>
        <w:rFonts w:hint="default"/>
        <w:lang w:val="es-es" w:eastAsia="es-es" w:bidi="es-es"/>
      </w:rPr>
    </w:lvl>
    <w:lvl w:ilvl="7">
      <w:start w:val="0"/>
      <w:numFmt w:val="bullet"/>
      <w:lvlText w:val="•"/>
      <w:lvlJc w:val="left"/>
      <w:pPr>
        <w:ind w:left="6940" w:hanging="348"/>
      </w:pPr>
      <w:rPr>
        <w:rFonts w:hint="default"/>
        <w:lang w:val="es-es" w:eastAsia="es-es" w:bidi="es-es"/>
      </w:rPr>
    </w:lvl>
    <w:lvl w:ilvl="8">
      <w:start w:val="0"/>
      <w:numFmt w:val="bullet"/>
      <w:lvlText w:val="•"/>
      <w:lvlJc w:val="left"/>
      <w:pPr>
        <w:ind w:left="7809" w:hanging="348"/>
      </w:pPr>
      <w:rPr>
        <w:rFonts w:hint="default"/>
        <w:lang w:val="es-es" w:eastAsia="es-es" w:bidi="es-es"/>
      </w:rPr>
    </w:lvl>
  </w:abstractNum>
  <w:abstractNum w:abstractNumId="2">
    <w:multiLevelType w:val="hybridMultilevel"/>
    <w:lvl w:ilvl="0">
      <w:start w:val="1"/>
      <w:numFmt w:val="lowerLetter"/>
      <w:lvlText w:val="%1)"/>
      <w:lvlJc w:val="left"/>
      <w:pPr>
        <w:ind w:left="862" w:hanging="348"/>
        <w:jc w:val="left"/>
      </w:pPr>
      <w:rPr>
        <w:rFonts w:hint="default" w:ascii="Arial" w:hAnsi="Arial" w:eastAsia="Arial" w:cs="Arial"/>
        <w:w w:val="99"/>
        <w:sz w:val="24"/>
        <w:szCs w:val="24"/>
        <w:lang w:val="es-es" w:eastAsia="es-es" w:bidi="es-es"/>
      </w:rPr>
    </w:lvl>
    <w:lvl w:ilvl="1">
      <w:start w:val="0"/>
      <w:numFmt w:val="bullet"/>
      <w:lvlText w:val="•"/>
      <w:lvlJc w:val="left"/>
      <w:pPr>
        <w:ind w:left="850" w:hanging="219"/>
      </w:pPr>
      <w:rPr>
        <w:rFonts w:hint="default" w:ascii="Arial" w:hAnsi="Arial" w:eastAsia="Arial" w:cs="Arial"/>
        <w:spacing w:val="-4"/>
        <w:w w:val="100"/>
        <w:sz w:val="24"/>
        <w:szCs w:val="24"/>
        <w:lang w:val="es-es" w:eastAsia="es-es" w:bidi="es-es"/>
      </w:rPr>
    </w:lvl>
    <w:lvl w:ilvl="2">
      <w:start w:val="0"/>
      <w:numFmt w:val="bullet"/>
      <w:lvlText w:val="•"/>
      <w:lvlJc w:val="left"/>
      <w:pPr>
        <w:ind w:left="2597" w:hanging="219"/>
      </w:pPr>
      <w:rPr>
        <w:rFonts w:hint="default"/>
        <w:lang w:val="es-es" w:eastAsia="es-es" w:bidi="es-es"/>
      </w:rPr>
    </w:lvl>
    <w:lvl w:ilvl="3">
      <w:start w:val="0"/>
      <w:numFmt w:val="bullet"/>
      <w:lvlText w:val="•"/>
      <w:lvlJc w:val="left"/>
      <w:pPr>
        <w:ind w:left="3465" w:hanging="219"/>
      </w:pPr>
      <w:rPr>
        <w:rFonts w:hint="default"/>
        <w:lang w:val="es-es" w:eastAsia="es-es" w:bidi="es-es"/>
      </w:rPr>
    </w:lvl>
    <w:lvl w:ilvl="4">
      <w:start w:val="0"/>
      <w:numFmt w:val="bullet"/>
      <w:lvlText w:val="•"/>
      <w:lvlJc w:val="left"/>
      <w:pPr>
        <w:ind w:left="4334" w:hanging="219"/>
      </w:pPr>
      <w:rPr>
        <w:rFonts w:hint="default"/>
        <w:lang w:val="es-es" w:eastAsia="es-es" w:bidi="es-es"/>
      </w:rPr>
    </w:lvl>
    <w:lvl w:ilvl="5">
      <w:start w:val="0"/>
      <w:numFmt w:val="bullet"/>
      <w:lvlText w:val="•"/>
      <w:lvlJc w:val="left"/>
      <w:pPr>
        <w:ind w:left="5203" w:hanging="219"/>
      </w:pPr>
      <w:rPr>
        <w:rFonts w:hint="default"/>
        <w:lang w:val="es-es" w:eastAsia="es-es" w:bidi="es-es"/>
      </w:rPr>
    </w:lvl>
    <w:lvl w:ilvl="6">
      <w:start w:val="0"/>
      <w:numFmt w:val="bullet"/>
      <w:lvlText w:val="•"/>
      <w:lvlJc w:val="left"/>
      <w:pPr>
        <w:ind w:left="6071" w:hanging="219"/>
      </w:pPr>
      <w:rPr>
        <w:rFonts w:hint="default"/>
        <w:lang w:val="es-es" w:eastAsia="es-es" w:bidi="es-es"/>
      </w:rPr>
    </w:lvl>
    <w:lvl w:ilvl="7">
      <w:start w:val="0"/>
      <w:numFmt w:val="bullet"/>
      <w:lvlText w:val="•"/>
      <w:lvlJc w:val="left"/>
      <w:pPr>
        <w:ind w:left="6940" w:hanging="219"/>
      </w:pPr>
      <w:rPr>
        <w:rFonts w:hint="default"/>
        <w:lang w:val="es-es" w:eastAsia="es-es" w:bidi="es-es"/>
      </w:rPr>
    </w:lvl>
    <w:lvl w:ilvl="8">
      <w:start w:val="0"/>
      <w:numFmt w:val="bullet"/>
      <w:lvlText w:val="•"/>
      <w:lvlJc w:val="left"/>
      <w:pPr>
        <w:ind w:left="7809" w:hanging="219"/>
      </w:pPr>
      <w:rPr>
        <w:rFonts w:hint="default"/>
        <w:lang w:val="es-es" w:eastAsia="es-es" w:bidi="es-es"/>
      </w:rPr>
    </w:lvl>
  </w:abstractNum>
  <w:abstractNum w:abstractNumId="1">
    <w:multiLevelType w:val="hybridMultilevel"/>
    <w:lvl w:ilvl="0">
      <w:start w:val="1"/>
      <w:numFmt w:val="lowerLetter"/>
      <w:lvlText w:val="%1)"/>
      <w:lvlJc w:val="left"/>
      <w:pPr>
        <w:ind w:left="862" w:hanging="348"/>
        <w:jc w:val="left"/>
      </w:pPr>
      <w:rPr>
        <w:rFonts w:hint="default" w:ascii="Arial" w:hAnsi="Arial" w:eastAsia="Arial" w:cs="Arial"/>
        <w:spacing w:val="-1"/>
        <w:w w:val="100"/>
        <w:sz w:val="22"/>
        <w:szCs w:val="22"/>
        <w:lang w:val="es-es" w:eastAsia="es-es" w:bidi="es-es"/>
      </w:rPr>
    </w:lvl>
    <w:lvl w:ilvl="1">
      <w:start w:val="0"/>
      <w:numFmt w:val="bullet"/>
      <w:lvlText w:val=""/>
      <w:lvlJc w:val="left"/>
      <w:pPr>
        <w:ind w:left="1068" w:hanging="209"/>
      </w:pPr>
      <w:rPr>
        <w:rFonts w:hint="default" w:ascii="Symbol" w:hAnsi="Symbol" w:eastAsia="Symbol" w:cs="Symbol"/>
        <w:w w:val="100"/>
        <w:sz w:val="24"/>
        <w:szCs w:val="24"/>
        <w:lang w:val="es-es" w:eastAsia="es-es" w:bidi="es-es"/>
      </w:rPr>
    </w:lvl>
    <w:lvl w:ilvl="2">
      <w:start w:val="0"/>
      <w:numFmt w:val="bullet"/>
      <w:lvlText w:val="•"/>
      <w:lvlJc w:val="left"/>
      <w:pPr>
        <w:ind w:left="2002" w:hanging="209"/>
      </w:pPr>
      <w:rPr>
        <w:rFonts w:hint="default"/>
        <w:lang w:val="es-es" w:eastAsia="es-es" w:bidi="es-es"/>
      </w:rPr>
    </w:lvl>
    <w:lvl w:ilvl="3">
      <w:start w:val="0"/>
      <w:numFmt w:val="bullet"/>
      <w:lvlText w:val="•"/>
      <w:lvlJc w:val="left"/>
      <w:pPr>
        <w:ind w:left="2945" w:hanging="209"/>
      </w:pPr>
      <w:rPr>
        <w:rFonts w:hint="default"/>
        <w:lang w:val="es-es" w:eastAsia="es-es" w:bidi="es-es"/>
      </w:rPr>
    </w:lvl>
    <w:lvl w:ilvl="4">
      <w:start w:val="0"/>
      <w:numFmt w:val="bullet"/>
      <w:lvlText w:val="•"/>
      <w:lvlJc w:val="left"/>
      <w:pPr>
        <w:ind w:left="3888" w:hanging="209"/>
      </w:pPr>
      <w:rPr>
        <w:rFonts w:hint="default"/>
        <w:lang w:val="es-es" w:eastAsia="es-es" w:bidi="es-es"/>
      </w:rPr>
    </w:lvl>
    <w:lvl w:ilvl="5">
      <w:start w:val="0"/>
      <w:numFmt w:val="bullet"/>
      <w:lvlText w:val="•"/>
      <w:lvlJc w:val="left"/>
      <w:pPr>
        <w:ind w:left="4831" w:hanging="209"/>
      </w:pPr>
      <w:rPr>
        <w:rFonts w:hint="default"/>
        <w:lang w:val="es-es" w:eastAsia="es-es" w:bidi="es-es"/>
      </w:rPr>
    </w:lvl>
    <w:lvl w:ilvl="6">
      <w:start w:val="0"/>
      <w:numFmt w:val="bullet"/>
      <w:lvlText w:val="•"/>
      <w:lvlJc w:val="left"/>
      <w:pPr>
        <w:ind w:left="5774" w:hanging="209"/>
      </w:pPr>
      <w:rPr>
        <w:rFonts w:hint="default"/>
        <w:lang w:val="es-es" w:eastAsia="es-es" w:bidi="es-es"/>
      </w:rPr>
    </w:lvl>
    <w:lvl w:ilvl="7">
      <w:start w:val="0"/>
      <w:numFmt w:val="bullet"/>
      <w:lvlText w:val="•"/>
      <w:lvlJc w:val="left"/>
      <w:pPr>
        <w:ind w:left="6717" w:hanging="209"/>
      </w:pPr>
      <w:rPr>
        <w:rFonts w:hint="default"/>
        <w:lang w:val="es-es" w:eastAsia="es-es" w:bidi="es-es"/>
      </w:rPr>
    </w:lvl>
    <w:lvl w:ilvl="8">
      <w:start w:val="0"/>
      <w:numFmt w:val="bullet"/>
      <w:lvlText w:val="•"/>
      <w:lvlJc w:val="left"/>
      <w:pPr>
        <w:ind w:left="7660" w:hanging="209"/>
      </w:pPr>
      <w:rPr>
        <w:rFonts w:hint="default"/>
        <w:lang w:val="es-es" w:eastAsia="es-es" w:bidi="es-es"/>
      </w:rPr>
    </w:lvl>
  </w:abstractNum>
  <w:abstractNum w:abstractNumId="0">
    <w:multiLevelType w:val="hybridMultilevel"/>
    <w:lvl w:ilvl="0">
      <w:start w:val="1"/>
      <w:numFmt w:val="lowerLetter"/>
      <w:lvlText w:val="%1)"/>
      <w:lvlJc w:val="left"/>
      <w:pPr>
        <w:ind w:left="706" w:hanging="281"/>
        <w:jc w:val="left"/>
      </w:pPr>
      <w:rPr>
        <w:rFonts w:hint="default" w:ascii="Arial" w:hAnsi="Arial" w:eastAsia="Arial" w:cs="Arial"/>
        <w:w w:val="99"/>
        <w:sz w:val="24"/>
        <w:szCs w:val="24"/>
        <w:lang w:val="es-es" w:eastAsia="es-es" w:bidi="es-es"/>
      </w:rPr>
    </w:lvl>
    <w:lvl w:ilvl="1">
      <w:start w:val="0"/>
      <w:numFmt w:val="bullet"/>
      <w:lvlText w:val="•"/>
      <w:lvlJc w:val="left"/>
      <w:pPr>
        <w:ind w:left="1584" w:hanging="281"/>
      </w:pPr>
      <w:rPr>
        <w:rFonts w:hint="default"/>
        <w:lang w:val="es-es" w:eastAsia="es-es" w:bidi="es-es"/>
      </w:rPr>
    </w:lvl>
    <w:lvl w:ilvl="2">
      <w:start w:val="0"/>
      <w:numFmt w:val="bullet"/>
      <w:lvlText w:val="•"/>
      <w:lvlJc w:val="left"/>
      <w:pPr>
        <w:ind w:left="2469" w:hanging="281"/>
      </w:pPr>
      <w:rPr>
        <w:rFonts w:hint="default"/>
        <w:lang w:val="es-es" w:eastAsia="es-es" w:bidi="es-es"/>
      </w:rPr>
    </w:lvl>
    <w:lvl w:ilvl="3">
      <w:start w:val="0"/>
      <w:numFmt w:val="bullet"/>
      <w:lvlText w:val="•"/>
      <w:lvlJc w:val="left"/>
      <w:pPr>
        <w:ind w:left="3353" w:hanging="281"/>
      </w:pPr>
      <w:rPr>
        <w:rFonts w:hint="default"/>
        <w:lang w:val="es-es" w:eastAsia="es-es" w:bidi="es-es"/>
      </w:rPr>
    </w:lvl>
    <w:lvl w:ilvl="4">
      <w:start w:val="0"/>
      <w:numFmt w:val="bullet"/>
      <w:lvlText w:val="•"/>
      <w:lvlJc w:val="left"/>
      <w:pPr>
        <w:ind w:left="4238" w:hanging="281"/>
      </w:pPr>
      <w:rPr>
        <w:rFonts w:hint="default"/>
        <w:lang w:val="es-es" w:eastAsia="es-es" w:bidi="es-es"/>
      </w:rPr>
    </w:lvl>
    <w:lvl w:ilvl="5">
      <w:start w:val="0"/>
      <w:numFmt w:val="bullet"/>
      <w:lvlText w:val="•"/>
      <w:lvlJc w:val="left"/>
      <w:pPr>
        <w:ind w:left="5123" w:hanging="281"/>
      </w:pPr>
      <w:rPr>
        <w:rFonts w:hint="default"/>
        <w:lang w:val="es-es" w:eastAsia="es-es" w:bidi="es-es"/>
      </w:rPr>
    </w:lvl>
    <w:lvl w:ilvl="6">
      <w:start w:val="0"/>
      <w:numFmt w:val="bullet"/>
      <w:lvlText w:val="•"/>
      <w:lvlJc w:val="left"/>
      <w:pPr>
        <w:ind w:left="6007" w:hanging="281"/>
      </w:pPr>
      <w:rPr>
        <w:rFonts w:hint="default"/>
        <w:lang w:val="es-es" w:eastAsia="es-es" w:bidi="es-es"/>
      </w:rPr>
    </w:lvl>
    <w:lvl w:ilvl="7">
      <w:start w:val="0"/>
      <w:numFmt w:val="bullet"/>
      <w:lvlText w:val="•"/>
      <w:lvlJc w:val="left"/>
      <w:pPr>
        <w:ind w:left="6892" w:hanging="281"/>
      </w:pPr>
      <w:rPr>
        <w:rFonts w:hint="default"/>
        <w:lang w:val="es-es" w:eastAsia="es-es" w:bidi="es-es"/>
      </w:rPr>
    </w:lvl>
    <w:lvl w:ilvl="8">
      <w:start w:val="0"/>
      <w:numFmt w:val="bullet"/>
      <w:lvlText w:val="•"/>
      <w:lvlJc w:val="left"/>
      <w:pPr>
        <w:ind w:left="7777" w:hanging="281"/>
      </w:pPr>
      <w:rPr>
        <w:rFonts w:hint="default"/>
        <w:lang w:val="es-es" w:eastAsia="es-es" w:bidi="es-es"/>
      </w:rPr>
    </w:lvl>
  </w:abstract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s-es" w:eastAsia="es-es" w:bidi="es-es"/>
    </w:rPr>
  </w:style>
  <w:style w:styleId="BodyText" w:type="paragraph">
    <w:name w:val="Body Text"/>
    <w:basedOn w:val="Normal"/>
    <w:uiPriority w:val="1"/>
    <w:qFormat/>
    <w:pPr/>
    <w:rPr>
      <w:rFonts w:ascii="Arial" w:hAnsi="Arial" w:eastAsia="Arial" w:cs="Arial"/>
      <w:sz w:val="24"/>
      <w:szCs w:val="24"/>
      <w:lang w:val="es-es" w:eastAsia="es-es" w:bidi="es-es"/>
    </w:rPr>
  </w:style>
  <w:style w:styleId="Heading1" w:type="paragraph">
    <w:name w:val="Heading 1"/>
    <w:basedOn w:val="Normal"/>
    <w:uiPriority w:val="1"/>
    <w:qFormat/>
    <w:pPr>
      <w:ind w:left="142"/>
      <w:outlineLvl w:val="1"/>
    </w:pPr>
    <w:rPr>
      <w:rFonts w:ascii="Arial" w:hAnsi="Arial" w:eastAsia="Arial" w:cs="Arial"/>
      <w:b/>
      <w:bCs/>
      <w:sz w:val="24"/>
      <w:szCs w:val="24"/>
      <w:lang w:val="es-es" w:eastAsia="es-es" w:bidi="es-es"/>
    </w:rPr>
  </w:style>
  <w:style w:styleId="ListParagraph" w:type="paragraph">
    <w:name w:val="List Paragraph"/>
    <w:basedOn w:val="Normal"/>
    <w:uiPriority w:val="1"/>
    <w:qFormat/>
    <w:pPr>
      <w:ind w:left="861" w:hanging="360"/>
    </w:pPr>
    <w:rPr>
      <w:rFonts w:ascii="Arial" w:hAnsi="Arial" w:eastAsia="Arial" w:cs="Arial"/>
      <w:lang w:val="es-es" w:eastAsia="es-es" w:bidi="es-es"/>
    </w:rPr>
  </w:style>
  <w:style w:styleId="TableParagraph" w:type="paragraph">
    <w:name w:val="Table Paragraph"/>
    <w:basedOn w:val="Normal"/>
    <w:uiPriority w:val="1"/>
    <w:qFormat/>
    <w:pPr>
      <w:spacing w:before="57"/>
      <w:ind w:left="91"/>
    </w:pPr>
    <w:rPr>
      <w:rFonts w:ascii="Arial" w:hAnsi="Arial" w:eastAsia="Arial" w:cs="Arial"/>
      <w:lang w:val="es-es" w:eastAsia="es-es" w:bidi="es-es"/>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s>

</file>

<file path=word/_rels/footer1.xml.rels><?xml version="1.0" encoding="UTF-8" standalone="yes"?>
<Relationships xmlns="http://schemas.openxmlformats.org/package/2006/relationships"><Relationship Id="rId1" Type="http://schemas.openxmlformats.org/officeDocument/2006/relationships/hyperlink" Target="http://www.deltebre.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 Mateu</dc:creator>
  <dcterms:created xsi:type="dcterms:W3CDTF">2025-01-16T11:27:22Z</dcterms:created>
  <dcterms:modified xsi:type="dcterms:W3CDTF">2025-01-16T11:27:22Z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2025-01-09T00:00:00Z</vt:filetime>
  </property>
  <property fmtid="{D5CDD505-2E9C-101B-9397-08002B2CF9AE}" pid="3" name="Creator">
    <vt:lpwstr>Microsoft® Word LTSC</vt:lpwstr>
  </property>
  <property fmtid="{D5CDD505-2E9C-101B-9397-08002B2CF9AE}" pid="4" name="LastSaved">
    <vt:filetime>2025-01-16T00:00:00Z</vt:filetime>
  </property>
</Properties>
</file>