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rPr>
          <w:lang w:val="es-ES"/>
        </w:rPr>
      </w:pPr>
      <w:r>
        <w:rPr>
          <w:lang w:val="es-ES"/>
        </w:rPr>
        <mc:AlternateContent>
          <mc:Choice Requires="wps">
            <w:drawing>
              <wp:anchor behindDoc="0" distT="0" distB="9525" distL="0" distR="0" simplePos="0" locked="0" layoutInCell="0" allowOverlap="1" relativeHeight="2">
                <wp:simplePos x="0" y="0"/>
                <wp:positionH relativeFrom="leftMargin">
                  <wp:align>left</wp:align>
                </wp:positionH>
                <wp:positionV relativeFrom="page">
                  <wp:posOffset>0</wp:posOffset>
                </wp:positionV>
                <wp:extent cx="7661910" cy="219710"/>
                <wp:effectExtent l="0" t="0" r="0" b="9525"/>
                <wp:wrapNone/>
                <wp:docPr id="1" name="ODT_ATTR_LBL_SHAPE"/>
                <a:graphic xmlns:a="http://schemas.openxmlformats.org/drawingml/2006/main">
                  <a:graphicData uri="http://schemas.microsoft.com/office/word/2010/wordprocessingShape">
                    <wps:wsp>
                      <wps:cNvSpPr/>
                      <wps:spPr>
                        <a:xfrm>
                          <a:off x="0" y="0"/>
                          <a:ext cx="7661880" cy="219600"/>
                        </a:xfrm>
                        <a:prstGeom prst="rect">
                          <a:avLst/>
                        </a:prstGeom>
                        <a:solidFill>
                          <a:srgbClr val="f2f2f2"/>
                        </a:solidFill>
                        <a:ln w="9525">
                          <a:noFill/>
                        </a:ln>
                      </wps:spPr>
                      <wps:style>
                        <a:lnRef idx="0"/>
                        <a:fillRef idx="0"/>
                        <a:effectRef idx="0"/>
                        <a:fontRef idx="minor"/>
                      </wps:style>
                      <wps:txbx>
                        <w:txbxContent>
                          <w:p>
                            <w:pPr>
                              <w:pStyle w:val="Contenidodelmarco"/>
                              <w:spacing w:lineRule="auto" w:line="240" w:before="0" w:after="0"/>
                              <w:contextualSpacing/>
                              <w:jc w:val="start"/>
                              <w:rPr>
                                <w:color w:val="000000"/>
                                <w:lang w:val="es-ES"/>
                              </w:rPr>
                            </w:pPr>
                            <w:r>
                              <w:rPr>
                                <w:color w:val="000000"/>
                                <w:lang w:val="es-ES"/>
                              </w:rPr>
                            </w:r>
                          </w:p>
                        </w:txbxContent>
                      </wps:txbx>
                      <wps:bodyPr tIns="0" bIns="0" anchor="t">
                        <a:noAutofit/>
                      </wps:bodyPr>
                    </wps:wsp>
                  </a:graphicData>
                </a:graphic>
                <wp14:sizeRelH relativeFrom="page">
                  <wp14:pctWidth>100000</wp14:pctWidth>
                </wp14:sizeRelH>
              </wp:anchor>
            </w:drawing>
          </mc:Choice>
          <mc:Fallback>
            <w:pict>
              <v:rect id="shape_0" ID="ODT_ATTR_LBL_SHAPE" path="m0,0l-2147483645,0l-2147483645,-2147483646l0,-2147483646xe" fillcolor="#f2f2f2" stroked="f" o:allowincell="f" style="position:absolute;margin-left:0pt;margin-top:0pt;width:603.25pt;height:17.25pt;mso-wrap-style:none;v-text-anchor:middle;mso-position-horizontal:left;mso-position-horizontal-relative:page;mso-position-vertical-relative:page">
                <v:fill o:detectmouseclick="t" type="solid" color2="#0d0d0d"/>
                <v:stroke color="#3465a4" weight="9360" joinstyle="round" endcap="flat"/>
                <v:textbox>
                  <w:txbxContent>
                    <w:p>
                      <w:pPr>
                        <w:pStyle w:val="Contenidodelmarco"/>
                        <w:spacing w:lineRule="auto" w:line="240" w:before="0" w:after="0"/>
                        <w:contextualSpacing/>
                        <w:jc w:val="start"/>
                        <w:rPr>
                          <w:color w:val="000000"/>
                          <w:lang w:val="es-ES"/>
                        </w:rPr>
                      </w:pPr>
                      <w:r>
                        <w:rPr>
                          <w:color w:val="000000"/>
                          <w:lang w:val="es-ES"/>
                        </w:rPr>
                      </w:r>
                    </w:p>
                  </w:txbxContent>
                </v:textbox>
                <w10:wrap type="none"/>
              </v:rect>
            </w:pict>
          </mc:Fallback>
        </mc:AlternateContent>
      </w:r>
    </w:p>
    <w:p>
      <w:pPr>
        <w:pStyle w:val="Normal"/>
        <w:spacing w:before="0" w:after="120"/>
        <w:jc w:val="center"/>
        <w:rPr>
          <w:rFonts w:ascii="Arial" w:hAnsi="Arial" w:cs="Arial"/>
          <w:b/>
          <w:sz w:val="18"/>
          <w:szCs w:val="18"/>
          <w:u w:val="single"/>
          <w:lang w:val="es-ES"/>
        </w:rPr>
      </w:pPr>
      <w:r>
        <w:rPr>
          <w:rFonts w:cs="Arial" w:ascii="Arial" w:hAnsi="Arial"/>
          <w:b/>
          <w:sz w:val="18"/>
          <w:szCs w:val="18"/>
          <w:u w:val="single"/>
          <w:lang w:val="es-ES"/>
        </w:rPr>
      </w:r>
    </w:p>
    <w:p>
      <w:pPr>
        <w:pStyle w:val="Ttulo2"/>
        <w:numPr>
          <w:ilvl w:val="1"/>
          <w:numId w:val="1"/>
        </w:numPr>
        <w:spacing w:before="0" w:after="120"/>
        <w:rPr>
          <w:lang w:val="es-ES"/>
        </w:rPr>
      </w:pPr>
      <w:r>
        <w:rPr>
          <w:sz w:val="18"/>
          <w:szCs w:val="18"/>
          <w:u w:val="none"/>
          <w:lang w:val="es-ES"/>
        </w:rPr>
        <w:tab/>
        <w:tab/>
        <w:tab/>
        <w:tab/>
        <w:tab/>
        <w:tab/>
      </w:r>
    </w:p>
    <w:tbl>
      <w:tblPr>
        <w:tblW w:w="9298" w:type="dxa"/>
        <w:jc w:val="start"/>
        <w:tblInd w:w="0" w:type="dxa"/>
        <w:tblLayout w:type="fixed"/>
        <w:tblCellMar>
          <w:top w:w="0" w:type="dxa"/>
          <w:start w:w="70" w:type="dxa"/>
          <w:bottom w:w="0" w:type="dxa"/>
          <w:end w:w="70" w:type="dxa"/>
        </w:tblCellMar>
      </w:tblPr>
      <w:tblGrid>
        <w:gridCol w:w="2264"/>
        <w:gridCol w:w="7033"/>
      </w:tblGrid>
      <w:tr>
        <w:trPr>
          <w:trHeight w:val="630" w:hRule="atLeast"/>
        </w:trPr>
        <w:tc>
          <w:tcPr>
            <w:tcW w:w="2264" w:type="dxa"/>
            <w:tcBorders/>
          </w:tcPr>
          <w:p>
            <w:pPr>
              <w:pStyle w:val="Normal"/>
              <w:widowControl w:val="false"/>
              <w:spacing w:before="0" w:after="120"/>
              <w:jc w:val="both"/>
              <w:rPr>
                <w:lang w:val="es-ES"/>
              </w:rPr>
            </w:pPr>
            <w:r>
              <w:rPr>
                <w:rFonts w:cs="Arial" w:ascii="Arial" w:hAnsi="Arial"/>
                <w:spacing w:val="-3"/>
                <w:sz w:val="18"/>
                <w:szCs w:val="18"/>
                <w:lang w:val="es-ES"/>
              </w:rPr>
              <w:t>Tipo de documento</w:t>
            </w:r>
          </w:p>
        </w:tc>
        <w:tc>
          <w:tcPr>
            <w:tcW w:w="7033" w:type="dxa"/>
            <w:tcBorders/>
          </w:tcPr>
          <w:p>
            <w:pPr>
              <w:pStyle w:val="Normal"/>
              <w:widowControl w:val="false"/>
              <w:spacing w:before="0" w:after="120"/>
              <w:jc w:val="both"/>
              <w:rPr>
                <w:lang w:val="es-ES"/>
              </w:rPr>
            </w:pPr>
            <w:r>
              <w:rPr>
                <w:rFonts w:cs="Arial" w:ascii="Arial" w:hAnsi="Arial"/>
                <w:sz w:val="18"/>
                <w:szCs w:val="18"/>
                <w:lang w:val="es-ES"/>
              </w:rPr>
              <w:t>Aprobación del otorgamiento y pago anticipado del 50% de subvención directa y nominativa por la promoción del fútbol femenino</w:t>
            </w:r>
            <w:r>
              <w:rPr>
                <w:rFonts w:eastAsia="Times New Roman" w:cs="Arial" w:ascii="Arial" w:hAnsi="Arial"/>
                <w:color w:val="auto"/>
                <w:sz w:val="18"/>
                <w:szCs w:val="18"/>
                <w:lang w:val="es-ES" w:eastAsia="zh-CN" w:bidi="ar-SA"/>
              </w:rPr>
              <w:t>durante la a</w:t>
            </w:r>
            <w:r>
              <w:rPr>
                <w:rFonts w:cs="Arial" w:ascii="Arial" w:hAnsi="Arial"/>
                <w:sz w:val="18"/>
                <w:szCs w:val="18"/>
                <w:lang w:val="es-ES"/>
              </w:rPr>
              <w:t>ño 202</w:t>
            </w:r>
            <w:r>
              <w:rPr>
                <w:rFonts w:eastAsia="Times New Roman" w:cs="Arial" w:ascii="Arial" w:hAnsi="Arial"/>
                <w:color w:val="auto"/>
                <w:sz w:val="18"/>
                <w:szCs w:val="18"/>
                <w:lang w:val="es-ES" w:eastAsia="zh-CN" w:bidi="ar-SA"/>
              </w:rPr>
              <w:t>1</w:t>
            </w:r>
          </w:p>
        </w:tc>
      </w:tr>
      <w:tr>
        <w:trPr>
          <w:trHeight w:val="426" w:hRule="atLeast"/>
        </w:trPr>
        <w:tc>
          <w:tcPr>
            <w:tcW w:w="2264" w:type="dxa"/>
            <w:tcBorders/>
          </w:tcPr>
          <w:p>
            <w:pPr>
              <w:pStyle w:val="Normal"/>
              <w:widowControl w:val="false"/>
              <w:spacing w:before="0" w:after="120"/>
              <w:jc w:val="both"/>
              <w:rPr>
                <w:lang w:val="es-ES"/>
              </w:rPr>
            </w:pPr>
            <w:r>
              <w:rPr>
                <w:rFonts w:cs="Arial" w:ascii="Arial" w:hAnsi="Arial"/>
                <w:spacing w:val="-3"/>
                <w:sz w:val="18"/>
                <w:szCs w:val="18"/>
                <w:lang w:val="es-ES"/>
              </w:rPr>
              <w:t>Órgano que resuelve</w:t>
            </w:r>
          </w:p>
        </w:tc>
        <w:tc>
          <w:tcPr>
            <w:tcW w:w="7033" w:type="dxa"/>
            <w:tcBorders/>
          </w:tcPr>
          <w:p>
            <w:pPr>
              <w:pStyle w:val="Normal"/>
              <w:widowControl w:val="false"/>
              <w:spacing w:before="0" w:after="120"/>
              <w:jc w:val="both"/>
              <w:rPr>
                <w:lang w:val="es-ES"/>
              </w:rPr>
            </w:pPr>
            <w:r>
              <w:rPr>
                <w:rFonts w:cs="Arial" w:ascii="Arial" w:hAnsi="Arial"/>
                <w:sz w:val="18"/>
                <w:szCs w:val="18"/>
                <w:lang w:val="es-ES"/>
              </w:rPr>
              <w:t>El alcalde</w:t>
            </w:r>
          </w:p>
        </w:tc>
      </w:tr>
      <w:tr>
        <w:trPr>
          <w:trHeight w:val="426" w:hRule="atLeast"/>
        </w:trPr>
        <w:tc>
          <w:tcPr>
            <w:tcW w:w="2264" w:type="dxa"/>
            <w:tcBorders/>
          </w:tcPr>
          <w:p>
            <w:pPr>
              <w:pStyle w:val="Normal"/>
              <w:widowControl w:val="false"/>
              <w:spacing w:before="0" w:after="120"/>
              <w:jc w:val="both"/>
              <w:rPr>
                <w:lang w:val="es-ES"/>
              </w:rPr>
            </w:pPr>
            <w:r>
              <w:rPr>
                <w:rFonts w:cs="Arial" w:ascii="Arial" w:hAnsi="Arial"/>
                <w:spacing w:val="-3"/>
                <w:sz w:val="18"/>
                <w:szCs w:val="18"/>
                <w:lang w:val="es-ES"/>
              </w:rPr>
              <w:t>Carácter de la resolución</w:t>
            </w:r>
          </w:p>
        </w:tc>
        <w:tc>
          <w:tcPr>
            <w:tcW w:w="7033" w:type="dxa"/>
            <w:tcBorders/>
          </w:tcPr>
          <w:p>
            <w:pPr>
              <w:pStyle w:val="Normal"/>
              <w:widowControl w:val="false"/>
              <w:spacing w:before="0" w:after="120"/>
              <w:jc w:val="both"/>
              <w:rPr>
                <w:lang w:val="es-ES"/>
              </w:rPr>
            </w:pPr>
            <w:r>
              <w:rPr>
                <w:rFonts w:cs="Arial" w:ascii="Arial" w:hAnsi="Arial"/>
                <w:sz w:val="18"/>
                <w:szCs w:val="18"/>
                <w:lang w:val="es-ES"/>
              </w:rPr>
              <w:t>Agota la vía administrativa</w:t>
            </w:r>
          </w:p>
        </w:tc>
      </w:tr>
      <w:tr>
        <w:trPr>
          <w:trHeight w:val="409" w:hRule="atLeast"/>
        </w:trPr>
        <w:tc>
          <w:tcPr>
            <w:tcW w:w="2264" w:type="dxa"/>
            <w:tcBorders/>
          </w:tcPr>
          <w:p>
            <w:pPr>
              <w:pStyle w:val="Normal"/>
              <w:widowControl w:val="false"/>
              <w:spacing w:before="0" w:after="120"/>
              <w:jc w:val="both"/>
              <w:rPr>
                <w:lang w:val="es-ES"/>
              </w:rPr>
            </w:pPr>
            <w:r>
              <w:rPr>
                <w:rFonts w:cs="Arial" w:ascii="Arial" w:hAnsi="Arial"/>
                <w:spacing w:val="-3"/>
                <w:sz w:val="18"/>
                <w:szCs w:val="18"/>
                <w:lang w:val="es-ES"/>
              </w:rPr>
              <w:t>Interesado</w:t>
            </w:r>
          </w:p>
        </w:tc>
        <w:tc>
          <w:tcPr>
            <w:tcW w:w="7033" w:type="dxa"/>
            <w:tcBorders/>
          </w:tcPr>
          <w:p>
            <w:pPr>
              <w:pStyle w:val="Normal"/>
              <w:widowControl w:val="false"/>
              <w:spacing w:before="0" w:after="120"/>
              <w:jc w:val="both"/>
              <w:rPr>
                <w:lang w:val="es-ES"/>
              </w:rPr>
            </w:pPr>
            <w:r>
              <w:rPr>
                <w:rFonts w:eastAsia="Times New Roman" w:cs="Arial" w:ascii="Arial" w:hAnsi="Arial"/>
                <w:color w:val="auto"/>
                <w:spacing w:val="-3"/>
                <w:sz w:val="18"/>
                <w:szCs w:val="18"/>
                <w:lang w:val="es-ES" w:eastAsia="zh-CN" w:bidi="ar-SA"/>
              </w:rPr>
              <w:t>CLUB DEPORTIVO SEAGULL BDN NIF: G60577772</w:t>
            </w:r>
          </w:p>
          <w:p>
            <w:pPr>
              <w:pStyle w:val="Normal"/>
              <w:widowControl w:val="false"/>
              <w:spacing w:before="0" w:after="120"/>
              <w:jc w:val="both"/>
              <w:rPr>
                <w:lang w:val="es-ES"/>
              </w:rPr>
            </w:pPr>
            <w:r>
              <w:rPr>
                <w:rFonts w:eastAsia="Times New Roman" w:cs="Arial" w:ascii="Arial" w:hAnsi="Arial"/>
                <w:color w:val="auto"/>
                <w:spacing w:val="-3"/>
                <w:sz w:val="18"/>
                <w:szCs w:val="18"/>
                <w:lang w:val="es-ES" w:eastAsia="zh-CN" w:bidi="ar-SA"/>
              </w:rPr>
              <w:t>MARÍA DEL PILAR RUIZ HERNÁNDO – DNI-35090250R</w:t>
            </w:r>
          </w:p>
        </w:tc>
      </w:tr>
    </w:tbl>
    <w:p>
      <w:pPr>
        <w:pStyle w:val="Normal"/>
        <w:spacing w:before="0" w:after="120"/>
        <w:rPr>
          <w:lang w:val="es-ES"/>
        </w:rPr>
      </w:pPr>
      <w:r>
        <w:rPr>
          <w:lang w:val="es-ES"/>
        </w:rPr>
      </w:r>
    </w:p>
    <w:p>
      <w:pPr>
        <w:pStyle w:val="Normal"/>
        <w:spacing w:before="0" w:after="120"/>
        <w:jc w:val="center"/>
        <w:rPr>
          <w:rFonts w:ascii="Arial" w:hAnsi="Arial" w:cs="Arial"/>
          <w:b/>
          <w:sz w:val="18"/>
          <w:szCs w:val="18"/>
        </w:rPr>
      </w:pPr>
      <w:r>
        <w:rPr>
          <w:lang w:val="es-ES"/>
        </w:rPr>
      </w:r>
    </w:p>
    <w:p>
      <w:pPr>
        <w:pStyle w:val="Normal"/>
        <w:spacing w:before="0" w:after="120"/>
        <w:jc w:val="center"/>
        <w:rPr>
          <w:lang w:val="es-ES"/>
        </w:rPr>
      </w:pPr>
      <w:r>
        <w:rPr>
          <w:rFonts w:cs="Arial" w:ascii="Arial" w:hAnsi="Arial"/>
          <w:b/>
          <w:sz w:val="18"/>
          <w:szCs w:val="18"/>
          <w:lang w:val="es-ES"/>
        </w:rPr>
        <w:t>RESOLUCIÓN</w:t>
      </w:r>
    </w:p>
    <w:p>
      <w:pPr>
        <w:pStyle w:val="Ttulo2"/>
        <w:numPr>
          <w:ilvl w:val="0"/>
          <w:numId w:val="0"/>
        </w:numPr>
        <w:spacing w:before="0" w:after="120"/>
        <w:ind w:start="0" w:hanging="0"/>
        <w:rPr>
          <w:lang w:val="es-ES"/>
        </w:rPr>
      </w:pPr>
      <w:r>
        <w:rPr>
          <w:sz w:val="18"/>
          <w:u w:val="none"/>
          <w:lang w:val="es-ES"/>
        </w:rPr>
        <w:tab/>
      </w:r>
    </w:p>
    <w:p>
      <w:pPr>
        <w:pStyle w:val="Cuerpodetexto"/>
        <w:spacing w:before="0" w:after="120"/>
        <w:rPr>
          <w:lang w:val="es-ES"/>
        </w:rPr>
      </w:pPr>
      <w:r>
        <w:rPr>
          <w:b/>
          <w:szCs w:val="18"/>
          <w:lang w:val="es-ES"/>
        </w:rPr>
        <w:t>Antecedentes</w:t>
      </w:r>
    </w:p>
    <w:p>
      <w:pPr>
        <w:pStyle w:val="Cuerpodetexto"/>
        <w:spacing w:before="0" w:after="120"/>
        <w:rPr>
          <w:lang w:val="es-ES"/>
        </w:rPr>
      </w:pPr>
      <w:r>
        <w:rPr>
          <w:b/>
          <w:szCs w:val="18"/>
          <w:lang w:val="es-ES"/>
        </w:rPr>
        <w:t>1.</w:t>
      </w:r>
      <w:r>
        <w:rPr>
          <w:szCs w:val="18"/>
          <w:lang w:val="es-ES"/>
        </w:rPr>
        <w:t xml:space="preserve">La entidad Club Deportivo Seagull BDN con NIF G60577772 ha solicitado una subvención finalista para la promoción del fútbol femenino </w:t>
      </w:r>
      <w:r>
        <w:rPr>
          <w:rFonts w:eastAsia="Times New Roman" w:cs="Arial"/>
          <w:color w:val="auto"/>
          <w:sz w:val="18"/>
          <w:szCs w:val="18"/>
          <w:lang w:val="es-ES" w:eastAsia="zh-CN" w:bidi="ar-SA"/>
        </w:rPr>
        <w:t>durante la a</w:t>
      </w:r>
      <w:r>
        <w:rPr>
          <w:rFonts w:cs="Arial"/>
          <w:sz w:val="18"/>
          <w:szCs w:val="18"/>
          <w:lang w:val="es-ES"/>
        </w:rPr>
        <w:t>ño 202</w:t>
      </w:r>
      <w:r>
        <w:rPr>
          <w:rFonts w:eastAsia="Times New Roman" w:cs="Arial"/>
          <w:color w:val="auto"/>
          <w:sz w:val="18"/>
          <w:szCs w:val="18"/>
          <w:lang w:val="es-ES" w:eastAsia="zh-CN" w:bidi="ar-SA"/>
        </w:rPr>
        <w:t>1</w:t>
      </w:r>
      <w:r>
        <w:rPr>
          <w:szCs w:val="18"/>
          <w:lang w:val="es-ES"/>
        </w:rPr>
        <w:t>.</w:t>
      </w:r>
    </w:p>
    <w:p>
      <w:pPr>
        <w:pStyle w:val="Normal"/>
        <w:spacing w:before="0" w:after="120"/>
        <w:jc w:val="both"/>
        <w:rPr>
          <w:lang w:val="es-ES"/>
        </w:rPr>
      </w:pPr>
      <w:r>
        <w:rPr>
          <w:rFonts w:cs="Arial" w:ascii="Arial" w:hAnsi="Arial"/>
          <w:sz w:val="18"/>
          <w:szCs w:val="18"/>
          <w:lang w:val="es-ES"/>
        </w:rPr>
        <w:t>2.-La documentación que la entidad adjunta con la solicitud reúne los requisitos exigidos en la Ley general de subvenciones y en las Bases de ejecución del presupuesto en vigor, en el sentido siguiente:</w:t>
      </w:r>
    </w:p>
    <w:p>
      <w:pPr>
        <w:pStyle w:val="Normal"/>
        <w:spacing w:before="0" w:after="120"/>
        <w:jc w:val="both"/>
        <w:rPr>
          <w:lang w:val="es-ES"/>
        </w:rPr>
      </w:pPr>
      <w:r>
        <w:rPr>
          <w:rFonts w:cs="Arial" w:ascii="Arial" w:hAnsi="Arial"/>
          <w:sz w:val="18"/>
          <w:szCs w:val="18"/>
          <w:lang w:val="es-ES"/>
        </w:rPr>
        <w:t>Relación de certificados y documentación incorporada en el expediente:</w:t>
      </w:r>
    </w:p>
    <w:p>
      <w:pPr>
        <w:pStyle w:val="Normal"/>
        <w:spacing w:before="0" w:after="120"/>
        <w:jc w:val="both"/>
        <w:rPr>
          <w:lang w:val="es-ES"/>
        </w:rPr>
      </w:pPr>
      <w:r>
        <w:rPr>
          <w:rFonts w:cs="Arial" w:ascii="Arial" w:hAnsi="Arial"/>
          <w:sz w:val="18"/>
          <w:szCs w:val="18"/>
          <w:lang w:val="es-ES"/>
        </w:rPr>
        <w:t>- Certificado de la Administración de la Agencia Tributaria de fecha</w:t>
      </w:r>
      <w:r>
        <w:rPr>
          <w:rFonts w:eastAsia="Calibri" w:cs="Arial" w:ascii="Arial" w:hAnsi="Arial"/>
          <w:color w:val="auto"/>
          <w:kern w:val="2"/>
          <w:sz w:val="18"/>
          <w:szCs w:val="18"/>
          <w:lang w:val="es-ES" w:eastAsia="zh-CN" w:bidi="ar-SA"/>
        </w:rPr>
        <w:t>03</w:t>
      </w:r>
      <w:r>
        <w:rPr>
          <w:rFonts w:cs="Arial" w:ascii="Arial" w:hAnsi="Arial"/>
          <w:sz w:val="18"/>
          <w:szCs w:val="18"/>
          <w:lang w:val="es-ES"/>
        </w:rPr>
        <w:t>/03/202</w:t>
      </w:r>
      <w:r>
        <w:rPr>
          <w:rFonts w:eastAsia="Calibri" w:cs="Arial" w:ascii="Arial" w:hAnsi="Arial"/>
          <w:color w:val="auto"/>
          <w:kern w:val="2"/>
          <w:sz w:val="18"/>
          <w:szCs w:val="18"/>
          <w:lang w:val="es-ES" w:eastAsia="zh-CN" w:bidi="ar-SA"/>
        </w:rPr>
        <w:t>1</w:t>
      </w:r>
      <w:r>
        <w:rPr>
          <w:rFonts w:cs="Arial" w:ascii="Arial" w:hAnsi="Arial"/>
          <w:sz w:val="18"/>
          <w:szCs w:val="18"/>
          <w:lang w:val="es-ES"/>
        </w:rPr>
        <w:t>de acuerdo con el que el solicitante se encuentra al corriente de pago de sus obligaciones tributarias.</w:t>
      </w:r>
    </w:p>
    <w:p>
      <w:pPr>
        <w:pStyle w:val="Normal"/>
        <w:spacing w:before="0" w:after="120"/>
        <w:jc w:val="both"/>
        <w:rPr>
          <w:lang w:val="es-ES"/>
        </w:rPr>
      </w:pPr>
      <w:r>
        <w:rPr>
          <w:rFonts w:cs="Arial" w:ascii="Arial" w:hAnsi="Arial"/>
          <w:sz w:val="18"/>
          <w:szCs w:val="18"/>
          <w:lang w:val="es-ES"/>
        </w:rPr>
        <w:t>- Certificado de la Tesorería general de la Seguridad Social de fecha</w:t>
      </w:r>
      <w:r>
        <w:rPr>
          <w:rFonts w:eastAsia="Calibri" w:cs="Arial" w:ascii="Arial" w:hAnsi="Arial"/>
          <w:color w:val="auto"/>
          <w:kern w:val="2"/>
          <w:sz w:val="18"/>
          <w:szCs w:val="18"/>
          <w:lang w:val="es-ES" w:eastAsia="zh-CN" w:bidi="ar-SA"/>
        </w:rPr>
        <w:t>03</w:t>
      </w:r>
      <w:r>
        <w:rPr>
          <w:rFonts w:cs="Arial" w:ascii="Arial" w:hAnsi="Arial"/>
          <w:sz w:val="18"/>
          <w:szCs w:val="18"/>
          <w:lang w:val="es-ES"/>
        </w:rPr>
        <w:t>/03/202</w:t>
      </w:r>
      <w:r>
        <w:rPr>
          <w:rFonts w:eastAsia="Calibri" w:cs="Arial" w:ascii="Arial" w:hAnsi="Arial"/>
          <w:color w:val="auto"/>
          <w:kern w:val="2"/>
          <w:sz w:val="18"/>
          <w:szCs w:val="18"/>
          <w:lang w:val="es-ES" w:eastAsia="zh-CN" w:bidi="ar-SA"/>
        </w:rPr>
        <w:t>1</w:t>
      </w:r>
      <w:r>
        <w:rPr>
          <w:rFonts w:cs="Arial" w:ascii="Arial" w:hAnsi="Arial"/>
          <w:sz w:val="18"/>
          <w:szCs w:val="18"/>
          <w:lang w:val="es-ES"/>
        </w:rPr>
        <w:t>de acuerdo con el que no tiene pendientes de ingreso ninguna reclamación por deudas vencidas con la Seguridad Social.</w:t>
      </w:r>
    </w:p>
    <w:p>
      <w:pPr>
        <w:pStyle w:val="Normal"/>
        <w:spacing w:before="0" w:after="120"/>
        <w:jc w:val="both"/>
        <w:rPr>
          <w:lang w:val="es-ES"/>
        </w:rPr>
      </w:pPr>
      <w:r>
        <w:rPr>
          <w:rFonts w:cs="Arial" w:ascii="Arial" w:hAnsi="Arial"/>
          <w:sz w:val="18"/>
          <w:szCs w:val="18"/>
          <w:lang w:val="es-ES"/>
        </w:rPr>
        <w:t>- Certificado de la Tesorería municipal, con fecha</w:t>
      </w:r>
      <w:r>
        <w:rPr>
          <w:rFonts w:eastAsia="Times New Roman" w:cs="Arial" w:ascii="Arial" w:hAnsi="Arial"/>
          <w:color w:val="auto"/>
          <w:sz w:val="18"/>
          <w:szCs w:val="18"/>
          <w:lang w:val="es-ES" w:eastAsia="zh-CN" w:bidi="ar-SA"/>
        </w:rPr>
        <w:t>14</w:t>
      </w:r>
      <w:r>
        <w:rPr>
          <w:rFonts w:cs="Arial" w:ascii="Arial" w:hAnsi="Arial"/>
          <w:sz w:val="18"/>
          <w:szCs w:val="18"/>
          <w:lang w:val="es-ES"/>
        </w:rPr>
        <w:t>/0</w:t>
      </w:r>
      <w:r>
        <w:rPr>
          <w:rFonts w:eastAsia="Times New Roman" w:cs="Arial" w:ascii="Arial" w:hAnsi="Arial"/>
          <w:color w:val="auto"/>
          <w:sz w:val="18"/>
          <w:szCs w:val="18"/>
          <w:lang w:val="es-ES" w:eastAsia="zh-CN" w:bidi="ar-SA"/>
        </w:rPr>
        <w:t>5</w:t>
      </w:r>
      <w:r>
        <w:rPr>
          <w:rFonts w:cs="Arial" w:ascii="Arial" w:hAnsi="Arial"/>
          <w:sz w:val="18"/>
          <w:szCs w:val="18"/>
          <w:lang w:val="es-ES"/>
        </w:rPr>
        <w:t>/202</w:t>
      </w:r>
      <w:r>
        <w:rPr>
          <w:rFonts w:eastAsia="Times New Roman" w:cs="Arial" w:ascii="Arial" w:hAnsi="Arial"/>
          <w:color w:val="auto"/>
          <w:sz w:val="18"/>
          <w:szCs w:val="18"/>
          <w:lang w:val="es-ES" w:eastAsia="zh-CN" w:bidi="ar-SA"/>
        </w:rPr>
        <w:t>1</w:t>
      </w:r>
      <w:r>
        <w:rPr>
          <w:rFonts w:cs="Arial" w:ascii="Arial" w:hAnsi="Arial"/>
          <w:sz w:val="18"/>
          <w:szCs w:val="18"/>
          <w:lang w:val="es-ES"/>
        </w:rPr>
        <w:t>, de acuerdo con el que no consta ningún cargo pendiente de pago en período ejecutivo.</w:t>
      </w:r>
    </w:p>
    <w:p>
      <w:pPr>
        <w:pStyle w:val="Normal"/>
        <w:spacing w:before="0" w:after="120"/>
        <w:jc w:val="both"/>
        <w:rPr>
          <w:lang w:val="es-ES"/>
        </w:rPr>
      </w:pPr>
      <w:r>
        <w:rPr>
          <w:rFonts w:cs="Arial" w:ascii="Arial" w:hAnsi="Arial"/>
          <w:sz w:val="18"/>
          <w:szCs w:val="18"/>
          <w:lang w:val="es-ES"/>
        </w:rPr>
        <w:t>3.-El</w:t>
      </w:r>
      <w:r>
        <w:rPr>
          <w:rFonts w:eastAsia="Times New Roman" w:cs="Arial" w:ascii="Arial" w:hAnsi="Arial"/>
          <w:color w:val="auto"/>
          <w:sz w:val="18"/>
          <w:szCs w:val="18"/>
          <w:lang w:val="es-ES" w:eastAsia="zh-CN" w:bidi="ar-SA"/>
        </w:rPr>
        <w:t>10</w:t>
      </w:r>
      <w:r>
        <w:rPr>
          <w:rFonts w:cs="Arial" w:ascii="Arial" w:hAnsi="Arial"/>
          <w:sz w:val="18"/>
          <w:szCs w:val="18"/>
          <w:lang w:val="es-ES"/>
        </w:rPr>
        <w:t>/0</w:t>
      </w:r>
      <w:r>
        <w:rPr>
          <w:rFonts w:eastAsia="Times New Roman" w:cs="Arial" w:ascii="Arial" w:hAnsi="Arial"/>
          <w:color w:val="auto"/>
          <w:sz w:val="18"/>
          <w:szCs w:val="18"/>
          <w:lang w:val="es-ES" w:eastAsia="zh-CN" w:bidi="ar-SA"/>
        </w:rPr>
        <w:t>3</w:t>
      </w:r>
      <w:r>
        <w:rPr>
          <w:rFonts w:cs="Arial" w:ascii="Arial" w:hAnsi="Arial"/>
          <w:sz w:val="18"/>
          <w:szCs w:val="18"/>
          <w:lang w:val="es-ES"/>
        </w:rPr>
        <w:t>/202</w:t>
      </w:r>
      <w:r>
        <w:rPr>
          <w:rFonts w:eastAsia="Times New Roman" w:cs="Arial" w:ascii="Arial" w:hAnsi="Arial"/>
          <w:color w:val="auto"/>
          <w:sz w:val="18"/>
          <w:szCs w:val="18"/>
          <w:lang w:val="es-ES" w:eastAsia="zh-CN" w:bidi="ar-SA"/>
        </w:rPr>
        <w:t>1</w:t>
      </w:r>
      <w:r>
        <w:rPr>
          <w:rFonts w:cs="Arial" w:ascii="Arial" w:hAnsi="Arial"/>
          <w:sz w:val="18"/>
          <w:szCs w:val="18"/>
          <w:lang w:val="es-ES"/>
        </w:rPr>
        <w:t xml:space="preserve">el jefe del Servicio de Deportes, ha emitido un informe técnico en el que, a la vista de la propuesta realizada por la mencionada entidad, propone que por el interés deportivo, por su excepcionalidad y singularidad, y con el fin de subvencionar las actividades deportivas para la promoción del fútbol femenino </w:t>
      </w:r>
      <w:r>
        <w:rPr>
          <w:rFonts w:eastAsia="Times New Roman" w:cs="Arial" w:ascii="Arial" w:hAnsi="Arial"/>
          <w:color w:val="auto"/>
          <w:sz w:val="18"/>
          <w:szCs w:val="18"/>
          <w:lang w:val="es-ES" w:eastAsia="zh-CN" w:bidi="ar-SA"/>
        </w:rPr>
        <w:t>durante la a</w:t>
      </w:r>
      <w:r>
        <w:rPr>
          <w:rFonts w:cs="Arial" w:ascii="Arial" w:hAnsi="Arial"/>
          <w:sz w:val="18"/>
          <w:szCs w:val="18"/>
          <w:lang w:val="es-ES"/>
        </w:rPr>
        <w:t>ño 2020 , tanto a nivel de formación como de competición, se otorgue una subvención finalista de importe 45.000,00 euros a la entidad solicitante, restando supeditada a la aprobación definitiva de esta modificación presupuestaria.</w:t>
      </w:r>
    </w:p>
    <w:p>
      <w:pPr>
        <w:pStyle w:val="Normal"/>
        <w:spacing w:before="0" w:after="120"/>
        <w:jc w:val="both"/>
        <w:rPr>
          <w:lang w:val="es-ES"/>
        </w:rPr>
      </w:pPr>
      <w:r>
        <w:rPr>
          <w:rFonts w:cs="Arial" w:ascii="Arial" w:hAnsi="Arial"/>
          <w:sz w:val="18"/>
          <w:szCs w:val="18"/>
          <w:lang w:val="es-ES"/>
        </w:rPr>
        <w:t>4.-Consta en el expediente declaración responsable con fecha</w:t>
      </w:r>
      <w:r>
        <w:rPr>
          <w:rFonts w:eastAsia="Times New Roman" w:cs="Arial" w:ascii="Arial" w:hAnsi="Arial"/>
          <w:color w:val="auto"/>
          <w:sz w:val="18"/>
          <w:szCs w:val="18"/>
          <w:lang w:val="es-ES" w:eastAsia="zh-CN" w:bidi="ar-SA"/>
        </w:rPr>
        <w:t>3</w:t>
      </w:r>
      <w:r>
        <w:rPr>
          <w:rFonts w:cs="Arial" w:ascii="Arial" w:hAnsi="Arial"/>
          <w:sz w:val="18"/>
          <w:szCs w:val="18"/>
          <w:lang w:val="es-ES"/>
        </w:rPr>
        <w:t>de</w:t>
      </w:r>
      <w:r>
        <w:rPr>
          <w:rFonts w:eastAsia="Times New Roman" w:cs="Arial" w:ascii="Arial" w:hAnsi="Arial"/>
          <w:color w:val="auto"/>
          <w:sz w:val="18"/>
          <w:szCs w:val="18"/>
          <w:lang w:val="es-ES" w:eastAsia="zh-CN" w:bidi="ar-SA"/>
        </w:rPr>
        <w:t>ma</w:t>
      </w:r>
      <w:r>
        <w:rPr>
          <w:rFonts w:cs="Arial" w:ascii="Arial" w:hAnsi="Arial"/>
          <w:sz w:val="18"/>
          <w:szCs w:val="18"/>
          <w:lang w:val="es-ES"/>
        </w:rPr>
        <w:t>rç de 202</w:t>
      </w:r>
      <w:r>
        <w:rPr>
          <w:rFonts w:eastAsia="Times New Roman" w:cs="Arial" w:ascii="Arial" w:hAnsi="Arial"/>
          <w:color w:val="auto"/>
          <w:sz w:val="18"/>
          <w:szCs w:val="18"/>
          <w:lang w:val="es-ES" w:eastAsia="zh-CN" w:bidi="ar-SA"/>
        </w:rPr>
        <w:t>1</w:t>
      </w:r>
      <w:r>
        <w:rPr>
          <w:rFonts w:cs="Arial" w:ascii="Arial" w:hAnsi="Arial"/>
          <w:sz w:val="18"/>
          <w:szCs w:val="18"/>
          <w:lang w:val="es-ES"/>
        </w:rPr>
        <w:t>, de cumplimiento de las obligaciones establecidas en el artículo 13.5 de la Ley Orgánica 1/1996, de 15 de enero, de protección jurídica del Menor, por la que el representante de la entidad se compromete bajo su responsabilidad, que dispone de las certificaciones negativas legalmente establecidas para el acceso y ejercicio de profesiones, oficios y actividades que impliquen contacto habitual con menores que acreditan que las personas que van a trabajar en el proyecto subvencionable no han sido condenadas por sentencia firme por algún delito contra la libertad e indemnidad sexual. El incumplimiento por parte del beneficiar podrá ser causa de revocación de la subvención otorgada sin perjuicio de las demás consecuencias que legalmente se puedan derivar.</w:t>
      </w:r>
    </w:p>
    <w:p>
      <w:pPr>
        <w:pStyle w:val="Cuerpodetexto"/>
        <w:spacing w:before="0" w:after="120"/>
        <w:rPr>
          <w:b/>
          <w:szCs w:val="18"/>
          <w:lang w:val="es-ES"/>
        </w:rPr>
      </w:pPr>
      <w:r>
        <w:rPr>
          <w:b/>
          <w:szCs w:val="18"/>
          <w:lang w:val="es-ES"/>
        </w:rPr>
      </w:r>
    </w:p>
    <w:p>
      <w:pPr>
        <w:pStyle w:val="Cuerpodetexto"/>
        <w:spacing w:before="0" w:after="120"/>
        <w:rPr>
          <w:lang w:val="es-ES"/>
        </w:rPr>
      </w:pPr>
      <w:r>
        <w:rPr>
          <w:b/>
          <w:szCs w:val="18"/>
          <w:lang w:val="es-ES"/>
        </w:rPr>
        <w:t>Fundamentos de Derecho</w:t>
      </w:r>
    </w:p>
    <w:p>
      <w:pPr>
        <w:pStyle w:val="Cuerpodetexto"/>
        <w:spacing w:before="0" w:after="120"/>
        <w:rPr>
          <w:lang w:val="es-ES"/>
        </w:rPr>
      </w:pPr>
      <w:r>
        <w:rPr>
          <w:b/>
          <w:szCs w:val="18"/>
          <w:lang w:val="es-ES"/>
        </w:rPr>
        <w:t>1.</w:t>
      </w:r>
      <w:r>
        <w:rPr>
          <w:szCs w:val="18"/>
          <w:lang w:val="es-ES"/>
        </w:rPr>
        <w:t>El artículo 3 del Anexo IV las Bases de ejecución de presupuesto en vigor (en adelante BEP) establece el régimen jurídico de la concesión de las subvenciones, y que literalmente es el que sigue:</w:t>
      </w:r>
    </w:p>
    <w:p>
      <w:pPr>
        <w:pStyle w:val="Cuerpodetexto"/>
        <w:numPr>
          <w:ilvl w:val="0"/>
          <w:numId w:val="2"/>
        </w:numPr>
        <w:spacing w:before="0" w:after="120"/>
        <w:rPr>
          <w:lang w:val="es-ES"/>
        </w:rPr>
      </w:pPr>
      <w:r>
        <w:rPr>
          <w:szCs w:val="18"/>
          <w:lang w:val="es-ES"/>
        </w:rPr>
        <w:t>La Ley estatal 38/2003, de 17 de noviembre, general de subvenciones (en adelante LGS).</w:t>
      </w:r>
    </w:p>
    <w:p>
      <w:pPr>
        <w:pStyle w:val="Cuerpodetexto"/>
        <w:numPr>
          <w:ilvl w:val="0"/>
          <w:numId w:val="2"/>
        </w:numPr>
        <w:spacing w:before="0" w:after="120"/>
        <w:rPr>
          <w:lang w:val="es-ES"/>
        </w:rPr>
      </w:pPr>
      <w:r>
        <w:rPr>
          <w:szCs w:val="18"/>
          <w:lang w:val="es-ES"/>
        </w:rPr>
        <w:t>RD 887/2006, de 21 de julio, Reglamento de la Ley General de Subvenciones (en adelante RLGS).</w:t>
      </w:r>
    </w:p>
    <w:p>
      <w:pPr>
        <w:pStyle w:val="Cuerpodetexto"/>
        <w:numPr>
          <w:ilvl w:val="0"/>
          <w:numId w:val="2"/>
        </w:numPr>
        <w:spacing w:before="0" w:after="120"/>
        <w:rPr>
          <w:lang w:val="es-ES"/>
        </w:rPr>
      </w:pPr>
      <w:r>
        <w:rPr>
          <w:szCs w:val="18"/>
          <w:lang w:val="es-ES"/>
        </w:rPr>
        <w:t>La legislación básica del Estado reguladora de la Administración Local (art. 72 de la Ley 7/1985, de 2 de abril, reguladora de las bases del régimen local y arts. 189.2, (en adelante LRBRL); y 214.2 del Texto refundido de la ley reguladora de las haciendas locales, aprobado por Decreto legislativo 2/2004, de 5 de marzo, (en adelante TRLRHL).</w:t>
      </w:r>
    </w:p>
    <w:p>
      <w:pPr>
        <w:pStyle w:val="Cuerpodetexto"/>
        <w:numPr>
          <w:ilvl w:val="0"/>
          <w:numId w:val="2"/>
        </w:numPr>
        <w:spacing w:before="0" w:after="120"/>
        <w:rPr>
          <w:lang w:val="es-ES"/>
        </w:rPr>
      </w:pPr>
      <w:r>
        <w:rPr>
          <w:szCs w:val="18"/>
          <w:lang w:val="es-ES"/>
        </w:rPr>
        <w:t>La legislación autonómica (arts. 239 y 240 del Texto refundido de la ley municipal de régimen local de Cataluña aprobado por el Decreto legislativo 2/2003, de 28 de abril de 2003, en adelante TRLMRLC; y arts. 118 a 129 del Reglamento de obras, actividades y servicios de los entes locales aprobado por el Decreto 179/1995, de 13 de junio, (en adelante ROAS).</w:t>
      </w:r>
    </w:p>
    <w:p>
      <w:pPr>
        <w:pStyle w:val="Cuerpodetexto"/>
        <w:numPr>
          <w:ilvl w:val="0"/>
          <w:numId w:val="2"/>
        </w:numPr>
        <w:spacing w:before="0" w:after="120"/>
        <w:rPr>
          <w:lang w:val="es-ES"/>
        </w:rPr>
      </w:pPr>
      <w:r>
        <w:rPr>
          <w:szCs w:val="18"/>
          <w:lang w:val="es-ES"/>
        </w:rPr>
        <w:t>Normativa europea (Tratado de la Unión Europea, arts. 92 y 93, Real Decreto 1755/1987, de 23 de diciembre, y disposiciones concordantes).</w:t>
      </w:r>
    </w:p>
    <w:p>
      <w:pPr>
        <w:pStyle w:val="Cuerpodetexto"/>
        <w:numPr>
          <w:ilvl w:val="0"/>
          <w:numId w:val="2"/>
        </w:numPr>
        <w:spacing w:before="0" w:after="120"/>
        <w:rPr>
          <w:lang w:val="es-ES"/>
        </w:rPr>
      </w:pPr>
      <w:r>
        <w:rPr>
          <w:szCs w:val="18"/>
          <w:lang w:val="es-ES"/>
        </w:rPr>
        <w:t>Las Bases de ejecución del presupuesto general.</w:t>
      </w:r>
    </w:p>
    <w:p>
      <w:pPr>
        <w:pStyle w:val="Cuerpodetexto"/>
        <w:numPr>
          <w:ilvl w:val="0"/>
          <w:numId w:val="2"/>
        </w:numPr>
        <w:spacing w:before="0" w:after="120"/>
        <w:rPr>
          <w:lang w:val="es-ES"/>
        </w:rPr>
      </w:pPr>
      <w:r>
        <w:rPr>
          <w:szCs w:val="18"/>
          <w:lang w:val="es-ES"/>
        </w:rPr>
        <w:t>Ley 19/2014, de 29 de diciembre, de Transparencia, acceso a la información pública y buen gobierno (en adelante LTAIPBG).</w:t>
      </w:r>
    </w:p>
    <w:p>
      <w:pPr>
        <w:pStyle w:val="Textoindependiente31"/>
        <w:spacing w:before="0" w:after="120"/>
        <w:rPr>
          <w:lang w:val="es-ES"/>
        </w:rPr>
      </w:pPr>
      <w:r>
        <w:rPr>
          <w:rFonts w:cs="Arial" w:ascii="Arial" w:hAnsi="Arial"/>
          <w:b/>
          <w:sz w:val="18"/>
          <w:szCs w:val="18"/>
          <w:lang w:val="es-ES"/>
        </w:rPr>
        <w:t>2.</w:t>
      </w:r>
      <w:r>
        <w:rPr>
          <w:rFonts w:cs="Arial" w:ascii="Arial" w:hAnsi="Arial"/>
          <w:sz w:val="18"/>
          <w:szCs w:val="18"/>
          <w:lang w:val="es-ES"/>
        </w:rPr>
        <w:t>Según lo dispuesto en el artículo 118 del ROAS, las subvenciones tienen por objeto la disposición gratuita de fondos públicos que los entes locales o sus organismos autónomos otorguen a personas o entidades públicas o privadas para fomentar una actividad de utilidad o interés social o para promover la consecución de un fin público. Las formas de otorgamiento de las subvenciones, según lo dispuesto en el artículo 125 del ROAS, pueden ser mediante convocatoria de concurso público o bien se podrán otorgar directamente cuando estén previstas singularmente en el presupuesto de la entidad.</w:t>
        <w:tab/>
      </w:r>
    </w:p>
    <w:p>
      <w:pPr>
        <w:pStyle w:val="Textoindependiente31"/>
        <w:spacing w:before="0" w:after="120"/>
        <w:rPr>
          <w:lang w:val="es-ES"/>
        </w:rPr>
      </w:pPr>
      <w:r>
        <w:rPr>
          <w:rFonts w:cs="Arial" w:ascii="Arial" w:hAnsi="Arial"/>
          <w:b/>
          <w:sz w:val="18"/>
          <w:szCs w:val="18"/>
          <w:lang w:val="es-ES"/>
        </w:rPr>
        <w:t>3.</w:t>
      </w:r>
      <w:r>
        <w:rPr>
          <w:rFonts w:cs="Arial" w:ascii="Arial" w:hAnsi="Arial"/>
          <w:sz w:val="18"/>
          <w:szCs w:val="18"/>
          <w:lang w:val="es-ES"/>
        </w:rPr>
        <w:t>El artículo 23 del Anexo IV de las BEP establece que las subvenciones podrán otorgarse directamente, no siendo preceptivas ni la concurrencia competitiva ni la publicidad, entre otros supuestos, cuando estén consignadas nominativamente en el Presupuesto general inicial de el Ayuntamiento o en modificaciones de créditos aprobadas por el Pleno.</w:t>
      </w:r>
    </w:p>
    <w:p>
      <w:pPr>
        <w:pStyle w:val="Textoindependiente21"/>
        <w:spacing w:before="0" w:after="120"/>
        <w:rPr>
          <w:lang w:val="es-ES"/>
        </w:rPr>
      </w:pPr>
      <w:r>
        <w:rPr>
          <w:rFonts w:cs="Arial" w:ascii="Arial" w:hAnsi="Arial"/>
          <w:spacing w:val="0"/>
          <w:sz w:val="18"/>
          <w:szCs w:val="18"/>
          <w:lang w:val="es-ES"/>
        </w:rPr>
        <w:t>Asimismo, establece que el convenio será el instrumento habitual para canalizar estas subvenciones, en éste o, en su caso, en la resolución de concesión, se fijarán, además del beneficiario y cuantía de la subvención, el objeto, el procedimiento de concesión, las razones que acrediten el interés público, social, económico o humanitario y las que justifiquen la dificultad de su convocatoria pública, régimen jurídico aplicable, plazo y forma de justificación.</w:t>
      </w:r>
    </w:p>
    <w:p>
      <w:pPr>
        <w:pStyle w:val="Textoindependiente21"/>
        <w:spacing w:before="0" w:after="120"/>
        <w:rPr>
          <w:lang w:val="es-ES"/>
        </w:rPr>
      </w:pPr>
      <w:r>
        <w:rPr>
          <w:rFonts w:cs="Arial" w:ascii="Arial" w:hAnsi="Arial"/>
          <w:spacing w:val="0"/>
          <w:sz w:val="18"/>
          <w:szCs w:val="18"/>
          <w:lang w:val="es-ES"/>
        </w:rPr>
        <w:t>Sin embargo, de conformidad con el arte. 15.2 de la LTAIPBG, si el importe de las subvenciones que puedan otorgarse es superior a 10.000 euros, el convenio o, en su caso, la resolución de concesión, deberá incluir la obligación de los beneficiarios, si son personas jurídicas , de comunicar a los sujetos obligados la información relativa a las retribuciones de sus órganos de dirección o administración, a efectos de hacerlas públicas.</w:t>
      </w:r>
    </w:p>
    <w:p>
      <w:pPr>
        <w:pStyle w:val="Textoindependiente21"/>
        <w:spacing w:before="0" w:after="120"/>
        <w:rPr>
          <w:lang w:val="es-ES"/>
        </w:rPr>
      </w:pPr>
      <w:r>
        <w:rPr>
          <w:rFonts w:cs="Arial" w:ascii="Arial" w:hAnsi="Arial"/>
          <w:b/>
          <w:spacing w:val="0"/>
          <w:sz w:val="18"/>
          <w:szCs w:val="18"/>
          <w:lang w:val="es-ES"/>
        </w:rPr>
        <w:t>4.</w:t>
      </w:r>
      <w:r>
        <w:rPr>
          <w:rFonts w:cs="Arial" w:ascii="Arial" w:hAnsi="Arial"/>
          <w:spacing w:val="0"/>
          <w:sz w:val="18"/>
          <w:szCs w:val="18"/>
          <w:lang w:val="es-ES"/>
        </w:rPr>
        <w:t>Según se desprende del expediente administrativo instado a estos efectos, para el otorgamiento de la presente subvención se propone el inicio de los trámites legales adecuados para la modificación presupuestaria que incluya en el Presupuesto municipal la presente subvención nominativa.</w:t>
      </w:r>
    </w:p>
    <w:p>
      <w:pPr>
        <w:pStyle w:val="Textoindependiente21"/>
        <w:spacing w:before="0" w:after="120"/>
        <w:rPr>
          <w:lang w:val="es-ES"/>
        </w:rPr>
      </w:pPr>
      <w:r>
        <w:rPr>
          <w:rFonts w:cs="Arial" w:ascii="Arial" w:hAnsi="Arial"/>
          <w:spacing w:val="0"/>
          <w:sz w:val="18"/>
          <w:szCs w:val="18"/>
          <w:lang w:val="es-ES"/>
        </w:rPr>
        <w:t>De acuerdo con el artículo 35 y 36 del Real Decreto 500/1990, de 20 de abril, de desarrollo de la Ley 39/1988, reguladora de las haciendas locales, en relación con el art.177 del TRLRHL, ente encontramos ante un crédito extraordinario, es decir, una modificación de presupuesto de gastos mediante la cual, se asigna crédito para la realización de un gasto específico y determinado que no puede demorarse hasta el ejercicio siguiente y por el que no existe crédito.</w:t>
      </w:r>
    </w:p>
    <w:p>
      <w:pPr>
        <w:pStyle w:val="Textoindependiente31"/>
        <w:spacing w:before="0" w:after="120"/>
        <w:rPr>
          <w:lang w:val="es-ES"/>
        </w:rPr>
      </w:pPr>
      <w:r>
        <w:rPr>
          <w:rFonts w:cs="Arial" w:ascii="Arial" w:hAnsi="Arial"/>
          <w:b/>
          <w:sz w:val="18"/>
          <w:szCs w:val="18"/>
          <w:lang w:val="es-ES"/>
        </w:rPr>
        <w:t>5.</w:t>
      </w:r>
      <w:r>
        <w:rPr>
          <w:rFonts w:cs="Arial" w:ascii="Arial" w:hAnsi="Arial"/>
          <w:sz w:val="18"/>
          <w:szCs w:val="18"/>
          <w:lang w:val="es-ES"/>
        </w:rPr>
        <w:t>El artículo 5 del Anexo IV de las BEP establece cuáles son los requisitos generales de otorgamiento de las subvenciones, especificando lo que todo expediente de concesión de subvenciones deberá determinar.</w:t>
      </w:r>
    </w:p>
    <w:p>
      <w:pPr>
        <w:pStyle w:val="Cuerpodetexto"/>
        <w:spacing w:before="0" w:after="120"/>
        <w:rPr>
          <w:lang w:val="es-ES"/>
        </w:rPr>
      </w:pPr>
      <w:r>
        <w:rPr>
          <w:b/>
          <w:szCs w:val="18"/>
          <w:lang w:val="es-ES"/>
        </w:rPr>
        <w:t>6.</w:t>
      </w:r>
      <w:r>
        <w:rPr>
          <w:szCs w:val="18"/>
          <w:lang w:val="es-ES"/>
        </w:rPr>
        <w:t>El artículo 7 del Anexo IV de las BEP establece que, como regla general, el importe de la subvención no sobrepasará el 50% del coste de la actividad a la que se aplique, en cuyo caso se cumple esta recomendación.</w:t>
      </w:r>
    </w:p>
    <w:p>
      <w:pPr>
        <w:pStyle w:val="Textoindependiente21"/>
        <w:spacing w:before="0" w:after="120"/>
        <w:rPr>
          <w:lang w:val="es-ES"/>
        </w:rPr>
      </w:pPr>
      <w:r>
        <w:rPr>
          <w:rFonts w:cs="Arial" w:ascii="Arial" w:hAnsi="Arial"/>
          <w:b/>
          <w:spacing w:val="0"/>
          <w:sz w:val="18"/>
          <w:szCs w:val="18"/>
          <w:lang w:val="es-ES"/>
        </w:rPr>
        <w:t>7.</w:t>
      </w:r>
      <w:r>
        <w:rPr>
          <w:rFonts w:cs="Arial" w:ascii="Arial" w:hAnsi="Arial"/>
          <w:spacing w:val="0"/>
          <w:sz w:val="18"/>
          <w:szCs w:val="18"/>
          <w:lang w:val="es-ES"/>
        </w:rPr>
        <w:t>El artículo 8 de la de la LGS, expresa que los órganos de las Administraciones públicas o cualesquiera entes que propongan el establecimiento de subvenciones, con carácter previo, tendrán que concretar en un plan estratégico de subvenciones los objetivos y efectos que se pretenden con su aplicación, el plazo necesario para su consecución, los costes previsibles y sus fuentes de financiación, supeditándose en todo caso al cumplimiento de los objetivos de estabilidad presupuestaria, plan que el órgano competente del Ayuntamiento no ha realizado por el año en curso.</w:t>
      </w:r>
    </w:p>
    <w:p>
      <w:pPr>
        <w:pStyle w:val="Textoindependiente21"/>
        <w:spacing w:before="0" w:after="120"/>
        <w:rPr>
          <w:lang w:val="es-ES"/>
        </w:rPr>
      </w:pPr>
      <w:r>
        <w:rPr>
          <w:rFonts w:cs="Arial" w:ascii="Arial" w:hAnsi="Arial"/>
          <w:b/>
          <w:spacing w:val="0"/>
          <w:sz w:val="18"/>
          <w:szCs w:val="18"/>
          <w:lang w:val="es-ES"/>
        </w:rPr>
        <w:t>8.</w:t>
      </w:r>
      <w:r>
        <w:rPr>
          <w:rFonts w:cs="Arial" w:ascii="Arial" w:hAnsi="Arial"/>
          <w:spacing w:val="0"/>
          <w:sz w:val="18"/>
          <w:szCs w:val="18"/>
          <w:lang w:val="es-ES"/>
        </w:rPr>
        <w:t>En relación con la competencia municipal, con carácter general, el Ayuntamiento de Badalona puede promover de manera general la actividad física y el deporte en su ámbito territorial, especialmente en el área escolar, y fomentar las actividades físicas de carácter extraescolar y recreativas en el marco de las directrices de la Generalidad de Cataluña, construir, ampliar y mejorar instalaciones deportivas en su territorio, gestionar y supervisar el uso de las instalaciones deportivas de uso público.</w:t>
      </w:r>
    </w:p>
    <w:p>
      <w:pPr>
        <w:pStyle w:val="Textoindependiente21"/>
        <w:spacing w:before="0" w:after="120"/>
        <w:rPr>
          <w:lang w:val="es-ES"/>
        </w:rPr>
      </w:pPr>
      <w:r>
        <w:rPr>
          <w:rFonts w:cs="Arial" w:ascii="Arial" w:hAnsi="Arial"/>
          <w:spacing w:val="0"/>
          <w:sz w:val="18"/>
          <w:szCs w:val="18"/>
          <w:lang w:val="es-ES"/>
        </w:rPr>
        <w:t>En este sentido, el arte. 25.1.l) LRBRL de acuerdo con modificación operada por LRSAL, establece que los Ayuntamientos ejercerán como competencias propias, en los términos de la legislación del Estado y de las comunidades autónomas, “la promoción del deporte e instalaciones deportivas y de ocupación del tiempo libre” y son un servicio mínimo de carácter obligatorio por tener un número de habitantes superior con 20.000, de acuerdo con el art. 26 c) LRBRL de conformidad con modificación operada por LRSAL, las instalaciones deportivas de uso público.</w:t>
      </w:r>
    </w:p>
    <w:p>
      <w:pPr>
        <w:pStyle w:val="Textoindependiente21"/>
        <w:spacing w:before="0" w:after="120"/>
        <w:rPr>
          <w:lang w:val="es-ES"/>
        </w:rPr>
      </w:pPr>
      <w:r>
        <w:rPr>
          <w:rFonts w:cs="Arial" w:ascii="Arial" w:hAnsi="Arial"/>
          <w:spacing w:val="0"/>
          <w:sz w:val="18"/>
          <w:szCs w:val="18"/>
          <w:lang w:val="es-ES"/>
        </w:rPr>
        <w:t>El arte. 84.2 letras d) yk) EAC establecen que los gobiernos locales de Cataluña tienen en todo caso competencias propias, en los términos que determinen las leyes, sobre la regulación y la gestión de los equipamientos municipales y la regulación y la gestión de los equipamientos deportivos y de ocio y promoción de actividades.</w:t>
      </w:r>
    </w:p>
    <w:p>
      <w:pPr>
        <w:pStyle w:val="Textoindependiente21"/>
        <w:spacing w:before="0" w:after="120"/>
        <w:rPr>
          <w:lang w:val="es-ES"/>
        </w:rPr>
      </w:pPr>
      <w:r>
        <w:rPr>
          <w:rFonts w:cs="Arial" w:ascii="Arial" w:hAnsi="Arial"/>
          <w:spacing w:val="0"/>
          <w:sz w:val="18"/>
          <w:szCs w:val="18"/>
          <w:lang w:val="es-ES"/>
        </w:rPr>
        <w:t>Por último, el art. 39 TULE desarrolla la competencia autonómica y establece las competencias propias de los municipios en materia deportiva:</w:t>
      </w:r>
    </w:p>
    <w:p>
      <w:pPr>
        <w:pStyle w:val="Textoindependiente21"/>
        <w:spacing w:before="0" w:after="120"/>
        <w:rPr>
          <w:rFonts w:ascii="Arial" w:hAnsi="Arial" w:cs="Arial"/>
          <w:spacing w:val="0"/>
          <w:sz w:val="18"/>
          <w:szCs w:val="18"/>
          <w:lang w:val="es-ES"/>
        </w:rPr>
      </w:pPr>
      <w:r>
        <w:rPr>
          <w:rFonts w:cs="Arial" w:ascii="Arial" w:hAnsi="Arial"/>
          <w:spacing w:val="0"/>
          <w:sz w:val="18"/>
          <w:szCs w:val="18"/>
          <w:lang w:val="es-ES"/>
        </w:rPr>
      </w:r>
    </w:p>
    <w:p>
      <w:pPr>
        <w:pStyle w:val="Textoindependiente21"/>
        <w:spacing w:before="0" w:after="120"/>
        <w:rPr>
          <w:lang w:val="es-ES"/>
        </w:rPr>
      </w:pPr>
      <w:r>
        <w:rPr>
          <w:rFonts w:cs="Arial" w:ascii="Arial" w:hAnsi="Arial"/>
          <w:spacing w:val="0"/>
          <w:sz w:val="18"/>
          <w:szCs w:val="18"/>
          <w:lang w:val="es-ES"/>
        </w:rPr>
        <w:t>“</w:t>
      </w:r>
      <w:r>
        <w:rPr>
          <w:rFonts w:cs="Arial" w:ascii="Arial" w:hAnsi="Arial"/>
          <w:spacing w:val="0"/>
          <w:sz w:val="18"/>
          <w:szCs w:val="18"/>
          <w:lang w:val="es-ES"/>
        </w:rPr>
        <w:t>1 Corresponde a los municipios:</w:t>
      </w:r>
    </w:p>
    <w:p>
      <w:pPr>
        <w:pStyle w:val="Textoindependiente21"/>
        <w:spacing w:before="0" w:after="120"/>
        <w:rPr>
          <w:lang w:val="es-ES"/>
        </w:rPr>
      </w:pPr>
      <w:r>
        <w:rPr>
          <w:rFonts w:cs="Arial" w:ascii="Arial" w:hAnsi="Arial"/>
          <w:i/>
          <w:spacing w:val="0"/>
          <w:sz w:val="18"/>
          <w:szCs w:val="18"/>
          <w:lang w:val="es-ES"/>
        </w:rPr>
        <w:t>a) Promover de forma general la actividad física y el deporte en su ámbito territorial, especialmente en el área escolar, y fomentar las actividades físicas de carácter extraescolar y recreativas en el marco de las directrices de la Generalidad de Cataluña.</w:t>
      </w:r>
    </w:p>
    <w:p>
      <w:pPr>
        <w:pStyle w:val="Textoindependiente21"/>
        <w:spacing w:before="0" w:after="120"/>
        <w:rPr>
          <w:lang w:val="es-ES"/>
        </w:rPr>
      </w:pPr>
      <w:r>
        <w:rPr>
          <w:rFonts w:cs="Arial" w:ascii="Arial" w:hAnsi="Arial"/>
          <w:i/>
          <w:spacing w:val="0"/>
          <w:sz w:val="18"/>
          <w:szCs w:val="18"/>
          <w:lang w:val="es-ES"/>
        </w:rPr>
        <w:t>b) Construir, ampliar y mejorar instalaciones deportivas en su territorio.</w:t>
      </w:r>
    </w:p>
    <w:p>
      <w:pPr>
        <w:pStyle w:val="Textoindependiente21"/>
        <w:spacing w:before="0" w:after="120"/>
        <w:rPr>
          <w:lang w:val="es-ES"/>
        </w:rPr>
      </w:pPr>
      <w:r>
        <w:rPr>
          <w:rFonts w:cs="Arial" w:ascii="Arial" w:hAnsi="Arial"/>
          <w:i/>
          <w:spacing w:val="0"/>
          <w:sz w:val="18"/>
          <w:szCs w:val="18"/>
          <w:lang w:val="es-ES"/>
        </w:rPr>
        <w:t>c) Velar por la plena utilización de las instalaciones deportivas existentes en su término municipal.</w:t>
      </w:r>
    </w:p>
    <w:p>
      <w:pPr>
        <w:pStyle w:val="Textoindependiente21"/>
        <w:spacing w:before="0" w:after="120"/>
        <w:rPr>
          <w:lang w:val="es-ES"/>
        </w:rPr>
      </w:pPr>
      <w:r>
        <w:rPr>
          <w:rFonts w:cs="Arial" w:ascii="Arial" w:hAnsi="Arial"/>
          <w:i/>
          <w:spacing w:val="0"/>
          <w:sz w:val="18"/>
          <w:szCs w:val="18"/>
          <w:lang w:val="es-ES"/>
        </w:rPr>
        <w:t>d) Llevar un censo de las instalaciones deportivas de su territorio.</w:t>
      </w:r>
    </w:p>
    <w:p>
      <w:pPr>
        <w:pStyle w:val="Textoindependiente21"/>
        <w:spacing w:before="0" w:after="120"/>
        <w:rPr>
          <w:lang w:val="es-ES"/>
        </w:rPr>
      </w:pPr>
      <w:r>
        <w:rPr>
          <w:rFonts w:cs="Arial" w:ascii="Arial" w:hAnsi="Arial"/>
          <w:i/>
          <w:spacing w:val="0"/>
          <w:sz w:val="18"/>
          <w:szCs w:val="18"/>
          <w:lang w:val="es-ES"/>
        </w:rPr>
        <w:t>e) Velar por el cumplimiento de las previsiones urbanísticas sobre reserva de espacios y calificaciones de zonas para la práctica del deporte y el emplazamiento de equipamientos deportivos.</w:t>
      </w:r>
    </w:p>
    <w:p>
      <w:pPr>
        <w:pStyle w:val="Textoindependiente21"/>
        <w:spacing w:before="0" w:after="120"/>
        <w:rPr>
          <w:lang w:val="es-ES"/>
        </w:rPr>
      </w:pPr>
      <w:r>
        <w:rPr>
          <w:rFonts w:cs="Arial" w:ascii="Arial" w:hAnsi="Arial"/>
          <w:i/>
          <w:spacing w:val="0"/>
          <w:sz w:val="18"/>
          <w:szCs w:val="18"/>
          <w:lang w:val="es-ES"/>
        </w:rPr>
        <w:t>f) Cooperar con otros entes públicos o privados para el cumplimiento de los fines señalados por esta ley.</w:t>
      </w:r>
    </w:p>
    <w:p>
      <w:pPr>
        <w:pStyle w:val="Textoindependiente21"/>
        <w:spacing w:before="0" w:after="120"/>
        <w:rPr>
          <w:lang w:val="es-ES"/>
        </w:rPr>
      </w:pPr>
      <w:r>
        <w:rPr>
          <w:rFonts w:cs="Arial" w:ascii="Arial" w:hAnsi="Arial"/>
          <w:i/>
          <w:spacing w:val="0"/>
          <w:sz w:val="18"/>
          <w:szCs w:val="18"/>
          <w:lang w:val="es-ES"/>
        </w:rPr>
        <w:t>2 Los municipios de más de cinco mil habitantes deben garantizar la existencia en su territorio de instalaciones deportivas de uso público.”</w:t>
      </w:r>
    </w:p>
    <w:p>
      <w:pPr>
        <w:pStyle w:val="Textoindependiente21"/>
        <w:spacing w:before="0" w:after="120"/>
        <w:rPr>
          <w:lang w:val="es-ES"/>
        </w:rPr>
      </w:pPr>
      <w:r>
        <w:rPr>
          <w:rFonts w:cs="Arial" w:ascii="Arial" w:hAnsi="Arial"/>
          <w:b/>
          <w:spacing w:val="0"/>
          <w:sz w:val="18"/>
          <w:szCs w:val="18"/>
          <w:lang w:val="es-ES"/>
        </w:rPr>
        <w:t>9.</w:t>
      </w:r>
      <w:r>
        <w:rPr>
          <w:rFonts w:cs="Arial" w:ascii="Arial" w:hAnsi="Arial"/>
          <w:spacing w:val="0"/>
          <w:sz w:val="18"/>
          <w:szCs w:val="18"/>
          <w:lang w:val="es-ES"/>
        </w:rPr>
        <w:t>El artículo 23 del Anexo IV de las BEP “in fine” regula que resultará de aplicación a las subvenciones finalistas el régimen establecido en el presente anexo en lo que resulte compatible con su naturaleza.</w:t>
      </w:r>
    </w:p>
    <w:p>
      <w:pPr>
        <w:pStyle w:val="Textoindependiente21"/>
        <w:spacing w:before="0" w:after="120"/>
        <w:rPr>
          <w:lang w:val="es-ES"/>
        </w:rPr>
      </w:pPr>
      <w:r>
        <w:rPr>
          <w:rFonts w:cs="Arial" w:ascii="Arial" w:hAnsi="Arial"/>
          <w:b/>
          <w:spacing w:val="0"/>
          <w:sz w:val="18"/>
          <w:szCs w:val="18"/>
          <w:lang w:val="es-ES"/>
        </w:rPr>
        <w:t>10.</w:t>
      </w:r>
      <w:r>
        <w:rPr>
          <w:rFonts w:cs="Arial" w:ascii="Arial" w:hAnsi="Arial"/>
          <w:spacing w:val="0"/>
          <w:sz w:val="18"/>
          <w:szCs w:val="18"/>
          <w:lang w:val="es-ES"/>
        </w:rPr>
        <w:t>Según dispone el artículo 214 del TRLRHL, el artículo 9.4 de la LGS, y el artículo 5 del Anexo IV de las BEP, la Intervención municipal debe fiscalizar previamente el expediente.</w:t>
      </w:r>
    </w:p>
    <w:p>
      <w:pPr>
        <w:pStyle w:val="Textoindependiente21"/>
        <w:spacing w:before="0" w:after="120"/>
        <w:rPr>
          <w:lang w:val="es-ES"/>
        </w:rPr>
      </w:pPr>
      <w:r>
        <w:rPr>
          <w:rFonts w:cs="Arial" w:ascii="Arial" w:hAnsi="Arial"/>
          <w:b/>
          <w:spacing w:val="0"/>
          <w:sz w:val="18"/>
          <w:szCs w:val="18"/>
          <w:lang w:val="es-ES"/>
        </w:rPr>
        <w:t>11.</w:t>
      </w:r>
      <w:r>
        <w:rPr>
          <w:rFonts w:cs="Arial" w:ascii="Arial" w:hAnsi="Arial"/>
          <w:spacing w:val="0"/>
          <w:sz w:val="18"/>
          <w:szCs w:val="18"/>
          <w:lang w:val="es-ES"/>
        </w:rPr>
        <w:t>El órgano competente para el establecimiento de subvenciones previstas singularmente en el presupuesto del Ayuntamiento, mediante una asignación nominativa y directa, es el Ayuntamiento Pleno, en el momento de aprobarse o modificarse el mismo , de acuerdo con el artículo 125 del ROAS.</w:t>
      </w:r>
    </w:p>
    <w:p>
      <w:pPr>
        <w:pStyle w:val="Textoindependiente21"/>
        <w:spacing w:before="0" w:after="120"/>
        <w:rPr>
          <w:lang w:val="es-ES"/>
        </w:rPr>
      </w:pPr>
      <w:r>
        <w:rPr>
          <w:rFonts w:cs="Arial" w:ascii="Arial" w:hAnsi="Arial"/>
          <w:b/>
          <w:spacing w:val="0"/>
          <w:sz w:val="18"/>
          <w:szCs w:val="18"/>
          <w:lang w:val="es-ES"/>
        </w:rPr>
        <w:t>12.</w:t>
      </w:r>
      <w:r>
        <w:rPr>
          <w:rFonts w:cs="Arial" w:ascii="Arial" w:hAnsi="Arial"/>
          <w:spacing w:val="0"/>
          <w:sz w:val="18"/>
          <w:szCs w:val="18"/>
          <w:lang w:val="es-ES"/>
        </w:rPr>
        <w:t>Visto el artículo 13.5 de la Ley Orgánica 1/1996, de 15 de enero, de Protección Jurídica del Menor, modificada por la Ley 26/2015, de 28 de julio, de modificación del sistema de protección a la infancia ya la adolescencia , que establece que el beneficiario deberá acreditar, previamente al otorgamiento, y mediante declaración responsable que dispone de las certificaciones negativas legalmente establecidas para el acceso y ejercicio de profesiones, oficios y actividades que impliquen contacto habitual con menores que acrediten que las personas que van a trabajar en el proyecto subvencionable no han sido condenadas por sentencia firme por algún delito contra la libertad e indemnidad sexual.</w:t>
      </w:r>
    </w:p>
    <w:p>
      <w:pPr>
        <w:pStyle w:val="Normal"/>
        <w:jc w:val="both"/>
        <w:rPr>
          <w:lang w:val="es-ES"/>
        </w:rPr>
      </w:pPr>
      <w:r>
        <w:rPr>
          <w:rFonts w:cs="Arial" w:ascii="Arial" w:hAnsi="Arial"/>
          <w:b/>
          <w:sz w:val="18"/>
          <w:szCs w:val="18"/>
          <w:lang w:val="es-ES"/>
        </w:rPr>
        <w:t>13.</w:t>
      </w:r>
      <w:r>
        <w:rPr>
          <w:rFonts w:cs="Arial" w:ascii="Arial" w:hAnsi="Arial"/>
          <w:sz w:val="18"/>
          <w:szCs w:val="18"/>
          <w:lang w:val="es-ES"/>
        </w:rPr>
        <w:t>En el presupuesto de gastos vigente, ha sido incluida una subvención directa y nominativa, por importe de 45.000,00 € a favor de la entidad Club Deportivo Seagull BDN con NIF G60577772, mediante modificación presupuestaria acordada en sesión del Pleno del Ayuntamiento de fecha</w:t>
      </w:r>
      <w:r>
        <w:rPr>
          <w:rFonts w:eastAsia="Calibri" w:cs="Arial" w:ascii="Arial" w:hAnsi="Arial"/>
          <w:color w:val="auto"/>
          <w:kern w:val="2"/>
          <w:sz w:val="18"/>
          <w:szCs w:val="18"/>
          <w:lang w:val="es-ES" w:eastAsia="zh-CN" w:bidi="ar-SA"/>
        </w:rPr>
        <w:t>23</w:t>
      </w:r>
      <w:r>
        <w:rPr>
          <w:rFonts w:cs="Arial" w:ascii="Arial" w:hAnsi="Arial"/>
          <w:sz w:val="18"/>
          <w:szCs w:val="18"/>
          <w:lang w:val="es-ES"/>
        </w:rPr>
        <w:t>de</w:t>
      </w:r>
      <w:r>
        <w:rPr>
          <w:rFonts w:eastAsia="Calibri" w:cs="Arial" w:ascii="Arial" w:hAnsi="Arial"/>
          <w:color w:val="auto"/>
          <w:kern w:val="2"/>
          <w:sz w:val="18"/>
          <w:szCs w:val="18"/>
          <w:lang w:val="es-ES" w:eastAsia="zh-CN" w:bidi="ar-SA"/>
        </w:rPr>
        <w:t>marzo</w:t>
      </w:r>
      <w:r>
        <w:rPr>
          <w:rFonts w:cs="Arial" w:ascii="Arial" w:hAnsi="Arial"/>
          <w:sz w:val="18"/>
          <w:szCs w:val="18"/>
          <w:lang w:val="es-ES"/>
        </w:rPr>
        <w:t>de 202</w:t>
      </w:r>
      <w:r>
        <w:rPr>
          <w:rFonts w:eastAsia="Calibri" w:cs="Arial" w:ascii="Arial" w:hAnsi="Arial"/>
          <w:color w:val="auto"/>
          <w:kern w:val="2"/>
          <w:sz w:val="18"/>
          <w:szCs w:val="18"/>
          <w:lang w:val="es-ES" w:eastAsia="zh-CN" w:bidi="ar-SA"/>
        </w:rPr>
        <w:t>1</w:t>
      </w:r>
      <w:r>
        <w:rPr>
          <w:rFonts w:cs="Arial" w:ascii="Arial" w:hAnsi="Arial"/>
          <w:sz w:val="18"/>
          <w:szCs w:val="18"/>
          <w:lang w:val="es-ES"/>
        </w:rPr>
        <w:t>y publicada definitivamente en el BOP el 3 d</w:t>
      </w:r>
      <w:r>
        <w:rPr>
          <w:rFonts w:eastAsia="Calibri" w:cs="Arial" w:ascii="Arial" w:hAnsi="Arial"/>
          <w:color w:val="auto"/>
          <w:kern w:val="2"/>
          <w:sz w:val="18"/>
          <w:szCs w:val="18"/>
          <w:lang w:val="es-ES" w:eastAsia="zh-CN" w:bidi="ar-SA"/>
        </w:rPr>
        <w:t>e mayo</w:t>
      </w:r>
      <w:r>
        <w:rPr>
          <w:rFonts w:cs="Arial" w:ascii="Arial" w:hAnsi="Arial"/>
          <w:sz w:val="18"/>
          <w:szCs w:val="18"/>
          <w:lang w:val="es-ES"/>
        </w:rPr>
        <w:t>de 202</w:t>
      </w:r>
      <w:r>
        <w:rPr>
          <w:rFonts w:eastAsia="Calibri" w:cs="Arial" w:ascii="Arial" w:hAnsi="Arial"/>
          <w:color w:val="auto"/>
          <w:kern w:val="2"/>
          <w:sz w:val="18"/>
          <w:szCs w:val="18"/>
          <w:lang w:val="es-ES" w:eastAsia="zh-CN" w:bidi="ar-SA"/>
        </w:rPr>
        <w:t>1</w:t>
      </w:r>
      <w:r>
        <w:rPr>
          <w:rFonts w:cs="Arial" w:ascii="Arial" w:hAnsi="Arial"/>
          <w:sz w:val="18"/>
          <w:szCs w:val="18"/>
          <w:lang w:val="es-ES"/>
        </w:rPr>
        <w:t>. Una vez fiscalizado el expediente por la intervención municipal, esta subvención irá con cargo a la aplicación presupuestaria 11121058-3411-48908059 de acuerdo con el detalle del primer punto de la parte dispositiva de esta resolución.</w:t>
      </w:r>
    </w:p>
    <w:p>
      <w:pPr>
        <w:pStyle w:val="Normal"/>
        <w:jc w:val="both"/>
        <w:rPr>
          <w:rFonts w:ascii="Arial" w:hAnsi="Arial" w:cs="Arial"/>
          <w:sz w:val="18"/>
          <w:szCs w:val="18"/>
          <w:lang w:val="es-ES"/>
        </w:rPr>
      </w:pPr>
      <w:r>
        <w:rPr>
          <w:rFonts w:cs="Arial" w:ascii="Arial" w:hAnsi="Arial"/>
          <w:sz w:val="18"/>
          <w:szCs w:val="18"/>
          <w:lang w:val="es-ES"/>
        </w:rPr>
      </w:r>
    </w:p>
    <w:p>
      <w:pPr>
        <w:pStyle w:val="Normal"/>
        <w:jc w:val="both"/>
        <w:rPr>
          <w:lang w:val="es-ES"/>
        </w:rPr>
      </w:pPr>
      <w:r>
        <w:rPr>
          <w:rFonts w:cs="Arial" w:ascii="Arial" w:hAnsi="Arial"/>
          <w:b/>
          <w:sz w:val="18"/>
          <w:szCs w:val="18"/>
          <w:lang w:val="es-ES"/>
        </w:rPr>
        <w:t>14.</w:t>
      </w:r>
      <w:r>
        <w:rPr>
          <w:rFonts w:cs="Arial" w:ascii="Arial" w:hAnsi="Arial"/>
          <w:sz w:val="18"/>
          <w:szCs w:val="18"/>
          <w:lang w:val="es-ES"/>
        </w:rPr>
        <w:t>El órgano competente para la concesión de subvenciones es el alcalde, de acuerdo con el artículo 21 de las bases de ejecución del presupuesto general, el anexo IV regulación transitoria de las subvenciones.</w:t>
      </w:r>
    </w:p>
    <w:p>
      <w:pPr>
        <w:pStyle w:val="Normal"/>
        <w:spacing w:before="0" w:after="120"/>
        <w:jc w:val="both"/>
        <w:rPr>
          <w:rFonts w:ascii="Arial" w:hAnsi="Arial" w:cs="Arial"/>
          <w:b/>
          <w:sz w:val="18"/>
          <w:szCs w:val="18"/>
          <w:lang w:val="es-ES"/>
        </w:rPr>
      </w:pPr>
      <w:r>
        <w:rPr>
          <w:rFonts w:cs="Arial" w:ascii="Arial" w:hAnsi="Arial"/>
          <w:b/>
          <w:sz w:val="18"/>
          <w:szCs w:val="18"/>
          <w:lang w:val="es-ES"/>
        </w:rPr>
      </w:r>
    </w:p>
    <w:p>
      <w:pPr>
        <w:pStyle w:val="Normal"/>
        <w:spacing w:before="0" w:after="120"/>
        <w:jc w:val="both"/>
        <w:rPr>
          <w:lang w:val="es-ES"/>
        </w:rPr>
      </w:pPr>
      <w:r>
        <w:rPr>
          <w:rFonts w:cs="Arial" w:ascii="Arial" w:hAnsi="Arial"/>
          <w:b/>
          <w:sz w:val="18"/>
          <w:szCs w:val="18"/>
          <w:lang w:val="es-ES"/>
        </w:rPr>
        <w:t>Propuesta de Resolución</w:t>
      </w:r>
    </w:p>
    <w:p>
      <w:pPr>
        <w:pStyle w:val="Normal"/>
        <w:spacing w:before="0" w:after="120"/>
        <w:jc w:val="both"/>
        <w:rPr>
          <w:lang w:val="es-ES"/>
        </w:rPr>
      </w:pPr>
      <w:r>
        <w:rPr>
          <w:rFonts w:cs="Arial" w:ascii="Arial" w:hAnsi="Arial"/>
          <w:sz w:val="18"/>
          <w:szCs w:val="18"/>
          <w:lang w:val="es-ES"/>
        </w:rPr>
        <w:t>En consecuencia, resulta conveniente que el alcalde, adopte la siguiente propuesta y resuelva con arreglo:</w:t>
      </w:r>
    </w:p>
    <w:p>
      <w:pPr>
        <w:pStyle w:val="Normal"/>
        <w:jc w:val="both"/>
        <w:rPr>
          <w:lang w:val="es-ES"/>
        </w:rPr>
      </w:pPr>
      <w:r>
        <w:rPr>
          <w:rFonts w:cs="Arial" w:ascii="Arial" w:hAnsi="Arial"/>
          <w:b/>
          <w:bCs/>
          <w:sz w:val="18"/>
          <w:szCs w:val="18"/>
          <w:lang w:val="es-ES"/>
        </w:rPr>
        <w:t>PRIMERO.-</w:t>
      </w:r>
      <w:r>
        <w:rPr>
          <w:rFonts w:cs="Arial" w:ascii="Arial" w:hAnsi="Arial"/>
          <w:b/>
          <w:sz w:val="18"/>
          <w:szCs w:val="18"/>
          <w:lang w:val="es-ES"/>
        </w:rPr>
        <w:t xml:space="preserve">APROBAR </w:t>
      </w:r>
      <w:r>
        <w:rPr>
          <w:rFonts w:cs="Arial" w:ascii="Arial" w:hAnsi="Arial"/>
          <w:sz w:val="18"/>
          <w:szCs w:val="18"/>
          <w:lang w:val="es-ES"/>
        </w:rPr>
        <w:t>el otorgamiento de una subvención directa y nominativa por la promoción del fútbol femenino en la ciudad durante el año 202</w:t>
      </w:r>
      <w:r>
        <w:rPr>
          <w:rFonts w:eastAsia="Times New Roman" w:cs="Arial" w:ascii="Arial" w:hAnsi="Arial"/>
          <w:color w:val="auto"/>
          <w:sz w:val="18"/>
          <w:szCs w:val="18"/>
          <w:lang w:val="es-ES" w:eastAsia="zh-CN" w:bidi="ar-SA"/>
        </w:rPr>
        <w:t>1</w:t>
      </w:r>
      <w:r>
        <w:rPr>
          <w:rFonts w:cs="Arial" w:ascii="Arial" w:hAnsi="Arial"/>
          <w:sz w:val="18"/>
          <w:szCs w:val="18"/>
          <w:lang w:val="es-ES"/>
        </w:rPr>
        <w:t>, consignada en el presupuesto municipal, a favor de la entidad Club Deportivo Seagull BDN con NIF G60577772, por importe de 45.000,00 €, dada su singularidad y excepcionalidad y el interés público local de la actividad de acuerdo con el informe técnico de fecha 1</w:t>
      </w:r>
      <w:r>
        <w:rPr>
          <w:rFonts w:eastAsia="Times New Roman" w:cs="Arial" w:ascii="Arial" w:hAnsi="Arial"/>
          <w:color w:val="auto"/>
          <w:sz w:val="18"/>
          <w:szCs w:val="18"/>
          <w:lang w:val="es-ES" w:eastAsia="zh-CN" w:bidi="ar-SA"/>
        </w:rPr>
        <w:t>0</w:t>
      </w:r>
      <w:r>
        <w:rPr>
          <w:rFonts w:cs="Arial" w:ascii="Arial" w:hAnsi="Arial"/>
          <w:sz w:val="18"/>
          <w:szCs w:val="18"/>
          <w:lang w:val="es-ES"/>
        </w:rPr>
        <w:t>/0</w:t>
      </w:r>
      <w:r>
        <w:rPr>
          <w:rFonts w:eastAsia="Times New Roman" w:cs="Arial" w:ascii="Arial" w:hAnsi="Arial"/>
          <w:color w:val="auto"/>
          <w:sz w:val="18"/>
          <w:szCs w:val="18"/>
          <w:lang w:val="es-ES" w:eastAsia="zh-CN" w:bidi="ar-SA"/>
        </w:rPr>
        <w:t>3</w:t>
      </w:r>
      <w:r>
        <w:rPr>
          <w:rFonts w:cs="Arial" w:ascii="Arial" w:hAnsi="Arial"/>
          <w:sz w:val="18"/>
          <w:szCs w:val="18"/>
          <w:lang w:val="es-ES"/>
        </w:rPr>
        <w:t>/202</w:t>
      </w:r>
      <w:r>
        <w:rPr>
          <w:rFonts w:eastAsia="Times New Roman" w:cs="Arial" w:ascii="Arial" w:hAnsi="Arial"/>
          <w:color w:val="auto"/>
          <w:sz w:val="18"/>
          <w:szCs w:val="18"/>
          <w:lang w:val="es-ES" w:eastAsia="zh-CN" w:bidi="ar-SA"/>
        </w:rPr>
        <w:t>1</w:t>
      </w:r>
      <w:r>
        <w:rPr>
          <w:rFonts w:cs="Arial" w:ascii="Arial" w:hAnsi="Arial"/>
          <w:sz w:val="18"/>
          <w:szCs w:val="18"/>
          <w:lang w:val="es-ES"/>
        </w:rPr>
        <w:t>, de acuerdo con la modificación presupuestaria acordada por el Pleno del Ayuntamiento en fecha</w:t>
      </w:r>
      <w:r>
        <w:rPr>
          <w:rFonts w:eastAsia="Times New Roman" w:cs="Arial" w:ascii="Arial" w:hAnsi="Arial"/>
          <w:color w:val="auto"/>
          <w:sz w:val="18"/>
          <w:szCs w:val="18"/>
          <w:lang w:val="es-ES" w:eastAsia="zh-CN" w:bidi="ar-SA"/>
        </w:rPr>
        <w:t>23</w:t>
      </w:r>
      <w:r>
        <w:rPr>
          <w:rFonts w:cs="Arial" w:ascii="Arial" w:hAnsi="Arial"/>
          <w:sz w:val="18"/>
          <w:szCs w:val="18"/>
          <w:lang w:val="es-ES"/>
        </w:rPr>
        <w:t>de</w:t>
      </w:r>
      <w:r>
        <w:rPr>
          <w:rFonts w:eastAsia="Times New Roman" w:cs="Arial" w:ascii="Arial" w:hAnsi="Arial"/>
          <w:color w:val="auto"/>
          <w:sz w:val="18"/>
          <w:szCs w:val="18"/>
          <w:lang w:val="es-ES" w:eastAsia="zh-CN" w:bidi="ar-SA"/>
        </w:rPr>
        <w:t>marzo</w:t>
      </w:r>
      <w:r>
        <w:rPr>
          <w:rFonts w:cs="Arial" w:ascii="Arial" w:hAnsi="Arial"/>
          <w:sz w:val="18"/>
          <w:szCs w:val="18"/>
          <w:lang w:val="es-ES"/>
        </w:rPr>
        <w:t>de 202</w:t>
      </w:r>
      <w:r>
        <w:rPr>
          <w:rFonts w:eastAsia="Times New Roman" w:cs="Arial" w:ascii="Arial" w:hAnsi="Arial"/>
          <w:color w:val="auto"/>
          <w:sz w:val="18"/>
          <w:szCs w:val="18"/>
          <w:lang w:val="es-ES" w:eastAsia="zh-CN" w:bidi="ar-SA"/>
        </w:rPr>
        <w:t>1</w:t>
      </w:r>
      <w:r>
        <w:rPr>
          <w:rFonts w:cs="Arial" w:ascii="Arial" w:hAnsi="Arial"/>
          <w:sz w:val="18"/>
          <w:szCs w:val="18"/>
          <w:lang w:val="es-ES"/>
        </w:rPr>
        <w:t>, publicada definitivamente en el BOP en fecha 3 de</w:t>
      </w:r>
      <w:r>
        <w:rPr>
          <w:rFonts w:eastAsia="Times New Roman" w:cs="Arial" w:ascii="Arial" w:hAnsi="Arial"/>
          <w:color w:val="auto"/>
          <w:sz w:val="18"/>
          <w:szCs w:val="18"/>
          <w:lang w:val="es-ES" w:eastAsia="zh-CN" w:bidi="ar-SA"/>
        </w:rPr>
        <w:t xml:space="preserve"> mayo </w:t>
      </w:r>
      <w:r>
        <w:rPr>
          <w:rFonts w:cs="Arial" w:ascii="Arial" w:hAnsi="Arial"/>
          <w:sz w:val="18"/>
          <w:szCs w:val="18"/>
          <w:lang w:val="es-ES"/>
        </w:rPr>
        <w:t>de 202</w:t>
      </w:r>
      <w:r>
        <w:rPr>
          <w:rFonts w:eastAsia="Times New Roman" w:cs="Arial" w:ascii="Arial" w:hAnsi="Arial"/>
          <w:color w:val="auto"/>
          <w:sz w:val="18"/>
          <w:szCs w:val="18"/>
          <w:lang w:val="es-ES" w:eastAsia="zh-CN" w:bidi="ar-SA"/>
        </w:rPr>
        <w:t>1</w:t>
      </w:r>
      <w:r>
        <w:rPr>
          <w:rFonts w:cs="Arial" w:ascii="Arial" w:hAnsi="Arial"/>
          <w:sz w:val="18"/>
          <w:szCs w:val="18"/>
          <w:lang w:val="es-ES"/>
        </w:rPr>
        <w:t>, con cargo a la siguiente la aplicación presupuestaria y de acuerdo con el siguiente detalle:</w:t>
      </w:r>
    </w:p>
    <w:p>
      <w:pPr>
        <w:pStyle w:val="Normal"/>
        <w:jc w:val="both"/>
        <w:rPr>
          <w:lang w:val="es-ES"/>
        </w:rPr>
      </w:pPr>
      <w:r>
        <w:rPr>
          <w:lang w:val="es-ES"/>
        </w:rPr>
      </w:r>
    </w:p>
    <w:tbl>
      <w:tblPr>
        <w:tblW w:w="9360" w:type="dxa"/>
        <w:jc w:val="start"/>
        <w:tblInd w:w="-183" w:type="dxa"/>
        <w:tblLayout w:type="fixed"/>
        <w:tblCellMar>
          <w:top w:w="0" w:type="dxa"/>
          <w:start w:w="30" w:type="dxa"/>
          <w:bottom w:w="0" w:type="dxa"/>
          <w:end w:w="30" w:type="dxa"/>
        </w:tblCellMar>
      </w:tblPr>
      <w:tblGrid>
        <w:gridCol w:w="2039"/>
        <w:gridCol w:w="2205"/>
        <w:gridCol w:w="855"/>
        <w:gridCol w:w="1365"/>
        <w:gridCol w:w="1185"/>
        <w:gridCol w:w="1305"/>
        <w:gridCol w:w="75"/>
        <w:gridCol w:w="106"/>
        <w:gridCol w:w="22"/>
        <w:gridCol w:w="24"/>
        <w:gridCol w:w="74"/>
        <w:gridCol w:w="45"/>
        <w:gridCol w:w="59"/>
      </w:tblGrid>
      <w:tr>
        <w:trPr>
          <w:trHeight w:val="262" w:hRule="atLeast"/>
          <w:cantSplit w:val="true"/>
        </w:trPr>
        <w:tc>
          <w:tcPr>
            <w:tcW w:w="2039" w:type="dxa"/>
            <w:tcBorders>
              <w:top w:val="single" w:sz="6" w:space="0" w:color="000000"/>
              <w:start w:val="single" w:sz="6" w:space="0" w:color="000000"/>
              <w:bottom w:val="single" w:sz="6" w:space="0" w:color="000000"/>
            </w:tcBorders>
            <w:vAlign w:val="center"/>
          </w:tcPr>
          <w:p>
            <w:pPr>
              <w:pStyle w:val="Normal"/>
              <w:widowControl w:val="false"/>
              <w:rPr>
                <w:lang w:val="es-ES"/>
              </w:rPr>
            </w:pPr>
            <w:r>
              <w:rPr>
                <w:rFonts w:cs="Arial" w:ascii="Arial" w:hAnsi="Arial"/>
                <w:b/>
                <w:color w:val="000000"/>
                <w:sz w:val="14"/>
                <w:lang w:val="es-ES"/>
              </w:rPr>
              <w:t>Expediente</w:t>
            </w:r>
          </w:p>
        </w:tc>
        <w:tc>
          <w:tcPr>
            <w:tcW w:w="2205" w:type="dxa"/>
            <w:tcBorders>
              <w:top w:val="single" w:sz="6" w:space="0" w:color="000000"/>
              <w:start w:val="single" w:sz="6" w:space="0" w:color="000000"/>
              <w:bottom w:val="single" w:sz="6" w:space="0" w:color="000000"/>
            </w:tcBorders>
            <w:vAlign w:val="center"/>
          </w:tcPr>
          <w:p>
            <w:pPr>
              <w:pStyle w:val="Normal"/>
              <w:widowControl w:val="false"/>
              <w:rPr>
                <w:lang w:val="es-ES"/>
              </w:rPr>
            </w:pPr>
            <w:r>
              <w:rPr>
                <w:rFonts w:cs="Arial" w:ascii="Arial" w:hAnsi="Arial"/>
                <w:b/>
                <w:color w:val="000000"/>
                <w:sz w:val="14"/>
                <w:lang w:val="es-ES"/>
              </w:rPr>
              <w:t>Aplicaciones Presupuestarias</w:t>
            </w:r>
          </w:p>
        </w:tc>
        <w:tc>
          <w:tcPr>
            <w:tcW w:w="855" w:type="dxa"/>
            <w:tcBorders>
              <w:top w:val="single" w:sz="6" w:space="0" w:color="000000"/>
              <w:start w:val="single" w:sz="6" w:space="0" w:color="000000"/>
              <w:bottom w:val="single" w:sz="6" w:space="0" w:color="000000"/>
            </w:tcBorders>
            <w:vAlign w:val="center"/>
          </w:tcPr>
          <w:p>
            <w:pPr>
              <w:pStyle w:val="Normal"/>
              <w:widowControl w:val="false"/>
              <w:rPr>
                <w:lang w:val="es-ES"/>
              </w:rPr>
            </w:pPr>
            <w:r>
              <w:rPr>
                <w:rFonts w:cs="Arial" w:ascii="Arial" w:hAnsi="Arial"/>
                <w:b/>
                <w:color w:val="000000"/>
                <w:sz w:val="14"/>
                <w:lang w:val="es-ES"/>
              </w:rPr>
              <w:t>Id.Op</w:t>
            </w:r>
          </w:p>
        </w:tc>
        <w:tc>
          <w:tcPr>
            <w:tcW w:w="1365" w:type="dxa"/>
            <w:tcBorders>
              <w:top w:val="single" w:sz="6" w:space="0" w:color="000000"/>
              <w:start w:val="single" w:sz="6" w:space="0" w:color="000000"/>
              <w:bottom w:val="single" w:sz="6" w:space="0" w:color="000000"/>
            </w:tcBorders>
            <w:vAlign w:val="center"/>
          </w:tcPr>
          <w:p>
            <w:pPr>
              <w:pStyle w:val="Normal"/>
              <w:widowControl w:val="false"/>
              <w:rPr>
                <w:lang w:val="es-ES"/>
              </w:rPr>
            </w:pPr>
            <w:r>
              <w:rPr>
                <w:rFonts w:cs="Arial" w:ascii="Arial" w:hAnsi="Arial"/>
                <w:b/>
                <w:color w:val="000000"/>
                <w:sz w:val="14"/>
                <w:lang w:val="es-ES"/>
              </w:rPr>
              <w:t>Núm.Op</w:t>
            </w:r>
          </w:p>
        </w:tc>
        <w:tc>
          <w:tcPr>
            <w:tcW w:w="1185" w:type="dxa"/>
            <w:tcBorders>
              <w:top w:val="single" w:sz="6" w:space="0" w:color="000000"/>
              <w:start w:val="single" w:sz="4" w:space="0" w:color="000000"/>
              <w:bottom w:val="single" w:sz="6" w:space="0" w:color="000000"/>
            </w:tcBorders>
            <w:vAlign w:val="center"/>
          </w:tcPr>
          <w:p>
            <w:pPr>
              <w:pStyle w:val="Normal"/>
              <w:widowControl w:val="false"/>
              <w:jc w:val="end"/>
              <w:rPr>
                <w:lang w:val="es-ES"/>
              </w:rPr>
            </w:pPr>
            <w:r>
              <w:rPr>
                <w:rFonts w:cs="Arial" w:ascii="Arial" w:hAnsi="Arial"/>
                <w:b/>
                <w:color w:val="000000"/>
                <w:sz w:val="14"/>
                <w:lang w:val="es-ES"/>
              </w:rPr>
              <w:t>Importe</w:t>
            </w:r>
          </w:p>
        </w:tc>
        <w:tc>
          <w:tcPr>
            <w:tcW w:w="1710" w:type="dxa"/>
            <w:gridSpan w:val="8"/>
            <w:tcBorders>
              <w:top w:val="single" w:sz="6" w:space="0" w:color="000000"/>
              <w:start w:val="single" w:sz="4" w:space="0" w:color="000000"/>
              <w:bottom w:val="single" w:sz="6" w:space="0" w:color="000000"/>
              <w:end w:val="single" w:sz="6" w:space="0" w:color="000000"/>
            </w:tcBorders>
            <w:vAlign w:val="center"/>
          </w:tcPr>
          <w:p>
            <w:pPr>
              <w:pStyle w:val="Normal"/>
              <w:widowControl w:val="false"/>
              <w:jc w:val="end"/>
              <w:rPr>
                <w:lang w:val="es-ES"/>
              </w:rPr>
            </w:pPr>
            <w:r>
              <w:rPr>
                <w:rFonts w:cs="Arial" w:ascii="Arial" w:hAnsi="Arial"/>
                <w:b/>
                <w:color w:val="000000"/>
                <w:sz w:val="14"/>
                <w:lang w:val="es-ES"/>
              </w:rPr>
              <w:t>Importe a justificar</w:t>
            </w:r>
          </w:p>
        </w:tc>
      </w:tr>
      <w:tr>
        <w:trPr>
          <w:trHeight w:val="400" w:hRule="atLeast"/>
          <w:cantSplit w:val="true"/>
        </w:trPr>
        <w:tc>
          <w:tcPr>
            <w:tcW w:w="2039" w:type="dxa"/>
            <w:tcBorders>
              <w:top w:val="single" w:sz="6" w:space="0" w:color="000000"/>
              <w:start w:val="single" w:sz="6" w:space="0" w:color="000000"/>
              <w:bottom w:val="single" w:sz="6" w:space="0" w:color="000000"/>
            </w:tcBorders>
            <w:tcMar>
              <w:start w:w="0" w:type="dxa"/>
              <w:end w:w="0" w:type="dxa"/>
            </w:tcMar>
            <w:vAlign w:val="center"/>
          </w:tcPr>
          <w:p>
            <w:pPr>
              <w:pStyle w:val="Normal"/>
              <w:widowControl w:val="false"/>
              <w:rPr>
                <w:lang w:val="es-ES"/>
              </w:rPr>
            </w:pPr>
            <w:r>
              <w:rPr>
                <w:rFonts w:cs="Arial" w:ascii="Arial" w:hAnsi="Arial"/>
                <w:color w:val="000000"/>
                <w:sz w:val="14"/>
                <w:lang w:val="es-ES"/>
              </w:rPr>
              <w:t>2021-00010944P</w:t>
            </w:r>
          </w:p>
        </w:tc>
        <w:tc>
          <w:tcPr>
            <w:tcW w:w="2205" w:type="dxa"/>
            <w:tcBorders>
              <w:top w:val="single" w:sz="6" w:space="0" w:color="000000"/>
              <w:start w:val="single" w:sz="6" w:space="0" w:color="000000"/>
              <w:bottom w:val="single" w:sz="6" w:space="0" w:color="000000"/>
            </w:tcBorders>
            <w:tcMar>
              <w:start w:w="0" w:type="dxa"/>
              <w:end w:w="0" w:type="dxa"/>
            </w:tcMar>
            <w:vAlign w:val="center"/>
          </w:tcPr>
          <w:p>
            <w:pPr>
              <w:pStyle w:val="Normal"/>
              <w:widowControl w:val="false"/>
              <w:suppressAutoHyphens w:val="false"/>
              <w:spacing w:lineRule="auto" w:line="240" w:before="0" w:after="0"/>
              <w:rPr>
                <w:lang w:val="es-ES"/>
              </w:rPr>
            </w:pPr>
            <w:r>
              <w:rPr>
                <w:rFonts w:eastAsia="Times New Roman" w:cs="Arial" w:ascii="Arial" w:hAnsi="Arial"/>
                <w:color w:val="000000"/>
                <w:sz w:val="14"/>
                <w:szCs w:val="20"/>
                <w:lang w:val="es-ES" w:eastAsia="zh-CN" w:bidi="ar-SA"/>
              </w:rPr>
              <w:t>2021 - 11121058/3411/48908059</w:t>
            </w:r>
          </w:p>
        </w:tc>
        <w:tc>
          <w:tcPr>
            <w:tcW w:w="855" w:type="dxa"/>
            <w:tcBorders>
              <w:top w:val="single" w:sz="6" w:space="0" w:color="000000"/>
              <w:start w:val="single" w:sz="6" w:space="0" w:color="000000"/>
              <w:bottom w:val="single" w:sz="6" w:space="0" w:color="000000"/>
            </w:tcBorders>
            <w:tcMar>
              <w:start w:w="0" w:type="dxa"/>
              <w:end w:w="0" w:type="dxa"/>
            </w:tcMar>
            <w:vAlign w:val="center"/>
          </w:tcPr>
          <w:p>
            <w:pPr>
              <w:pStyle w:val="Normal"/>
              <w:widowControl w:val="false"/>
              <w:rPr>
                <w:lang w:val="es-ES"/>
              </w:rPr>
            </w:pPr>
            <w:r>
              <w:rPr>
                <w:rFonts w:cs="Arial" w:ascii="Arial" w:hAnsi="Arial"/>
                <w:color w:val="000000"/>
                <w:sz w:val="14"/>
                <w:lang w:val="es-ES"/>
              </w:rPr>
              <w:t>AD</w:t>
            </w:r>
          </w:p>
        </w:tc>
        <w:tc>
          <w:tcPr>
            <w:tcW w:w="1365" w:type="dxa"/>
            <w:tcBorders>
              <w:top w:val="single" w:sz="6" w:space="0" w:color="000000"/>
              <w:start w:val="single" w:sz="6" w:space="0" w:color="000000"/>
              <w:bottom w:val="single" w:sz="6" w:space="0" w:color="000000"/>
            </w:tcBorders>
            <w:tcMar>
              <w:start w:w="0" w:type="dxa"/>
              <w:end w:w="0" w:type="dxa"/>
            </w:tcMar>
            <w:vAlign w:val="center"/>
          </w:tcPr>
          <w:p>
            <w:pPr>
              <w:pStyle w:val="Normal"/>
              <w:widowControl w:val="false"/>
              <w:suppressAutoHyphens w:val="false"/>
              <w:spacing w:lineRule="auto" w:line="240" w:before="0" w:after="0"/>
              <w:rPr>
                <w:lang w:val="es-ES"/>
              </w:rPr>
            </w:pPr>
            <w:r>
              <w:rPr>
                <w:rFonts w:eastAsia="Times New Roman" w:cs="Arial" w:ascii="Arial" w:hAnsi="Arial"/>
                <w:color w:val="000000"/>
                <w:sz w:val="14"/>
                <w:szCs w:val="20"/>
                <w:lang w:val="es-ES" w:eastAsia="zh-CN" w:bidi="ar-SA"/>
              </w:rPr>
              <w:t>12021000022179</w:t>
            </w:r>
          </w:p>
        </w:tc>
        <w:tc>
          <w:tcPr>
            <w:tcW w:w="1185" w:type="dxa"/>
            <w:tcBorders>
              <w:top w:val="single" w:sz="6" w:space="0" w:color="000000"/>
              <w:start w:val="single" w:sz="4" w:space="0" w:color="000000"/>
              <w:bottom w:val="single" w:sz="6" w:space="0" w:color="000000"/>
            </w:tcBorders>
            <w:tcMar>
              <w:start w:w="0" w:type="dxa"/>
              <w:end w:w="0" w:type="dxa"/>
            </w:tcMar>
            <w:vAlign w:val="center"/>
          </w:tcPr>
          <w:p>
            <w:pPr>
              <w:pStyle w:val="Normal"/>
              <w:widowControl w:val="false"/>
              <w:jc w:val="end"/>
              <w:rPr>
                <w:lang w:val="es-ES"/>
              </w:rPr>
            </w:pPr>
            <w:r>
              <w:rPr>
                <w:rFonts w:cs="Arial" w:ascii="Arial" w:hAnsi="Arial"/>
                <w:color w:val="000000"/>
                <w:sz w:val="14"/>
                <w:lang w:val="es-ES"/>
              </w:rPr>
              <w:t>45.000,00</w:t>
            </w:r>
          </w:p>
        </w:tc>
        <w:tc>
          <w:tcPr>
            <w:tcW w:w="1305" w:type="dxa"/>
            <w:tcBorders>
              <w:top w:val="single" w:sz="6" w:space="0" w:color="000000"/>
              <w:start w:val="single" w:sz="4" w:space="0" w:color="000000"/>
              <w:bottom w:val="single" w:sz="6" w:space="0" w:color="000000"/>
            </w:tcBorders>
            <w:tcMar>
              <w:start w:w="0" w:type="dxa"/>
              <w:end w:w="0" w:type="dxa"/>
            </w:tcMar>
            <w:vAlign w:val="center"/>
          </w:tcPr>
          <w:p>
            <w:pPr>
              <w:pStyle w:val="Normal"/>
              <w:widowControl w:val="false"/>
              <w:jc w:val="end"/>
              <w:rPr>
                <w:lang w:val="es-ES"/>
              </w:rPr>
            </w:pPr>
            <w:r>
              <w:rPr>
                <w:rFonts w:cs="Arial" w:ascii="Arial" w:hAnsi="Arial"/>
                <w:color w:val="000000"/>
                <w:sz w:val="14"/>
                <w:lang w:val="es-ES"/>
              </w:rPr>
              <w:t>90.000,00€</w:t>
            </w:r>
          </w:p>
        </w:tc>
        <w:tc>
          <w:tcPr>
            <w:tcW w:w="75" w:type="dxa"/>
            <w:tcBorders/>
            <w:tcMar>
              <w:start w:w="0" w:type="dxa"/>
              <w:end w:w="0" w:type="dxa"/>
            </w:tcMar>
          </w:tcPr>
          <w:p>
            <w:pPr>
              <w:pStyle w:val="Normal"/>
              <w:widowControl w:val="false"/>
              <w:snapToGrid w:val="false"/>
              <w:jc w:val="center"/>
              <w:rPr>
                <w:rFonts w:ascii="Arial" w:hAnsi="Arial" w:cs="Arial"/>
                <w:b/>
                <w:sz w:val="18"/>
                <w:szCs w:val="18"/>
                <w:lang w:val="es-ES"/>
              </w:rPr>
            </w:pPr>
            <w:r>
              <w:rPr>
                <w:rFonts w:cs="Arial" w:ascii="Arial" w:hAnsi="Arial"/>
                <w:b/>
                <w:sz w:val="18"/>
                <w:szCs w:val="18"/>
                <w:lang w:val="es-ES"/>
              </w:rPr>
            </w:r>
          </w:p>
        </w:tc>
        <w:tc>
          <w:tcPr>
            <w:tcW w:w="106" w:type="dxa"/>
            <w:tcBorders/>
            <w:tcMar>
              <w:start w:w="0" w:type="dxa"/>
              <w:end w:w="0" w:type="dxa"/>
            </w:tcMar>
          </w:tcPr>
          <w:p>
            <w:pPr>
              <w:pStyle w:val="Normal"/>
              <w:widowControl w:val="false"/>
              <w:snapToGrid w:val="false"/>
              <w:jc w:val="center"/>
              <w:rPr>
                <w:rFonts w:ascii="Arial" w:hAnsi="Arial" w:cs="Arial"/>
                <w:b/>
                <w:sz w:val="18"/>
                <w:szCs w:val="18"/>
                <w:lang w:val="es-ES"/>
              </w:rPr>
            </w:pPr>
            <w:r>
              <w:rPr>
                <w:rFonts w:cs="Arial" w:ascii="Arial" w:hAnsi="Arial"/>
                <w:b/>
                <w:sz w:val="18"/>
                <w:szCs w:val="18"/>
                <w:lang w:val="es-ES"/>
              </w:rPr>
            </w:r>
          </w:p>
        </w:tc>
        <w:tc>
          <w:tcPr>
            <w:tcW w:w="22" w:type="dxa"/>
            <w:tcBorders/>
            <w:tcMar>
              <w:start w:w="0" w:type="dxa"/>
              <w:end w:w="0" w:type="dxa"/>
            </w:tcMar>
          </w:tcPr>
          <w:p>
            <w:pPr>
              <w:pStyle w:val="Normal"/>
              <w:widowControl w:val="false"/>
              <w:snapToGrid w:val="false"/>
              <w:rPr>
                <w:rFonts w:ascii="Arial" w:hAnsi="Arial" w:cs="Arial"/>
                <w:b/>
                <w:sz w:val="18"/>
                <w:szCs w:val="18"/>
                <w:lang w:val="es-ES"/>
              </w:rPr>
            </w:pPr>
            <w:r>
              <w:rPr>
                <w:rFonts w:cs="Arial" w:ascii="Arial" w:hAnsi="Arial"/>
                <w:b/>
                <w:sz w:val="18"/>
                <w:szCs w:val="18"/>
                <w:lang w:val="es-ES"/>
              </w:rPr>
            </w:r>
          </w:p>
        </w:tc>
        <w:tc>
          <w:tcPr>
            <w:tcW w:w="24" w:type="dxa"/>
            <w:tcBorders/>
            <w:tcMar>
              <w:start w:w="0" w:type="dxa"/>
              <w:end w:w="0" w:type="dxa"/>
            </w:tcMar>
          </w:tcPr>
          <w:p>
            <w:pPr>
              <w:pStyle w:val="Normal"/>
              <w:widowControl w:val="false"/>
              <w:snapToGrid w:val="false"/>
              <w:rPr>
                <w:rFonts w:ascii="Arial" w:hAnsi="Arial" w:cs="Arial"/>
                <w:b/>
                <w:sz w:val="18"/>
                <w:szCs w:val="18"/>
                <w:lang w:val="es-ES"/>
              </w:rPr>
            </w:pPr>
            <w:r>
              <w:rPr>
                <w:rFonts w:cs="Arial" w:ascii="Arial" w:hAnsi="Arial"/>
                <w:b/>
                <w:sz w:val="18"/>
                <w:szCs w:val="18"/>
                <w:lang w:val="es-ES"/>
              </w:rPr>
            </w:r>
          </w:p>
        </w:tc>
        <w:tc>
          <w:tcPr>
            <w:tcW w:w="74" w:type="dxa"/>
            <w:tcBorders/>
            <w:tcMar>
              <w:start w:w="0" w:type="dxa"/>
              <w:end w:w="0" w:type="dxa"/>
            </w:tcMar>
          </w:tcPr>
          <w:p>
            <w:pPr>
              <w:pStyle w:val="Normal"/>
              <w:widowControl w:val="false"/>
              <w:snapToGrid w:val="false"/>
              <w:rPr>
                <w:rFonts w:ascii="Arial" w:hAnsi="Arial" w:cs="Arial"/>
                <w:b/>
                <w:sz w:val="18"/>
                <w:szCs w:val="18"/>
                <w:lang w:val="es-ES"/>
              </w:rPr>
            </w:pPr>
            <w:r>
              <w:rPr>
                <w:rFonts w:cs="Arial" w:ascii="Arial" w:hAnsi="Arial"/>
                <w:b/>
                <w:sz w:val="18"/>
                <w:szCs w:val="18"/>
                <w:lang w:val="es-ES"/>
              </w:rPr>
            </w:r>
          </w:p>
        </w:tc>
        <w:tc>
          <w:tcPr>
            <w:tcW w:w="45" w:type="dxa"/>
            <w:tcBorders/>
            <w:tcMar>
              <w:start w:w="0" w:type="dxa"/>
              <w:end w:w="0" w:type="dxa"/>
            </w:tcMar>
          </w:tcPr>
          <w:p>
            <w:pPr>
              <w:pStyle w:val="Normal"/>
              <w:widowControl w:val="false"/>
              <w:snapToGrid w:val="false"/>
              <w:rPr>
                <w:rFonts w:ascii="Arial" w:hAnsi="Arial" w:cs="Arial"/>
                <w:b/>
                <w:sz w:val="18"/>
                <w:szCs w:val="18"/>
                <w:lang w:val="es-ES"/>
              </w:rPr>
            </w:pPr>
            <w:r>
              <w:rPr>
                <w:rFonts w:cs="Arial" w:ascii="Arial" w:hAnsi="Arial"/>
                <w:b/>
                <w:sz w:val="18"/>
                <w:szCs w:val="18"/>
                <w:lang w:val="es-ES"/>
              </w:rPr>
            </w:r>
          </w:p>
        </w:tc>
        <w:tc>
          <w:tcPr>
            <w:tcW w:w="59" w:type="dxa"/>
            <w:tcBorders/>
            <w:tcMar>
              <w:start w:w="0" w:type="dxa"/>
              <w:end w:w="0" w:type="dxa"/>
            </w:tcMar>
          </w:tcPr>
          <w:p>
            <w:pPr>
              <w:pStyle w:val="Normal"/>
              <w:widowControl w:val="false"/>
              <w:snapToGrid w:val="false"/>
              <w:rPr>
                <w:rFonts w:ascii="Arial" w:hAnsi="Arial" w:cs="Arial"/>
                <w:b/>
                <w:sz w:val="18"/>
                <w:szCs w:val="18"/>
                <w:lang w:val="es-ES"/>
              </w:rPr>
            </w:pPr>
            <w:r>
              <w:rPr>
                <w:rFonts w:cs="Arial" w:ascii="Arial" w:hAnsi="Arial"/>
                <w:b/>
                <w:sz w:val="18"/>
                <w:szCs w:val="18"/>
                <w:lang w:val="es-ES"/>
              </w:rPr>
            </w:r>
          </w:p>
        </w:tc>
      </w:tr>
    </w:tbl>
    <w:p>
      <w:pPr>
        <w:pStyle w:val="Normal"/>
        <w:spacing w:before="0" w:after="120"/>
        <w:jc w:val="end"/>
        <w:rPr>
          <w:rFonts w:ascii="Arial" w:hAnsi="Arial" w:cs="Arial"/>
          <w:b/>
          <w:sz w:val="18"/>
          <w:szCs w:val="18"/>
          <w:lang w:val="es-ES"/>
        </w:rPr>
      </w:pPr>
      <w:r>
        <w:rPr>
          <w:rFonts w:cs="Arial" w:ascii="Arial" w:hAnsi="Arial"/>
          <w:b/>
          <w:sz w:val="18"/>
          <w:szCs w:val="18"/>
          <w:lang w:val="es-ES"/>
        </w:rPr>
      </w:r>
    </w:p>
    <w:p>
      <w:pPr>
        <w:pStyle w:val="Normal"/>
        <w:jc w:val="both"/>
        <w:rPr>
          <w:lang w:val="es-ES"/>
        </w:rPr>
      </w:pPr>
      <w:r>
        <w:rPr>
          <w:rFonts w:cs="Arial" w:ascii="Arial" w:hAnsi="Arial"/>
          <w:b/>
          <w:sz w:val="18"/>
          <w:szCs w:val="18"/>
          <w:lang w:val="es-ES"/>
        </w:rPr>
        <w:t>SEGUNDO.-</w:t>
      </w:r>
      <w:r>
        <w:rPr>
          <w:rFonts w:cs="Arial" w:ascii="Arial" w:hAnsi="Arial"/>
          <w:bCs/>
          <w:sz w:val="18"/>
          <w:szCs w:val="18"/>
          <w:lang w:val="es-ES"/>
        </w:rPr>
        <w:t xml:space="preserve"> </w:t>
      </w:r>
      <w:r>
        <w:rPr>
          <w:rFonts w:cs="Arial" w:ascii="Arial" w:hAnsi="Arial"/>
          <w:b/>
          <w:sz w:val="18"/>
          <w:szCs w:val="18"/>
          <w:lang w:val="es-ES"/>
        </w:rPr>
        <w:t>SATISFACER</w:t>
      </w:r>
      <w:r>
        <w:rPr>
          <w:rFonts w:cs="Arial" w:ascii="Arial" w:hAnsi="Arial"/>
          <w:sz w:val="18"/>
          <w:szCs w:val="18"/>
          <w:lang w:val="es-ES"/>
        </w:rPr>
        <w:t>, con la previa aceptación de la subvención, la cantidad correspondiente al 50 % del importe otorgado a la entidad, es decir, 22.500,00 euros, esta cantidad se satisfará a la entidad beneficiaria de la subvención con cargo al aplicación presupuestaria número detallada en el punto primero de la parte dispositiva de esta resolución.</w:t>
      </w:r>
    </w:p>
    <w:p>
      <w:pPr>
        <w:pStyle w:val="Normal"/>
        <w:jc w:val="both"/>
        <w:rPr>
          <w:lang w:val="es-ES"/>
        </w:rPr>
      </w:pPr>
      <w:r>
        <w:rPr>
          <w:lang w:val="es-ES"/>
        </w:rPr>
      </w:r>
    </w:p>
    <w:p>
      <w:pPr>
        <w:pStyle w:val="Normal"/>
        <w:jc w:val="both"/>
        <w:rPr>
          <w:lang w:val="es-ES"/>
        </w:rPr>
      </w:pPr>
      <w:r>
        <w:rPr>
          <w:rFonts w:cs="Arial" w:ascii="Arial" w:hAnsi="Arial"/>
          <w:b/>
          <w:bCs/>
          <w:sz w:val="18"/>
          <w:szCs w:val="18"/>
          <w:lang w:val="es-ES"/>
        </w:rPr>
        <w:t>TERCERO.-</w:t>
      </w:r>
      <w:r>
        <w:rPr>
          <w:rFonts w:cs="Arial" w:ascii="Arial" w:hAnsi="Arial"/>
          <w:b w:val="false"/>
          <w:bCs w:val="false"/>
          <w:color w:val="222222"/>
          <w:spacing w:val="-3"/>
          <w:sz w:val="18"/>
          <w:szCs w:val="18"/>
          <w:lang w:val="es-ES"/>
        </w:rPr>
        <w:t xml:space="preserve">Aprobar y anexar la minuta de convenio entre el Ayuntamiento de Badalona y la entidad </w:t>
      </w:r>
      <w:r>
        <w:rPr>
          <w:rFonts w:eastAsia="Times New Roman" w:cs="Arial" w:ascii="Arial" w:hAnsi="Arial"/>
          <w:b w:val="false"/>
          <w:bCs w:val="false"/>
          <w:color w:val="auto"/>
          <w:spacing w:val="-3"/>
          <w:sz w:val="18"/>
          <w:szCs w:val="18"/>
          <w:lang w:val="es-ES" w:eastAsia="zh-CN" w:bidi="ar-SA"/>
        </w:rPr>
        <w:t xml:space="preserve">Club Deportivo Seagull BDN </w:t>
      </w:r>
      <w:r>
        <w:rPr>
          <w:rFonts w:cs="Arial" w:ascii="Arial" w:hAnsi="Arial"/>
          <w:b w:val="false"/>
          <w:bCs w:val="false"/>
          <w:color w:val="222222"/>
          <w:spacing w:val="-3"/>
          <w:sz w:val="18"/>
          <w:szCs w:val="18"/>
          <w:lang w:val="es-ES"/>
        </w:rPr>
        <w:t>regulador de la subvención concedida a la entidad solicitante, que se transcribe a continuación:</w:t>
      </w:r>
    </w:p>
    <w:p>
      <w:pPr>
        <w:pStyle w:val="Normal"/>
        <w:jc w:val="both"/>
        <w:rPr>
          <w:b w:val="false"/>
          <w:bCs w:val="false"/>
          <w:lang w:val="es-ES"/>
        </w:rPr>
      </w:pPr>
      <w:r>
        <w:rPr>
          <w:b w:val="false"/>
          <w:bCs w:val="false"/>
          <w:lang w:val="es-ES"/>
        </w:rPr>
      </w:r>
    </w:p>
    <w:p>
      <w:pPr>
        <w:pStyle w:val="Normal"/>
        <w:jc w:val="both"/>
        <w:rPr>
          <w:b w:val="false"/>
          <w:bCs w:val="false"/>
          <w:lang w:val="es-ES"/>
        </w:rPr>
      </w:pPr>
      <w:r>
        <w:rPr>
          <w:b w:val="false"/>
          <w:bCs w:val="false"/>
          <w:lang w:val="es-ES"/>
        </w:rPr>
      </w:r>
    </w:p>
    <w:p>
      <w:pPr>
        <w:pStyle w:val="Normal"/>
        <w:jc w:val="both"/>
        <w:rPr>
          <w:b w:val="false"/>
          <w:bCs w:val="false"/>
          <w:lang w:val="es-ES"/>
        </w:rPr>
      </w:pPr>
      <w:r>
        <w:rPr>
          <w:b w:val="false"/>
          <w:bCs w:val="false"/>
          <w:lang w:val="es-ES"/>
        </w:rPr>
      </w:r>
    </w:p>
    <w:p>
      <w:pPr>
        <w:pStyle w:val="Normal"/>
        <w:jc w:val="both"/>
        <w:rPr>
          <w:lang w:val="es-ES"/>
        </w:rPr>
      </w:pPr>
      <w:r>
        <w:rPr>
          <w:lang w:val="es-ES"/>
        </w:rPr>
      </w:r>
    </w:p>
    <w:p>
      <w:pPr>
        <w:pStyle w:val="Normal"/>
        <w:jc w:val="both"/>
        <w:rPr>
          <w:lang w:val="es-ES"/>
        </w:rPr>
      </w:pPr>
      <w:r>
        <w:rPr>
          <w:lang w:val="es-ES"/>
        </w:rPr>
      </w:r>
    </w:p>
    <w:p>
      <w:pPr>
        <w:pStyle w:val="Normal"/>
        <w:jc w:val="both"/>
        <w:rPr>
          <w:lang w:val="es-ES"/>
        </w:rPr>
      </w:pPr>
      <w:r>
        <w:rPr>
          <w:lang w:val="es-ES"/>
        </w:rPr>
      </w:r>
    </w:p>
    <w:p>
      <w:pPr>
        <w:pStyle w:val="Normal"/>
        <w:jc w:val="both"/>
        <w:rPr>
          <w:lang w:val="es-ES"/>
        </w:rPr>
      </w:pPr>
      <w:r>
        <w:rPr>
          <w:lang w:val="es-ES"/>
        </w:rPr>
      </w:r>
    </w:p>
    <w:p>
      <w:pPr>
        <w:pStyle w:val="Normal"/>
        <w:jc w:val="both"/>
        <w:rPr>
          <w:lang w:val="es-ES"/>
        </w:rPr>
      </w:pPr>
      <w:r>
        <w:rPr>
          <w:lang w:val="es-ES"/>
        </w:rPr>
      </w:r>
    </w:p>
    <w:p>
      <w:pPr>
        <w:pStyle w:val="Normal"/>
        <w:jc w:val="both"/>
        <w:rPr>
          <w:lang w:val="es-ES"/>
        </w:rPr>
      </w:pPr>
      <w:r>
        <w:rPr>
          <w:lang w:val="es-ES"/>
        </w:rPr>
      </w:r>
    </w:p>
    <w:p>
      <w:pPr>
        <w:pStyle w:val="Normal"/>
        <w:jc w:val="both"/>
        <w:rPr>
          <w:lang w:val="es-ES"/>
        </w:rPr>
      </w:pPr>
      <w:r>
        <w:rPr>
          <w:lang w:val="es-ES"/>
        </w:rPr>
      </w:r>
    </w:p>
    <w:p>
      <w:pPr>
        <w:pStyle w:val="Normal"/>
        <w:jc w:val="both"/>
        <w:rPr>
          <w:lang w:val="es-ES"/>
        </w:rPr>
      </w:pPr>
      <w:r>
        <w:rPr>
          <w:lang w:val="es-ES"/>
        </w:rPr>
      </w:r>
    </w:p>
    <w:p>
      <w:pPr>
        <w:pStyle w:val="Normal"/>
        <w:jc w:val="both"/>
        <w:rPr>
          <w:lang w:val="es-ES"/>
        </w:rPr>
      </w:pPr>
      <w:r>
        <w:rPr>
          <w:lang w:val="es-ES"/>
        </w:rPr>
      </w:r>
    </w:p>
    <w:p>
      <w:pPr>
        <w:pStyle w:val="Normal"/>
        <w:jc w:val="both"/>
        <w:rPr>
          <w:lang w:val="es-ES"/>
        </w:rPr>
      </w:pPr>
      <w:r>
        <w:rPr>
          <w:rFonts w:eastAsia="Times New Roman" w:cs="Arial" w:ascii="Arial" w:hAnsi="Arial"/>
          <w:b/>
          <w:bCs/>
          <w:i/>
          <w:iCs/>
          <w:color w:val="auto"/>
          <w:sz w:val="18"/>
          <w:szCs w:val="18"/>
          <w:u w:val="single"/>
          <w:lang w:val="es-ES" w:eastAsia="zh-CN" w:bidi="ar-SA"/>
        </w:rPr>
        <w:t>«CONVENIO REGULADOR DE LA SUBVENCIÓN CONCEDIDA A LA ENTIDAD CLUB DEPORTIVO SEAGULL BDN</w:t>
      </w:r>
    </w:p>
    <w:p>
      <w:pPr>
        <w:pStyle w:val="Normal"/>
        <w:jc w:val="center"/>
        <w:rPr>
          <w:rFonts w:ascii="Arial" w:hAnsi="Arial" w:eastAsia="Times New Roman" w:cs="Arial"/>
          <w:b/>
          <w:i/>
          <w:i/>
          <w:iCs/>
          <w:color w:val="auto"/>
          <w:spacing w:val="20"/>
          <w:sz w:val="18"/>
          <w:szCs w:val="18"/>
          <w:lang w:val="es-ES" w:eastAsia="zh-CN" w:bidi="ar-SA"/>
        </w:rPr>
      </w:pPr>
      <w:r>
        <w:rPr>
          <w:rFonts w:eastAsia="Times New Roman" w:cs="Arial" w:ascii="Arial" w:hAnsi="Arial"/>
          <w:b/>
          <w:i/>
          <w:iCs/>
          <w:color w:val="auto"/>
          <w:spacing w:val="20"/>
          <w:sz w:val="18"/>
          <w:szCs w:val="18"/>
          <w:lang w:val="es-ES" w:eastAsia="zh-CN" w:bidi="ar-SA"/>
        </w:rPr>
      </w:r>
    </w:p>
    <w:p>
      <w:pPr>
        <w:pStyle w:val="Normal"/>
        <w:spacing w:before="0" w:after="0"/>
        <w:ind w:start="0" w:end="0" w:hanging="0"/>
        <w:contextualSpacing/>
        <w:jc w:val="both"/>
        <w:rPr>
          <w:rFonts w:ascii="Arial" w:hAnsi="Arial" w:eastAsia="Times New Roman" w:cs="Arial"/>
          <w:b/>
          <w:i/>
          <w:i/>
          <w:iCs/>
          <w:color w:val="auto"/>
          <w:spacing w:val="20"/>
          <w:sz w:val="18"/>
          <w:szCs w:val="18"/>
          <w:lang w:val="es-ES" w:eastAsia="zh-CN" w:bidi="ar-SA"/>
        </w:rPr>
      </w:pPr>
      <w:r>
        <w:rPr>
          <w:rFonts w:eastAsia="Times New Roman" w:cs="Arial" w:ascii="Arial" w:hAnsi="Arial"/>
          <w:b/>
          <w:i/>
          <w:iCs/>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bCs/>
          <w:color w:val="auto"/>
          <w:spacing w:val="20"/>
          <w:sz w:val="18"/>
          <w:szCs w:val="18"/>
          <w:lang w:val="es-ES" w:eastAsia="zh-CN" w:bidi="ar-SA"/>
        </w:rPr>
        <w:t>REUNIDOS</w:t>
      </w:r>
    </w:p>
    <w:p>
      <w:pPr>
        <w:pStyle w:val="Normal"/>
        <w:spacing w:before="0" w:after="0"/>
        <w:ind w:start="0" w:end="0" w:hanging="0"/>
        <w:contextualSpacing/>
        <w:jc w:val="both"/>
        <w:rPr>
          <w:rFonts w:ascii="Arial" w:hAnsi="Arial" w:eastAsia="Times New Roman" w:cs="Arial"/>
          <w:b/>
          <w:color w:val="auto"/>
          <w:spacing w:val="20"/>
          <w:sz w:val="18"/>
          <w:szCs w:val="18"/>
          <w:lang w:val="es-ES" w:eastAsia="zh-CN" w:bidi="ar-SA"/>
        </w:rPr>
      </w:pPr>
      <w:r>
        <w:rPr>
          <w:rFonts w:eastAsia="Times New Roman" w:cs="Arial" w:ascii="Arial" w:hAnsi="Arial"/>
          <w:b/>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Por una parte Xavier Garcia Albiol, alcalde del Ayuntamiento de Badalona.</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Y de otra parte la señora Maria del Pilar Ruiz Hernándo, mayor de edad, con domicilio en xxxxxxxxxxxxxxxxxxx, Badalona y con DNI núm. 3509XXXXX.</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bCs/>
          <w:color w:val="auto"/>
          <w:spacing w:val="20"/>
          <w:sz w:val="18"/>
          <w:szCs w:val="18"/>
          <w:lang w:val="es-ES" w:eastAsia="zh-CN" w:bidi="ar-SA"/>
        </w:rPr>
        <w:t>INTERVIENEN</w:t>
      </w:r>
    </w:p>
    <w:p>
      <w:pPr>
        <w:pStyle w:val="Normal"/>
        <w:spacing w:before="0" w:after="0"/>
        <w:ind w:start="0" w:end="0" w:hanging="0"/>
        <w:contextualSpacing/>
        <w:jc w:val="center"/>
        <w:rPr>
          <w:lang w:val="es-ES"/>
        </w:rPr>
      </w:pPr>
      <w:r>
        <w:rPr>
          <w:rFonts w:eastAsia="Arial" w:cs="Arial" w:ascii="Arial" w:hAnsi="Arial"/>
          <w:b w:val="false"/>
          <w:bCs w:val="false"/>
          <w:color w:val="auto"/>
          <w:spacing w:val="20"/>
          <w:sz w:val="18"/>
          <w:szCs w:val="18"/>
          <w:lang w:val="es-ES" w:eastAsia="zh-CN" w:bidi="ar-SA"/>
        </w:rPr>
        <w:t xml:space="preserve"> </w:t>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El primero en calidad de alcalde del Ayuntamiento de Badalona, ​​CIF: P0801500J.</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La segunda, en representación de la entidad Club Deportivo Seagull BDN, con sede en xxxxxxxxx, Badalona y CIF: G60577772</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Ambas partes se reconocen con capacidad y competencia respectivamente para formalizar este convenio.</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bCs/>
          <w:color w:val="auto"/>
          <w:spacing w:val="20"/>
          <w:sz w:val="18"/>
          <w:szCs w:val="18"/>
          <w:lang w:val="es-ES" w:eastAsia="zh-CN" w:bidi="ar-SA"/>
        </w:rPr>
        <w:t>MANIFIESTAN</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1. Que la entidad Club Deportivo Seagull BDN es una entidad sin ánimo de lucro, inscrita en el registro municipal con el núm. 407, cuyo objetivo principal es promocionar el fútbol femenino en el ámbito local.</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2. Que el Ayuntamiento de Badalona, ​​dentro del ámbito de sus competencias referidas a la ocupación del ocio, está comprometido con la participación ciudadana en todos los ámbitos, tanto sociales, como culturales y deportivos, por lo que suponen de enriquecimiento por los ciudadanos y especialmente por los jóvenes. La implantación del fútbol femenino en la ciudad es muy importante, porque es un deporte mayoritariamente practicado y dirigido al público masculino</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3.</w:t>
      </w:r>
      <w:r>
        <w:rPr>
          <w:rFonts w:eastAsia="Times New Roman" w:cs="Arial" w:ascii="Arial" w:hAnsi="Arial"/>
          <w:b w:val="false"/>
          <w:bCs w:val="false"/>
          <w:color w:val="auto"/>
          <w:spacing w:val="20"/>
          <w:sz w:val="20"/>
          <w:szCs w:val="20"/>
          <w:lang w:val="es-ES" w:eastAsia="zh-CN" w:bidi="ar-SA"/>
        </w:rPr>
        <w:t>Que en el Pleno municipal de 23 de marzo de 2021, se aprobó inicialmente el expediente de modificación del presupuesto, y el 3 de mayo de 2021 ha sido publicado en el BOP de Barcelona su aprobación definitiva, creando una partida presupuestaria, 11121058 -3411-48908059, destinada al otorgamiento de una subvención singular por importe de 45.000,00 € a la entidad Club deportivo Seagull BDN, con CIF: G60577772, por la promoción del fútbol femenino en la ciudad.</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4. Que de común acuerdo, ambas partes convienen la suscripción del presente convenio como instrumento canalizador de la subvención prevista en el antecedente anterior, la cual se regirá con sujeción a las siguientes</w:t>
      </w:r>
    </w:p>
    <w:p>
      <w:pPr>
        <w:pStyle w:val="Normal"/>
        <w:spacing w:before="0" w:after="0"/>
        <w:ind w:start="0" w:end="0" w:hanging="0"/>
        <w:contextualSpacing/>
        <w:jc w:val="both"/>
        <w:rPr>
          <w:rFonts w:ascii="Arial" w:hAnsi="Arial" w:eastAsia="Times New Roman" w:cs="Arial"/>
          <w:b/>
          <w:bCs/>
          <w:color w:val="auto"/>
          <w:spacing w:val="20"/>
          <w:sz w:val="18"/>
          <w:szCs w:val="18"/>
          <w:lang w:val="es-ES" w:eastAsia="zh-CN" w:bidi="ar-SA"/>
        </w:rPr>
      </w:pPr>
      <w:r>
        <w:rPr>
          <w:rFonts w:eastAsia="Times New Roman" w:cs="Arial" w:ascii="Arial" w:hAnsi="Arial"/>
          <w:b/>
          <w:bCs/>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bCs/>
          <w:color w:val="auto"/>
          <w:spacing w:val="20"/>
          <w:sz w:val="18"/>
          <w:szCs w:val="18"/>
          <w:lang w:val="es-ES" w:eastAsia="zh-CN" w:bidi="ar-SA"/>
        </w:rPr>
        <w:t>CLÁUSULAS</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bCs/>
          <w:color w:val="auto"/>
          <w:spacing w:val="20"/>
          <w:sz w:val="18"/>
          <w:szCs w:val="18"/>
          <w:lang w:val="es-ES" w:eastAsia="zh-CN" w:bidi="ar-SA"/>
        </w:rPr>
        <w:t>PRIMERA.- Objeto de la subvención.</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El beneficiario de la subvención descrita en los antecedentes realizará la actividad de promoción del fútbol femenino en la ciudad, de acuerdo con la memoria explicativa que adjunta a la solicitud y con un presupuesto de gasto aceptado por este Ayuntamiento de 90.000,00 € .</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bCs/>
          <w:color w:val="auto"/>
          <w:spacing w:val="20"/>
          <w:sz w:val="18"/>
          <w:szCs w:val="18"/>
          <w:lang w:val="es-ES" w:eastAsia="zh-CN" w:bidi="ar-SA"/>
        </w:rPr>
        <w:t>SEGUNDA.- Vigencia del convenio.</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La vigencia del presente convenio se extiende desde la firma del presente convenio hasta el 31 de diciembre de 2021, sin perjuicio de que perduren las obligaciones de cada una de las partes nacidas en aplicación de las previsiones del convenio, y en ningún caso, podrá ser objeto de prórroga.</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Standard"/>
        <w:spacing w:before="0" w:after="0"/>
        <w:ind w:start="0" w:end="0" w:hanging="0"/>
        <w:contextualSpacing/>
        <w:jc w:val="both"/>
        <w:rPr>
          <w:lang w:val="es-ES"/>
        </w:rPr>
      </w:pPr>
      <w:r>
        <w:rPr>
          <w:rFonts w:eastAsia="Times New Roman" w:cs="Arial" w:ascii="Arial" w:hAnsi="Arial"/>
          <w:b w:val="false"/>
          <w:bCs w:val="false"/>
          <w:iCs/>
          <w:color w:val="auto"/>
          <w:spacing w:val="20"/>
          <w:sz w:val="18"/>
          <w:szCs w:val="18"/>
          <w:lang w:val="es-ES" w:eastAsia="zh-CN" w:bidi="ar-SA"/>
        </w:rPr>
        <w:t>No obstante, serán imputables al presente Convenio los gastos que respondan de forma indudable a la naturaleza de la subvención, realizados con anterioridad a la formalización del mismo, siempre que estén debidamente justificados y se hayan realizado a partir del 01/01/ 2021 y dentro de este ejercicio.</w:t>
      </w:r>
    </w:p>
    <w:p>
      <w:pPr>
        <w:pStyle w:val="Standard"/>
        <w:spacing w:before="0" w:after="0"/>
        <w:ind w:start="0" w:end="0" w:hanging="0"/>
        <w:contextualSpacing/>
        <w:jc w:val="both"/>
        <w:rPr>
          <w:rFonts w:ascii="Arial" w:hAnsi="Arial" w:eastAsia="Times New Roman" w:cs="Arial"/>
          <w:b w:val="false"/>
          <w:bCs w:val="false"/>
          <w:iCs/>
          <w:color w:val="auto"/>
          <w:spacing w:val="20"/>
          <w:sz w:val="18"/>
          <w:szCs w:val="18"/>
          <w:lang w:val="es-ES" w:eastAsia="zh-CN" w:bidi="ar-SA"/>
        </w:rPr>
      </w:pPr>
      <w:r>
        <w:rPr>
          <w:rFonts w:eastAsia="Times New Roman" w:cs="Arial" w:ascii="Arial" w:hAnsi="Arial"/>
          <w:b w:val="false"/>
          <w:bCs w:val="false"/>
          <w:iCs/>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bCs/>
          <w:color w:val="auto"/>
          <w:spacing w:val="20"/>
          <w:sz w:val="18"/>
          <w:szCs w:val="18"/>
          <w:lang w:val="es-ES" w:eastAsia="zh-CN" w:bidi="ar-SA"/>
        </w:rPr>
        <w:t>TERCERA.- Obligaciones del beneficiario.</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El beneficiario de la subvención asume las siguientes obligaciones:</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 Realizar la actividad objeto de la subvención, promocionando el fútbol femenino en la ciudad.</w:t>
      </w:r>
    </w:p>
    <w:p>
      <w:pPr>
        <w:pStyle w:val="Normal"/>
        <w:spacing w:before="0" w:after="0"/>
        <w:ind w:start="0" w:end="0" w:hanging="0"/>
        <w:contextualSpacing/>
        <w:jc w:val="start"/>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 Ejecutar el proyecto de acuerdo con las indicaciones que se den por los técnicos municipales.</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 Justificar ante el Ayuntamiento de Badalona la realización de la actividad, así como el cumplimiento de la finalidad y requisitos que determina la legislación para la concesión de la subvención.</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 Someterse a las actuaciones de comprobación que correspondan al Ayuntamiento ya las de control financiero que correspondan a la intervención general del Ayuntamiento.</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.-Comunicar al Ayuntamiento el importe total de las subvenciones recibidas, así como el resto de ingresos que financien las actividades subvencionadas y el resto de circunstancias y situaciones previstas en el capítulo II de la Ley 19/2013, de 9 de diciembre, de transparencia, acceso a la información pública y buen gobierno.</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 Hacer constar expresamente el apoyo económico del Ayuntamiento de Badalona en cualquier actuación de difusión y publicidad de la actividad subvencionada.</w:t>
      </w:r>
    </w:p>
    <w:p>
      <w:pPr>
        <w:pStyle w:val="Normal"/>
        <w:spacing w:before="0" w:after="0"/>
        <w:ind w:start="0" w:end="0" w:hanging="0"/>
        <w:contextualSpacing/>
        <w:jc w:val="both"/>
        <w:rPr>
          <w:rFonts w:ascii="Arial" w:hAnsi="Arial" w:eastAsia="Times New Roman" w:cs="Arial"/>
          <w:b/>
          <w:bCs/>
          <w:color w:val="auto"/>
          <w:spacing w:val="20"/>
          <w:sz w:val="18"/>
          <w:szCs w:val="18"/>
          <w:lang w:val="es-ES" w:eastAsia="zh-CN" w:bidi="ar-SA"/>
        </w:rPr>
      </w:pPr>
      <w:r>
        <w:rPr>
          <w:rFonts w:eastAsia="Times New Roman" w:cs="Arial" w:ascii="Arial" w:hAnsi="Arial"/>
          <w:b/>
          <w:bCs/>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bCs/>
          <w:color w:val="auto"/>
          <w:spacing w:val="20"/>
          <w:sz w:val="18"/>
          <w:szCs w:val="18"/>
          <w:lang w:val="es-ES" w:eastAsia="zh-CN" w:bidi="ar-SA"/>
        </w:rPr>
        <w:t>CUARTA.- Importe y forma de pago</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El Ayuntamiento de Badalona, ​​previa justificación de la actividad subvencionada, se compromete a colaborar económicamente con el beneficiario de la subvención para que pueda cumplir el objeto de este convenio, mediante la aportación económica de 45.000,00 €, que representa el 50% del presupuesto de gasto de la actividad presentado por la entidad,</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El pago de la subvención se realizará en dos pagos:</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numPr>
          <w:ilvl w:val="0"/>
          <w:numId w:val="3"/>
        </w:numPr>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Un primer pago a cuenta del 50% de la subvención</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numPr>
          <w:ilvl w:val="0"/>
          <w:numId w:val="3"/>
        </w:numPr>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Y un segundo pago del 50% restante, que se abonará una vez justificada la realización total de la actividad subvencionada, así como la justificación de la realización efectiva del total del presupuesto presentado</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bCs/>
          <w:color w:val="auto"/>
          <w:spacing w:val="20"/>
          <w:sz w:val="18"/>
          <w:szCs w:val="18"/>
          <w:lang w:val="es-ES" w:eastAsia="zh-CN" w:bidi="ar-SA"/>
        </w:rPr>
        <w:t>QUINTA.- Gastos subvencionables y forma de justificar</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Standard"/>
        <w:spacing w:before="0" w:after="0"/>
        <w:ind w:start="0" w:end="0" w:hanging="0"/>
        <w:contextualSpacing/>
        <w:jc w:val="both"/>
        <w:rPr>
          <w:lang w:val="es-ES"/>
        </w:rPr>
      </w:pPr>
      <w:r>
        <w:rPr>
          <w:rFonts w:eastAsia="Times New Roman" w:cs="Arial" w:ascii="Arial" w:hAnsi="Arial"/>
          <w:iCs/>
          <w:color w:val="auto"/>
          <w:sz w:val="18"/>
          <w:szCs w:val="18"/>
          <w:lang w:val="es-ES" w:eastAsia="zh-CN" w:bidi="ar-SA"/>
        </w:rPr>
        <w:t>Se consideran gastos subvencionables los gastos relacionados directamente con el desarrollo del proyecto, actividades y finalidades referidas en los pactos 1, que resulten estrictamente necesarios y se realicen en las condiciones que determina este Convenio.</w:t>
      </w:r>
    </w:p>
    <w:p>
      <w:pPr>
        <w:pStyle w:val="Standard"/>
        <w:spacing w:before="0" w:after="0"/>
        <w:ind w:start="0" w:end="0" w:hanging="0"/>
        <w:contextualSpacing/>
        <w:jc w:val="both"/>
        <w:rPr>
          <w:lang w:val="es-ES"/>
        </w:rPr>
      </w:pPr>
      <w:r>
        <w:rPr>
          <w:rFonts w:eastAsia="Times New Roman" w:cs="Arial" w:ascii="Arial" w:hAnsi="Arial"/>
          <w:b w:val="false"/>
          <w:bCs w:val="false"/>
          <w:iCs/>
          <w:color w:val="auto"/>
          <w:spacing w:val="20"/>
          <w:sz w:val="18"/>
          <w:szCs w:val="18"/>
          <w:lang w:val="es-ES" w:eastAsia="zh-CN" w:bidi="ar-SA"/>
        </w:rPr>
        <w:t>En ningún caso, los gastos de adquisición de los gastos subvencionables podrán ser superiores al valor de mercado.</w:t>
      </w:r>
    </w:p>
    <w:p>
      <w:pPr>
        <w:pStyle w:val="Standard"/>
        <w:spacing w:before="0" w:after="0"/>
        <w:ind w:start="0" w:end="0" w:hanging="0"/>
        <w:contextualSpacing/>
        <w:jc w:val="both"/>
        <w:rPr>
          <w:rFonts w:ascii="Arial" w:hAnsi="Arial" w:eastAsia="Times New Roman" w:cs="Arial"/>
          <w:b w:val="false"/>
          <w:bCs w:val="false"/>
          <w:iCs/>
          <w:color w:val="auto"/>
          <w:spacing w:val="20"/>
          <w:sz w:val="18"/>
          <w:szCs w:val="18"/>
          <w:lang w:val="es-ES" w:eastAsia="zh-CN" w:bidi="ar-SA"/>
        </w:rPr>
      </w:pPr>
      <w:r>
        <w:rPr>
          <w:rFonts w:eastAsia="Times New Roman" w:cs="Arial" w:ascii="Arial" w:hAnsi="Arial"/>
          <w:b w:val="false"/>
          <w:bCs w:val="false"/>
          <w:iCs/>
          <w:color w:val="auto"/>
          <w:spacing w:val="20"/>
          <w:sz w:val="18"/>
          <w:szCs w:val="18"/>
          <w:lang w:val="es-ES" w:eastAsia="zh-CN" w:bidi="ar-SA"/>
        </w:rPr>
      </w:r>
    </w:p>
    <w:p>
      <w:pPr>
        <w:pStyle w:val="Normal"/>
        <w:spacing w:before="0" w:after="120"/>
        <w:ind w:start="0" w:end="0" w:hanging="0"/>
        <w:contextualSpacing/>
        <w:jc w:val="both"/>
        <w:rPr>
          <w:lang w:val="es-ES"/>
        </w:rPr>
      </w:pPr>
      <w:r>
        <w:rPr>
          <w:rFonts w:eastAsia="Times New Roman" w:cs="Arial" w:ascii="Arial" w:hAnsi="Arial"/>
          <w:i w:val="false"/>
          <w:iCs w:val="false"/>
          <w:color w:val="auto"/>
          <w:sz w:val="18"/>
          <w:szCs w:val="18"/>
          <w:lang w:val="es-ES" w:eastAsia="zh-CN" w:bidi="ar-SA"/>
        </w:rPr>
        <w:t>El Club de Deportivo Seagull BDN deberá justificar la aplicación de los fondos percibidos de acuerdo con lo que se establece en los artículos 30 y 31 de la LGS.</w:t>
      </w:r>
    </w:p>
    <w:p>
      <w:pPr>
        <w:pStyle w:val="Normal"/>
        <w:spacing w:before="0" w:after="120"/>
        <w:ind w:start="1776" w:end="0" w:hanging="0"/>
        <w:contextualSpacing/>
        <w:jc w:val="both"/>
        <w:rPr>
          <w:rFonts w:ascii="Arial" w:hAnsi="Arial" w:eastAsia="Times New Roman" w:cs="Arial"/>
          <w:i/>
          <w:i/>
          <w:iCs/>
          <w:color w:val="auto"/>
          <w:sz w:val="18"/>
          <w:szCs w:val="18"/>
          <w:lang w:val="es-ES" w:eastAsia="zh-CN" w:bidi="ar-SA"/>
        </w:rPr>
      </w:pPr>
      <w:r>
        <w:rPr>
          <w:rFonts w:eastAsia="Times New Roman" w:cs="Arial" w:ascii="Arial" w:hAnsi="Arial"/>
          <w:i/>
          <w:iCs/>
          <w:color w:val="auto"/>
          <w:sz w:val="18"/>
          <w:szCs w:val="18"/>
          <w:lang w:val="es-ES" w:eastAsia="zh-CN" w:bidi="ar-SA"/>
        </w:rPr>
      </w:r>
    </w:p>
    <w:p>
      <w:pPr>
        <w:pStyle w:val="Normal"/>
        <w:spacing w:before="0" w:after="120"/>
        <w:ind w:start="0" w:end="0" w:hanging="0"/>
        <w:contextualSpacing/>
        <w:jc w:val="both"/>
        <w:rPr>
          <w:lang w:val="es-ES"/>
        </w:rPr>
      </w:pPr>
      <w:r>
        <w:rPr>
          <w:rFonts w:eastAsia="Times New Roman" w:cs="Arial" w:ascii="Arial" w:hAnsi="Arial"/>
          <w:i w:val="false"/>
          <w:iCs w:val="false"/>
          <w:color w:val="auto"/>
          <w:sz w:val="18"/>
          <w:szCs w:val="18"/>
          <w:lang w:val="es-ES" w:eastAsia="zh-CN" w:bidi="ar-SA"/>
        </w:rPr>
        <w:t>Esta justificación se efectuará dentro del plazo de tres meses a partir de la fecha de finalización del plazo para la realización del proyecto al que se refiere la subvención.</w:t>
      </w:r>
    </w:p>
    <w:p>
      <w:pPr>
        <w:pStyle w:val="Normal"/>
        <w:spacing w:before="0" w:after="120"/>
        <w:ind w:start="1776" w:end="0" w:hanging="0"/>
        <w:contextualSpacing/>
        <w:jc w:val="both"/>
        <w:rPr>
          <w:rFonts w:ascii="Arial" w:hAnsi="Arial" w:eastAsia="Times New Roman" w:cs="Arial"/>
          <w:i w:val="false"/>
          <w:i w:val="false"/>
          <w:iCs w:val="false"/>
          <w:color w:val="auto"/>
          <w:sz w:val="18"/>
          <w:szCs w:val="18"/>
          <w:lang w:val="es-ES" w:eastAsia="zh-CN" w:bidi="ar-SA"/>
        </w:rPr>
      </w:pPr>
      <w:r>
        <w:rPr>
          <w:rFonts w:eastAsia="Times New Roman" w:cs="Arial" w:ascii="Arial" w:hAnsi="Arial"/>
          <w:i w:val="false"/>
          <w:iCs w:val="false"/>
          <w:color w:val="auto"/>
          <w:sz w:val="18"/>
          <w:szCs w:val="18"/>
          <w:lang w:val="es-ES" w:eastAsia="zh-CN" w:bidi="ar-SA"/>
        </w:rPr>
      </w:r>
    </w:p>
    <w:p>
      <w:pPr>
        <w:pStyle w:val="Normal"/>
        <w:spacing w:before="0" w:after="120"/>
        <w:ind w:start="0" w:end="0" w:hanging="0"/>
        <w:contextualSpacing/>
        <w:jc w:val="both"/>
        <w:rPr>
          <w:lang w:val="es-ES"/>
        </w:rPr>
      </w:pPr>
      <w:r>
        <w:rPr>
          <w:rFonts w:eastAsia="Times New Roman" w:cs="Arial" w:ascii="Arial" w:hAnsi="Arial"/>
          <w:i w:val="false"/>
          <w:iCs w:val="false"/>
          <w:color w:val="auto"/>
          <w:sz w:val="18"/>
          <w:szCs w:val="18"/>
          <w:lang w:val="es-ES" w:eastAsia="zh-CN" w:bidi="ar-SA"/>
        </w:rPr>
        <w:t>A efectos de justificar la aplicación de los fondos percibidos al cumplimiento de los objetivos y finalidades de la subvención. El Club Deportivo Seagull BDN presentará la cuenta justificativa que contenga la siguiente documentación:</w:t>
      </w:r>
    </w:p>
    <w:p>
      <w:pPr>
        <w:pStyle w:val="Normal"/>
        <w:spacing w:before="0" w:after="120"/>
        <w:ind w:start="1776" w:end="0" w:hanging="0"/>
        <w:contextualSpacing/>
        <w:jc w:val="both"/>
        <w:rPr>
          <w:rFonts w:ascii="Arial" w:hAnsi="Arial" w:eastAsia="Times New Roman" w:cs="Arial"/>
          <w:i w:val="false"/>
          <w:i w:val="false"/>
          <w:iCs w:val="false"/>
          <w:color w:val="auto"/>
          <w:sz w:val="18"/>
          <w:szCs w:val="18"/>
          <w:lang w:val="es-ES" w:eastAsia="zh-CN" w:bidi="ar-SA"/>
        </w:rPr>
      </w:pPr>
      <w:r>
        <w:rPr>
          <w:rFonts w:eastAsia="Times New Roman" w:cs="Arial" w:ascii="Arial" w:hAnsi="Arial"/>
          <w:i w:val="false"/>
          <w:iCs w:val="false"/>
          <w:color w:val="auto"/>
          <w:sz w:val="18"/>
          <w:szCs w:val="18"/>
          <w:lang w:val="es-ES" w:eastAsia="zh-CN" w:bidi="ar-SA"/>
        </w:rPr>
      </w:r>
    </w:p>
    <w:p>
      <w:pPr>
        <w:pStyle w:val="Llistamulticolormfasi1"/>
        <w:numPr>
          <w:ilvl w:val="0"/>
          <w:numId w:val="4"/>
        </w:numPr>
        <w:spacing w:lineRule="auto" w:line="240" w:before="0" w:after="120"/>
        <w:ind w:start="1587" w:end="0" w:hanging="340"/>
        <w:contextualSpacing/>
        <w:jc w:val="both"/>
        <w:rPr>
          <w:lang w:val="es-ES"/>
        </w:rPr>
      </w:pPr>
      <w:r>
        <w:rPr>
          <w:rFonts w:eastAsia="Times New Roman" w:cs="Arial" w:ascii="Arial" w:hAnsi="Arial"/>
          <w:i w:val="false"/>
          <w:iCs w:val="false"/>
          <w:color w:val="auto"/>
          <w:sz w:val="18"/>
          <w:szCs w:val="18"/>
          <w:lang w:val="es-ES" w:eastAsia="zh-CN" w:bidi="ar-SA"/>
        </w:rPr>
        <w:t>Una memoria de actuación justificativa del cumplimiento de las condiciones impuestas en la concesión de la subvención con indicación de las actividades realizadas y de los resultados obtenidos.</w:t>
      </w:r>
    </w:p>
    <w:p>
      <w:pPr>
        <w:pStyle w:val="Llistamulticolormfasi1"/>
        <w:spacing w:lineRule="auto" w:line="240" w:before="0" w:after="120"/>
        <w:ind w:start="2496" w:end="0" w:hanging="0"/>
        <w:contextualSpacing/>
        <w:jc w:val="both"/>
        <w:rPr>
          <w:rFonts w:ascii="Arial" w:hAnsi="Arial" w:eastAsia="Times New Roman" w:cs="Arial"/>
          <w:i w:val="false"/>
          <w:i w:val="false"/>
          <w:iCs w:val="false"/>
          <w:color w:val="auto"/>
          <w:sz w:val="18"/>
          <w:szCs w:val="18"/>
          <w:lang w:val="es-ES" w:eastAsia="zh-CN" w:bidi="ar-SA"/>
        </w:rPr>
      </w:pPr>
      <w:r>
        <w:rPr>
          <w:rFonts w:eastAsia="Times New Roman" w:cs="Arial" w:ascii="Arial" w:hAnsi="Arial"/>
          <w:i w:val="false"/>
          <w:iCs w:val="false"/>
          <w:color w:val="auto"/>
          <w:sz w:val="18"/>
          <w:szCs w:val="18"/>
          <w:lang w:val="es-ES" w:eastAsia="zh-CN" w:bidi="ar-SA"/>
        </w:rPr>
      </w:r>
    </w:p>
    <w:p>
      <w:pPr>
        <w:pStyle w:val="Llistamulticolormfasi1"/>
        <w:numPr>
          <w:ilvl w:val="0"/>
          <w:numId w:val="4"/>
        </w:numPr>
        <w:spacing w:lineRule="auto" w:line="240" w:before="0" w:after="120"/>
        <w:ind w:start="1587" w:end="0" w:hanging="340"/>
        <w:contextualSpacing/>
        <w:jc w:val="both"/>
        <w:rPr>
          <w:lang w:val="es-ES"/>
        </w:rPr>
      </w:pPr>
      <w:r>
        <w:rPr>
          <w:rFonts w:eastAsia="Times New Roman" w:cs="Arial" w:ascii="Arial" w:hAnsi="Arial"/>
          <w:i w:val="false"/>
          <w:iCs w:val="false"/>
          <w:color w:val="auto"/>
          <w:sz w:val="18"/>
          <w:szCs w:val="18"/>
          <w:lang w:val="es-ES" w:eastAsia="zh-CN" w:bidi="ar-SA"/>
        </w:rPr>
        <w:t>Una memoria económica justificativa del coste de las actividades realizadas que contenga lo siguiente:</w:t>
      </w:r>
    </w:p>
    <w:p>
      <w:pPr>
        <w:pStyle w:val="Llistamulticolormfasi1"/>
        <w:spacing w:lineRule="auto" w:line="240" w:before="0" w:after="120"/>
        <w:ind w:start="2496" w:end="0" w:hanging="0"/>
        <w:contextualSpacing/>
        <w:jc w:val="both"/>
        <w:rPr>
          <w:rFonts w:ascii="Arial" w:hAnsi="Arial" w:eastAsia="Times New Roman" w:cs="Arial"/>
          <w:i w:val="false"/>
          <w:i w:val="false"/>
          <w:iCs w:val="false"/>
          <w:color w:val="auto"/>
          <w:sz w:val="18"/>
          <w:szCs w:val="18"/>
          <w:lang w:val="es-ES" w:eastAsia="zh-CN" w:bidi="ar-SA"/>
        </w:rPr>
      </w:pPr>
      <w:r>
        <w:rPr>
          <w:rFonts w:eastAsia="Times New Roman" w:cs="Arial" w:ascii="Arial" w:hAnsi="Arial"/>
          <w:i w:val="false"/>
          <w:iCs w:val="false"/>
          <w:color w:val="auto"/>
          <w:sz w:val="18"/>
          <w:szCs w:val="18"/>
          <w:lang w:val="es-ES" w:eastAsia="zh-CN" w:bidi="ar-SA"/>
        </w:rPr>
      </w:r>
    </w:p>
    <w:p>
      <w:pPr>
        <w:pStyle w:val="Llistamulticolormfasi1"/>
        <w:numPr>
          <w:ilvl w:val="1"/>
          <w:numId w:val="4"/>
        </w:numPr>
        <w:spacing w:lineRule="auto" w:line="240" w:before="0" w:after="120"/>
        <w:ind w:start="3216" w:end="0" w:hanging="360"/>
        <w:contextualSpacing/>
        <w:jc w:val="both"/>
        <w:rPr>
          <w:lang w:val="es-ES"/>
        </w:rPr>
      </w:pPr>
      <w:r>
        <w:rPr>
          <w:rFonts w:eastAsia="Times New Roman" w:cs="Arial" w:ascii="Arial" w:hAnsi="Arial"/>
          <w:i w:val="false"/>
          <w:iCs w:val="false"/>
          <w:color w:val="auto"/>
          <w:sz w:val="18"/>
          <w:szCs w:val="18"/>
          <w:lang w:val="es-ES" w:eastAsia="zh-CN" w:bidi="ar-SA"/>
        </w:rPr>
        <w:t>Una relación clasificada de los gastos de la actividad, con identificación del acreedor y del documento, su importe, fecha de emisión y, en su caso, fecha de pago.</w:t>
      </w:r>
    </w:p>
    <w:p>
      <w:pPr>
        <w:pStyle w:val="Llistamulticolormfasi1"/>
        <w:spacing w:lineRule="auto" w:line="240" w:before="0" w:after="120"/>
        <w:ind w:start="3216" w:end="0" w:hanging="0"/>
        <w:contextualSpacing/>
        <w:jc w:val="both"/>
        <w:rPr>
          <w:rFonts w:ascii="Arial" w:hAnsi="Arial" w:eastAsia="Times New Roman" w:cs="Arial"/>
          <w:i w:val="false"/>
          <w:i w:val="false"/>
          <w:iCs w:val="false"/>
          <w:color w:val="auto"/>
          <w:sz w:val="18"/>
          <w:szCs w:val="18"/>
          <w:lang w:val="es-ES" w:eastAsia="zh-CN" w:bidi="ar-SA"/>
        </w:rPr>
      </w:pPr>
      <w:r>
        <w:rPr>
          <w:rFonts w:eastAsia="Times New Roman" w:cs="Arial" w:ascii="Arial" w:hAnsi="Arial"/>
          <w:i w:val="false"/>
          <w:iCs w:val="false"/>
          <w:color w:val="auto"/>
          <w:sz w:val="18"/>
          <w:szCs w:val="18"/>
          <w:lang w:val="es-ES" w:eastAsia="zh-CN" w:bidi="ar-SA"/>
        </w:rPr>
      </w:r>
    </w:p>
    <w:p>
      <w:pPr>
        <w:pStyle w:val="Llistamulticolormfasi1"/>
        <w:numPr>
          <w:ilvl w:val="1"/>
          <w:numId w:val="4"/>
        </w:numPr>
        <w:spacing w:lineRule="auto" w:line="240" w:before="0" w:after="120"/>
        <w:ind w:start="3216" w:end="0" w:hanging="360"/>
        <w:contextualSpacing/>
        <w:jc w:val="both"/>
        <w:rPr>
          <w:lang w:val="es-ES"/>
        </w:rPr>
      </w:pPr>
      <w:r>
        <w:rPr>
          <w:rFonts w:eastAsia="Times New Roman" w:cs="Arial" w:ascii="Arial" w:hAnsi="Arial"/>
          <w:i w:val="false"/>
          <w:iCs w:val="false"/>
          <w:color w:val="auto"/>
          <w:sz w:val="18"/>
          <w:szCs w:val="18"/>
          <w:lang w:val="es-ES" w:eastAsia="zh-CN" w:bidi="ar-SA"/>
        </w:rPr>
        <w:t>Las facturas o documentos de valor probatorio o equivalente en el tráfico jurídico mercantil o con eficacia administrativa incorporados en la relación referida en el punto anterior y, en su caso, la documentación acreditativa del pago.</w:t>
      </w:r>
    </w:p>
    <w:p>
      <w:pPr>
        <w:pStyle w:val="Llistamulticolormfasi1"/>
        <w:spacing w:lineRule="auto" w:line="240" w:before="0" w:after="120"/>
        <w:ind w:start="3216" w:end="0" w:hanging="0"/>
        <w:contextualSpacing/>
        <w:jc w:val="both"/>
        <w:rPr>
          <w:rFonts w:ascii="Arial" w:hAnsi="Arial" w:eastAsia="Times New Roman" w:cs="Arial"/>
          <w:i w:val="false"/>
          <w:i w:val="false"/>
          <w:iCs w:val="false"/>
          <w:color w:val="auto"/>
          <w:sz w:val="18"/>
          <w:szCs w:val="18"/>
          <w:lang w:val="es-ES" w:eastAsia="zh-CN" w:bidi="ar-SA"/>
        </w:rPr>
      </w:pPr>
      <w:r>
        <w:rPr>
          <w:rFonts w:eastAsia="Times New Roman" w:cs="Arial" w:ascii="Arial" w:hAnsi="Arial"/>
          <w:i w:val="false"/>
          <w:iCs w:val="false"/>
          <w:color w:val="auto"/>
          <w:sz w:val="18"/>
          <w:szCs w:val="18"/>
          <w:lang w:val="es-ES" w:eastAsia="zh-CN" w:bidi="ar-SA"/>
        </w:rPr>
      </w:r>
    </w:p>
    <w:p>
      <w:pPr>
        <w:pStyle w:val="Llistamulticolormfasi1"/>
        <w:spacing w:lineRule="auto" w:line="240" w:before="0" w:after="120"/>
        <w:ind w:start="3216" w:end="0" w:hanging="0"/>
        <w:contextualSpacing/>
        <w:jc w:val="both"/>
        <w:rPr>
          <w:lang w:val="es-ES"/>
        </w:rPr>
      </w:pPr>
      <w:r>
        <w:rPr>
          <w:rFonts w:eastAsia="Times New Roman" w:cs="Arial" w:ascii="Arial" w:hAnsi="Arial"/>
          <w:i w:val="false"/>
          <w:iCs w:val="false"/>
          <w:color w:val="auto"/>
          <w:sz w:val="18"/>
          <w:szCs w:val="18"/>
          <w:lang w:val="es-ES" w:eastAsia="zh-CN" w:bidi="ar-SA"/>
        </w:rPr>
        <w:t>Los gastos de personal tendrán que acreditarse con los recibos de nóminas y boletines de cotización de la Seguridad Social (TC1 y TC2).</w:t>
      </w:r>
    </w:p>
    <w:p>
      <w:pPr>
        <w:pStyle w:val="Llistamulticolormfasi1"/>
        <w:spacing w:lineRule="auto" w:line="240" w:before="0" w:after="120"/>
        <w:ind w:start="3216" w:end="0" w:hanging="0"/>
        <w:contextualSpacing/>
        <w:jc w:val="both"/>
        <w:rPr>
          <w:rFonts w:ascii="Arial" w:hAnsi="Arial" w:eastAsia="Times New Roman" w:cs="Arial"/>
          <w:i w:val="false"/>
          <w:i w:val="false"/>
          <w:iCs w:val="false"/>
          <w:color w:val="auto"/>
          <w:sz w:val="18"/>
          <w:szCs w:val="18"/>
          <w:lang w:val="es-ES" w:eastAsia="zh-CN" w:bidi="ar-SA"/>
        </w:rPr>
      </w:pPr>
      <w:r>
        <w:rPr>
          <w:rFonts w:eastAsia="Times New Roman" w:cs="Arial" w:ascii="Arial" w:hAnsi="Arial"/>
          <w:i w:val="false"/>
          <w:iCs w:val="false"/>
          <w:color w:val="auto"/>
          <w:sz w:val="18"/>
          <w:szCs w:val="18"/>
          <w:lang w:val="es-ES" w:eastAsia="zh-CN" w:bidi="ar-SA"/>
        </w:rPr>
      </w:r>
    </w:p>
    <w:p>
      <w:pPr>
        <w:pStyle w:val="Llistamulticolormfasi1"/>
        <w:numPr>
          <w:ilvl w:val="1"/>
          <w:numId w:val="4"/>
        </w:numPr>
        <w:spacing w:lineRule="auto" w:line="240" w:before="0" w:after="120"/>
        <w:ind w:start="3216" w:end="0" w:hanging="360"/>
        <w:contextualSpacing/>
        <w:jc w:val="both"/>
        <w:rPr>
          <w:lang w:val="es-ES"/>
        </w:rPr>
      </w:pPr>
      <w:r>
        <w:rPr>
          <w:rFonts w:eastAsia="Times New Roman" w:cs="Arial" w:ascii="Arial" w:hAnsi="Arial"/>
          <w:i w:val="false"/>
          <w:iCs w:val="false"/>
          <w:color w:val="auto"/>
          <w:sz w:val="18"/>
          <w:szCs w:val="18"/>
          <w:lang w:val="es-ES" w:eastAsia="zh-CN" w:bidi="ar-SA"/>
        </w:rPr>
        <w:t>Una relación detallada de otros ingresos o subvenciones que hayan financiado la actividad subvencionada con indicación del importe y procedencia.</w:t>
      </w:r>
    </w:p>
    <w:p>
      <w:pPr>
        <w:pStyle w:val="Llistamulticolormfasi1"/>
        <w:spacing w:lineRule="auto" w:line="240" w:before="0" w:after="120"/>
        <w:ind w:start="3216" w:end="0" w:hanging="0"/>
        <w:contextualSpacing/>
        <w:jc w:val="both"/>
        <w:rPr>
          <w:rFonts w:ascii="Arial" w:hAnsi="Arial" w:eastAsia="Times New Roman" w:cs="Arial"/>
          <w:i w:val="false"/>
          <w:i w:val="false"/>
          <w:iCs w:val="false"/>
          <w:color w:val="auto"/>
          <w:sz w:val="18"/>
          <w:szCs w:val="18"/>
          <w:lang w:val="es-ES" w:eastAsia="zh-CN" w:bidi="ar-SA"/>
        </w:rPr>
      </w:pPr>
      <w:r>
        <w:rPr>
          <w:rFonts w:eastAsia="Times New Roman" w:cs="Arial" w:ascii="Arial" w:hAnsi="Arial"/>
          <w:i w:val="false"/>
          <w:iCs w:val="false"/>
          <w:color w:val="auto"/>
          <w:sz w:val="18"/>
          <w:szCs w:val="18"/>
          <w:lang w:val="es-ES" w:eastAsia="zh-CN" w:bidi="ar-SA"/>
        </w:rPr>
      </w:r>
    </w:p>
    <w:p>
      <w:pPr>
        <w:pStyle w:val="Llistamulticolormfasi1"/>
        <w:numPr>
          <w:ilvl w:val="1"/>
          <w:numId w:val="4"/>
        </w:numPr>
        <w:spacing w:lineRule="auto" w:line="240" w:before="0" w:after="120"/>
        <w:ind w:start="3216" w:end="0" w:hanging="360"/>
        <w:contextualSpacing/>
        <w:jc w:val="both"/>
        <w:rPr>
          <w:lang w:val="es-ES"/>
        </w:rPr>
      </w:pPr>
      <w:r>
        <w:rPr>
          <w:rFonts w:eastAsia="Times New Roman" w:cs="Arial" w:ascii="Arial" w:hAnsi="Arial"/>
          <w:i w:val="false"/>
          <w:iCs w:val="false"/>
          <w:color w:val="auto"/>
          <w:sz w:val="18"/>
          <w:szCs w:val="18"/>
          <w:lang w:val="es-ES" w:eastAsia="zh-CN" w:bidi="ar-SA"/>
        </w:rPr>
        <w:t xml:space="preserve">En su caso, los presupuestos solicitados por el beneficiario en el supuesto del artículo 31 de la LGS (es decir, para la contratación de obras, servicios o bienes en el marco del desarrollo de la subvención cuando estas contrataciones superan los umbrales de </w:t>
      </w:r>
      <w:r>
        <w:rPr>
          <w:rFonts w:eastAsia="Times New Roman" w:cs="Arial" w:ascii="Arial" w:hAnsi="Arial"/>
          <w:i/>
          <w:color w:val="auto"/>
          <w:sz w:val="18"/>
          <w:szCs w:val="18"/>
          <w:lang w:val="es-ES" w:eastAsia="zh-CN" w:bidi="ar-SA"/>
        </w:rPr>
        <w:t>menor contratación de conformidad con la normativa de contratación del sector público).</w:t>
      </w:r>
    </w:p>
    <w:p>
      <w:pPr>
        <w:pStyle w:val="Llistamulticolormfasi1"/>
        <w:spacing w:lineRule="auto" w:line="240" w:before="0" w:after="120"/>
        <w:ind w:start="3216" w:end="0" w:hanging="0"/>
        <w:contextualSpacing/>
        <w:jc w:val="both"/>
        <w:rPr>
          <w:rFonts w:ascii="Arial" w:hAnsi="Arial" w:eastAsia="Times New Roman" w:cs="Arial"/>
          <w:i w:val="false"/>
          <w:i w:val="false"/>
          <w:iCs w:val="false"/>
          <w:color w:val="auto"/>
          <w:sz w:val="18"/>
          <w:szCs w:val="18"/>
          <w:lang w:val="es-ES" w:eastAsia="zh-CN" w:bidi="ar-SA"/>
        </w:rPr>
      </w:pPr>
      <w:r>
        <w:rPr>
          <w:rFonts w:eastAsia="Times New Roman" w:cs="Arial" w:ascii="Arial" w:hAnsi="Arial"/>
          <w:i w:val="false"/>
          <w:iCs w:val="false"/>
          <w:color w:val="auto"/>
          <w:sz w:val="18"/>
          <w:szCs w:val="18"/>
          <w:lang w:val="es-ES" w:eastAsia="zh-CN" w:bidi="ar-SA"/>
        </w:rPr>
      </w:r>
    </w:p>
    <w:p>
      <w:pPr>
        <w:pStyle w:val="Llistamulticolormfasi1"/>
        <w:numPr>
          <w:ilvl w:val="1"/>
          <w:numId w:val="4"/>
        </w:numPr>
        <w:spacing w:lineRule="auto" w:line="240" w:before="0" w:after="120"/>
        <w:ind w:start="3216" w:end="0" w:hanging="360"/>
        <w:contextualSpacing/>
        <w:jc w:val="both"/>
        <w:rPr>
          <w:lang w:val="es-ES"/>
        </w:rPr>
      </w:pPr>
      <w:r>
        <w:rPr>
          <w:rFonts w:eastAsia="Times New Roman" w:cs="Arial" w:ascii="Arial" w:hAnsi="Arial"/>
          <w:i w:val="false"/>
          <w:iCs w:val="false"/>
          <w:color w:val="auto"/>
          <w:sz w:val="18"/>
          <w:szCs w:val="18"/>
          <w:lang w:val="es-ES" w:eastAsia="zh-CN" w:bidi="ar-SA"/>
        </w:rPr>
        <w:t>Certificado de situación censal expedido por la Agencia Tributaria y en su caso, el certificado de autoliquidación anual del IVA (modelo 390, y caso de exoneración, el modelo 303 del último trimestre).</w:t>
      </w:r>
    </w:p>
    <w:p>
      <w:pPr>
        <w:pStyle w:val="Llistamulticolormfasi1"/>
        <w:numPr>
          <w:ilvl w:val="0"/>
          <w:numId w:val="0"/>
        </w:numPr>
        <w:spacing w:lineRule="auto" w:line="240" w:before="0" w:after="120"/>
        <w:ind w:start="4296" w:end="0" w:hanging="0"/>
        <w:contextualSpacing/>
        <w:jc w:val="both"/>
        <w:rPr>
          <w:rFonts w:ascii="Arial" w:hAnsi="Arial" w:eastAsia="Times New Roman" w:cs="Arial"/>
          <w:i w:val="false"/>
          <w:i w:val="false"/>
          <w:iCs w:val="false"/>
          <w:color w:val="auto"/>
          <w:sz w:val="18"/>
          <w:szCs w:val="18"/>
          <w:lang w:val="es-ES" w:eastAsia="zh-CN" w:bidi="ar-SA"/>
        </w:rPr>
      </w:pPr>
      <w:r>
        <w:rPr>
          <w:rFonts w:eastAsia="Times New Roman" w:cs="Arial" w:ascii="Arial" w:hAnsi="Arial"/>
          <w:i w:val="false"/>
          <w:iCs w:val="false"/>
          <w:color w:val="auto"/>
          <w:sz w:val="18"/>
          <w:szCs w:val="18"/>
          <w:lang w:val="es-ES" w:eastAsia="zh-CN" w:bidi="ar-SA"/>
        </w:rPr>
      </w:r>
    </w:p>
    <w:p>
      <w:pPr>
        <w:pStyle w:val="Llistamulticolormfasi1"/>
        <w:numPr>
          <w:ilvl w:val="1"/>
          <w:numId w:val="4"/>
        </w:numPr>
        <w:spacing w:lineRule="auto" w:line="240" w:before="0" w:after="120"/>
        <w:ind w:start="3216" w:end="0" w:hanging="360"/>
        <w:contextualSpacing/>
        <w:jc w:val="both"/>
        <w:rPr>
          <w:lang w:val="es-ES"/>
        </w:rPr>
      </w:pPr>
      <w:r>
        <w:rPr>
          <w:rFonts w:eastAsia="Times New Roman" w:cs="Arial" w:ascii="Arial" w:hAnsi="Arial"/>
          <w:i w:val="false"/>
          <w:iCs w:val="false"/>
          <w:color w:val="auto"/>
          <w:sz w:val="18"/>
          <w:szCs w:val="18"/>
          <w:lang w:val="es-ES" w:eastAsia="zh-CN" w:bidi="ar-SA"/>
        </w:rPr>
        <w:t>En su caso, la carta de pago de reintegro en el supuesto de remanentes no aplicados así como de los intereses derivados de los mismos.</w:t>
      </w:r>
    </w:p>
    <w:p>
      <w:pPr>
        <w:pStyle w:val="Llistamulticolormfasi1"/>
        <w:spacing w:lineRule="auto" w:line="240" w:before="0" w:after="120"/>
        <w:ind w:start="3216" w:end="0" w:hanging="0"/>
        <w:contextualSpacing/>
        <w:jc w:val="both"/>
        <w:rPr>
          <w:rFonts w:ascii="Arial" w:hAnsi="Arial" w:eastAsia="Times New Roman" w:cs="Arial"/>
          <w:i w:val="false"/>
          <w:i w:val="false"/>
          <w:iCs w:val="false"/>
          <w:color w:val="auto"/>
          <w:sz w:val="18"/>
          <w:szCs w:val="18"/>
          <w:lang w:val="es-ES" w:eastAsia="zh-CN" w:bidi="ar-SA"/>
        </w:rPr>
      </w:pPr>
      <w:r>
        <w:rPr>
          <w:rFonts w:eastAsia="Times New Roman" w:cs="Arial" w:ascii="Arial" w:hAnsi="Arial"/>
          <w:i w:val="false"/>
          <w:iCs w:val="false"/>
          <w:color w:val="auto"/>
          <w:sz w:val="18"/>
          <w:szCs w:val="18"/>
          <w:lang w:val="es-ES" w:eastAsia="zh-CN" w:bidi="ar-SA"/>
        </w:rPr>
      </w:r>
    </w:p>
    <w:p>
      <w:pPr>
        <w:pStyle w:val="Llistamulticolormfasi1"/>
        <w:numPr>
          <w:ilvl w:val="1"/>
          <w:numId w:val="4"/>
        </w:numPr>
        <w:spacing w:lineRule="auto" w:line="240" w:before="0" w:after="120"/>
        <w:ind w:start="3216" w:end="0" w:hanging="360"/>
        <w:contextualSpacing/>
        <w:jc w:val="both"/>
        <w:rPr>
          <w:lang w:val="es-ES"/>
        </w:rPr>
      </w:pPr>
      <w:r>
        <w:rPr>
          <w:rFonts w:eastAsia="Times New Roman" w:cs="Arial" w:ascii="Arial" w:hAnsi="Arial"/>
          <w:b w:val="false"/>
          <w:bCs w:val="false"/>
          <w:i w:val="false"/>
          <w:iCs w:val="false"/>
          <w:color w:val="auto"/>
          <w:spacing w:val="20"/>
          <w:sz w:val="18"/>
          <w:szCs w:val="18"/>
          <w:lang w:val="es-ES" w:eastAsia="zh-CN" w:bidi="ar-SA"/>
        </w:rPr>
        <w:t>Cualquier otra documentación relacionada directamente con el objeto específico de la subvención que se requiera.</w:t>
      </w:r>
    </w:p>
    <w:p>
      <w:pPr>
        <w:pStyle w:val="Standard"/>
        <w:spacing w:before="0" w:after="0"/>
        <w:ind w:start="0" w:end="0" w:hanging="0"/>
        <w:contextualSpacing/>
        <w:jc w:val="both"/>
        <w:rPr>
          <w:rFonts w:ascii="Arial" w:hAnsi="Arial" w:eastAsia="Times New Roman" w:cs="Arial"/>
          <w:b w:val="false"/>
          <w:bCs w:val="false"/>
          <w:iCs/>
          <w:color w:val="auto"/>
          <w:spacing w:val="20"/>
          <w:sz w:val="18"/>
          <w:szCs w:val="18"/>
          <w:lang w:val="es-ES" w:eastAsia="zh-CN" w:bidi="ar-SA"/>
        </w:rPr>
      </w:pPr>
      <w:r>
        <w:rPr>
          <w:rFonts w:eastAsia="Times New Roman" w:cs="Arial" w:ascii="Arial" w:hAnsi="Arial"/>
          <w:b w:val="false"/>
          <w:bCs w:val="false"/>
          <w:iCs/>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bCs/>
          <w:color w:val="auto"/>
          <w:spacing w:val="20"/>
          <w:sz w:val="18"/>
          <w:szCs w:val="18"/>
          <w:lang w:val="es-ES" w:eastAsia="zh-CN" w:bidi="ar-SA"/>
        </w:rPr>
        <w:t>SEXTA.- Compatibilidad de la subvención</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La subvención será compatible con cualquier otra subvención, ayuda, ingreso o recurso para la misma finalidad, procedente de otras administraciones o entes públicos o privados, siempre y cuando la suma de todos los ingresos vinculados al gasto subvencionado, no sobrepase el coste total del proyecto subvencionado.</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bCs/>
          <w:color w:val="auto"/>
          <w:spacing w:val="20"/>
          <w:sz w:val="18"/>
          <w:szCs w:val="18"/>
          <w:lang w:val="es-ES" w:eastAsia="zh-CN" w:bidi="ar-SA"/>
        </w:rPr>
        <w:t>SÉPTIMA.- Revocación</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En el supuesto de incumplimiento de las obligaciones del beneficiario se procederá a la revocación y, en su caso, el reintegro de la subvención en las condiciones establecidas en la normativa reguladora de subvenciones públicas.</w:t>
      </w:r>
    </w:p>
    <w:p>
      <w:pPr>
        <w:pStyle w:val="Normal"/>
        <w:spacing w:before="0" w:after="0"/>
        <w:ind w:start="0" w:end="0" w:hanging="0"/>
        <w:contextualSpacing/>
        <w:jc w:val="both"/>
        <w:rPr>
          <w:rFonts w:ascii="Arial" w:hAnsi="Arial" w:eastAsia="Times New Roman" w:cs="Arial"/>
          <w:b w:val="false"/>
          <w:bCs w:val="false"/>
          <w:color w:val="auto"/>
          <w:spacing w:val="20"/>
          <w:sz w:val="18"/>
          <w:szCs w:val="18"/>
          <w:highlight w:val="yellow"/>
          <w:lang w:val="es-ES" w:eastAsia="zh-CN" w:bidi="ar-SA"/>
        </w:rPr>
      </w:pPr>
      <w:r>
        <w:rPr>
          <w:rFonts w:eastAsia="Times New Roman" w:cs="Arial" w:ascii="Arial" w:hAnsi="Arial"/>
          <w:b w:val="false"/>
          <w:bCs w:val="false"/>
          <w:color w:val="auto"/>
          <w:spacing w:val="20"/>
          <w:sz w:val="18"/>
          <w:szCs w:val="18"/>
          <w:highlight w:val="yellow"/>
          <w:lang w:val="es-ES" w:eastAsia="zh-CN" w:bidi="ar-SA"/>
        </w:rPr>
      </w:r>
    </w:p>
    <w:p>
      <w:pPr>
        <w:pStyle w:val="Normal"/>
        <w:spacing w:before="0" w:after="0"/>
        <w:ind w:start="0" w:end="0" w:hanging="0"/>
        <w:contextualSpacing/>
        <w:jc w:val="both"/>
        <w:rPr>
          <w:rFonts w:ascii="Arial" w:hAnsi="Arial" w:eastAsia="Times New Roman" w:cs="Arial"/>
          <w:b w:val="false"/>
          <w:bCs w:val="false"/>
          <w:color w:val="auto"/>
          <w:spacing w:val="20"/>
          <w:sz w:val="18"/>
          <w:szCs w:val="18"/>
          <w:highlight w:val="yellow"/>
          <w:lang w:val="es-ES" w:eastAsia="zh-CN" w:bidi="ar-SA"/>
        </w:rPr>
      </w:pPr>
      <w:r>
        <w:rPr>
          <w:rFonts w:eastAsia="Times New Roman" w:cs="Arial" w:ascii="Arial" w:hAnsi="Arial"/>
          <w:b w:val="false"/>
          <w:bCs w:val="false"/>
          <w:color w:val="auto"/>
          <w:spacing w:val="20"/>
          <w:sz w:val="18"/>
          <w:szCs w:val="18"/>
          <w:highlight w:val="yellow"/>
          <w:lang w:val="es-ES" w:eastAsia="zh-CN" w:bidi="ar-SA"/>
        </w:rPr>
      </w:r>
    </w:p>
    <w:p>
      <w:pPr>
        <w:pStyle w:val="Normal"/>
        <w:spacing w:before="0" w:after="0"/>
        <w:ind w:start="0" w:end="0" w:hanging="0"/>
        <w:contextualSpacing/>
        <w:jc w:val="both"/>
        <w:rPr>
          <w:lang w:val="es-ES"/>
        </w:rPr>
      </w:pPr>
      <w:r>
        <w:rPr>
          <w:rFonts w:eastAsia="Times New Roman" w:cs="Arial" w:ascii="Arial" w:hAnsi="Arial"/>
          <w:b/>
          <w:bCs/>
          <w:color w:val="auto"/>
          <w:spacing w:val="20"/>
          <w:sz w:val="18"/>
          <w:szCs w:val="18"/>
          <w:lang w:val="es-ES" w:eastAsia="zh-CN" w:bidi="ar-SA"/>
        </w:rPr>
        <w:t>OCTAVA.- Aceptación de la subvención</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El beneficiario de esta subvención acepta de forma expresa la subvención en los términos y condiciones que se recogen en este convenio y en las bases generales reguladoras.</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spacing w:before="0" w:after="0"/>
        <w:ind w:start="0" w:end="0" w:hanging="0"/>
        <w:contextualSpacing/>
        <w:jc w:val="both"/>
        <w:rPr>
          <w:lang w:val="es-ES"/>
        </w:rPr>
      </w:pPr>
      <w:r>
        <w:rPr>
          <w:rFonts w:eastAsia="Times New Roman" w:cs="Arial" w:ascii="Arial" w:hAnsi="Arial"/>
          <w:b w:val="false"/>
          <w:bCs w:val="false"/>
          <w:color w:val="auto"/>
          <w:spacing w:val="20"/>
          <w:sz w:val="18"/>
          <w:szCs w:val="18"/>
          <w:lang w:val="es-ES" w:eastAsia="zh-CN" w:bidi="ar-SA"/>
        </w:rPr>
        <w:t>En prueba de conformidad, las partes firman el presente convenio por duplicado ya un solo efecto.»</w:t>
      </w:r>
    </w:p>
    <w:p>
      <w:pPr>
        <w:pStyle w:val="Normal"/>
        <w:spacing w:before="0" w:after="0"/>
        <w:ind w:start="0" w:end="0" w:hanging="0"/>
        <w:contextualSpacing/>
        <w:jc w:val="both"/>
        <w:rPr>
          <w:rFonts w:ascii="Arial" w:hAnsi="Arial" w:eastAsia="Times New Roman" w:cs="Arial"/>
          <w:b w:val="false"/>
          <w:bCs w:val="false"/>
          <w:color w:val="auto"/>
          <w:spacing w:val="20"/>
          <w:sz w:val="18"/>
          <w:szCs w:val="18"/>
          <w:lang w:val="es-ES" w:eastAsia="zh-CN" w:bidi="ar-SA"/>
        </w:rPr>
      </w:pPr>
      <w:r>
        <w:rPr>
          <w:rFonts w:eastAsia="Times New Roman" w:cs="Arial" w:ascii="Arial" w:hAnsi="Arial"/>
          <w:b w:val="false"/>
          <w:bCs w:val="false"/>
          <w:color w:val="auto"/>
          <w:spacing w:val="20"/>
          <w:sz w:val="18"/>
          <w:szCs w:val="18"/>
          <w:lang w:val="es-ES" w:eastAsia="zh-CN" w:bidi="ar-SA"/>
        </w:rPr>
      </w:r>
    </w:p>
    <w:p>
      <w:pPr>
        <w:pStyle w:val="Normal"/>
        <w:jc w:val="both"/>
        <w:rPr>
          <w:rFonts w:ascii="Arial" w:hAnsi="Arial" w:eastAsia="Times New Roman" w:cs="Arial"/>
          <w:b/>
          <w:bCs w:val="false"/>
          <w:i/>
          <w:i/>
          <w:iCs/>
          <w:color w:val="auto"/>
          <w:spacing w:val="20"/>
          <w:sz w:val="18"/>
          <w:szCs w:val="18"/>
          <w:lang w:val="es-ES" w:eastAsia="zh-CN" w:bidi="ar-SA"/>
        </w:rPr>
      </w:pPr>
      <w:r>
        <w:rPr>
          <w:rFonts w:eastAsia="Times New Roman" w:cs="Arial" w:ascii="Arial" w:hAnsi="Arial"/>
          <w:b/>
          <w:bCs w:val="false"/>
          <w:i/>
          <w:iCs/>
          <w:color w:val="auto"/>
          <w:spacing w:val="20"/>
          <w:sz w:val="18"/>
          <w:szCs w:val="18"/>
          <w:lang w:val="es-ES" w:eastAsia="zh-CN" w:bidi="ar-SA"/>
        </w:rPr>
      </w:r>
    </w:p>
    <w:p>
      <w:pPr>
        <w:pStyle w:val="Textoindependiente21"/>
        <w:spacing w:before="0" w:after="120"/>
        <w:rPr>
          <w:lang w:val="es-ES"/>
        </w:rPr>
      </w:pPr>
      <w:r>
        <w:rPr>
          <w:rFonts w:eastAsia="Times New Roman" w:cs="Arial" w:ascii="Arial" w:hAnsi="Arial"/>
          <w:b/>
          <w:color w:val="auto"/>
          <w:spacing w:val="0"/>
          <w:sz w:val="18"/>
          <w:szCs w:val="18"/>
          <w:lang w:val="es-ES" w:eastAsia="zh-CN" w:bidi="ar-SA"/>
        </w:rPr>
        <w:t>CUARTO</w:t>
      </w:r>
      <w:r>
        <w:rPr>
          <w:rFonts w:eastAsia="Times New Roman" w:cs="Arial" w:ascii="Arial" w:hAnsi="Arial"/>
          <w:color w:val="auto"/>
          <w:spacing w:val="0"/>
          <w:sz w:val="18"/>
          <w:szCs w:val="18"/>
          <w:lang w:val="es-ES" w:eastAsia="zh-CN" w:bidi="ar-SA"/>
        </w:rPr>
        <w:t>.- NOTIFICAR la presente resolución a la entidad interesada ya la Intervención General.</w:t>
      </w:r>
    </w:p>
    <w:p>
      <w:pPr>
        <w:pStyle w:val="Normal"/>
        <w:spacing w:before="0" w:after="120"/>
        <w:rPr>
          <w:lang w:val="es-ES"/>
        </w:rPr>
      </w:pPr>
      <w:r>
        <w:rPr>
          <w:rFonts w:eastAsia="Times New Roman" w:cs="Arial" w:ascii="Arial" w:hAnsi="Arial"/>
          <w:b/>
          <w:color w:val="auto"/>
          <w:sz w:val="18"/>
          <w:szCs w:val="18"/>
          <w:lang w:val="es-ES" w:eastAsia="zh-CN" w:bidi="ar-SA"/>
        </w:rPr>
        <w:t>QUINTO:</w:t>
      </w:r>
      <w:r>
        <w:rPr>
          <w:rFonts w:eastAsia="Times New Roman" w:cs="Arial" w:ascii="Arial" w:hAnsi="Arial"/>
          <w:color w:val="auto"/>
          <w:sz w:val="18"/>
          <w:szCs w:val="18"/>
          <w:lang w:val="es-ES" w:eastAsia="zh-CN" w:bidi="ar-SA"/>
        </w:rPr>
        <w:t>Contra este acto, que agota la vía administrativa y es inmediatamente ejecutivo, y de conformidad con los arts. 123 y 124 de la Ley 39/2015, de 1 de octubre, del procedimiento administrativo común de las administraciones públicas, puede interpuesto los siguientes recursos:</w:t>
      </w:r>
    </w:p>
    <w:p>
      <w:pPr>
        <w:pStyle w:val="Cuerpodetexto"/>
        <w:spacing w:before="0" w:after="283"/>
        <w:rPr>
          <w:lang w:val="es-ES"/>
        </w:rPr>
      </w:pPr>
      <w:r>
        <w:rPr>
          <w:rFonts w:eastAsia="Times New Roman" w:cs="Arial"/>
          <w:color w:val="auto"/>
          <w:sz w:val="18"/>
          <w:szCs w:val="18"/>
          <w:lang w:val="es-ES" w:eastAsia="zh-CN" w:bidi="ar-SA"/>
        </w:rPr>
        <w:t>Con carácter potestativo, recurso de reposición ante el mismo órgano que ha dictado el acto, en el plazo de un mes, a contar desde el día siguiente a la recepción de su notificación.</w:t>
      </w:r>
    </w:p>
    <w:p>
      <w:pPr>
        <w:pStyle w:val="Cuerpodetexto"/>
        <w:spacing w:before="0" w:after="283"/>
        <w:rPr>
          <w:lang w:val="es-ES"/>
        </w:rPr>
      </w:pPr>
      <w:r>
        <w:rPr>
          <w:rFonts w:eastAsia="Times New Roman" w:cs="Arial"/>
          <w:color w:val="auto"/>
          <w:sz w:val="18"/>
          <w:szCs w:val="18"/>
          <w:lang w:val="es-ES" w:eastAsia="zh-CN" w:bidi="ar-SA"/>
        </w:rPr>
        <w:t>Alternativamente, recurso contencioso administrativo ante los Juzgados de lo Contencioso-Administrativo de Barcelona, ​​dentro del plazo de dos meses, a contar desde el día siguiente a la recepción de su notificación, de conformidad con los arts. 8 y 46 de la Ley 29/1998, de 13 de julio, reguladora de la jurisdicción contencioso-administrativa.</w:t>
      </w:r>
    </w:p>
    <w:p>
      <w:pPr>
        <w:pStyle w:val="Cuerpodetexto"/>
        <w:spacing w:before="0" w:after="283"/>
        <w:rPr>
          <w:lang w:val="es-ES"/>
        </w:rPr>
      </w:pPr>
      <w:r>
        <w:rPr>
          <w:rFonts w:eastAsia="Times New Roman" w:cs="Arial"/>
          <w:color w:val="auto"/>
          <w:sz w:val="18"/>
          <w:szCs w:val="18"/>
          <w:lang w:val="es-ES" w:eastAsia="zh-CN" w:bidi="ar-SA"/>
        </w:rPr>
        <w:t>Contra la resolución del recurso de reposición, puede interponer recurso contencioso administrativo, ante los Juzgados de lo Contencioso-Administrativo de Barcelona, ​​dentro del plazo de dos meses, a contar desde el día siguiente a aquel en que reciba su notificación, si ésta fuera expresa; de no serlo, el plazo será de seis meses, contados a partir del día siguiente a la que se produjera la desestimación presunta del recurso.</w:t>
      </w:r>
    </w:p>
    <w:p>
      <w:pPr>
        <w:pStyle w:val="Cuerpodetexto"/>
        <w:rPr>
          <w:szCs w:val="18"/>
          <w:lang w:val="es-ES"/>
        </w:rPr>
      </w:pPr>
      <w:r>
        <w:rPr>
          <w:szCs w:val="18"/>
          <w:lang w:val="es-ES"/>
        </w:rPr>
      </w:r>
    </w:p>
    <w:p>
      <w:pPr>
        <w:pStyle w:val="Cuerpodetexto"/>
        <w:rPr>
          <w:szCs w:val="18"/>
          <w:lang w:val="es-ES"/>
        </w:rPr>
      </w:pPr>
      <w:r>
        <w:rPr>
          <w:szCs w:val="18"/>
          <w:lang w:val="es-ES"/>
        </w:rPr>
      </w:r>
    </w:p>
    <w:p>
      <w:pPr>
        <w:pStyle w:val="Normal"/>
        <w:rPr>
          <w:lang w:val="es-ES"/>
        </w:rPr>
      </w:pPr>
      <w:r>
        <w:rPr>
          <w:rFonts w:eastAsia="Arial" w:cs="Arial" w:ascii="Arial" w:hAnsi="Arial"/>
          <w:spacing w:val="-3"/>
          <w:sz w:val="18"/>
          <w:szCs w:val="18"/>
          <w:lang w:val="es-ES"/>
        </w:rPr>
        <w:t xml:space="preserve"> </w:t>
      </w:r>
    </w:p>
    <w:p>
      <w:pPr>
        <w:pStyle w:val="Normal"/>
        <w:jc w:val="both"/>
        <w:rPr>
          <w:rFonts w:ascii="Arial" w:hAnsi="Arial" w:cs="Arial"/>
          <w:spacing w:val="-3"/>
          <w:sz w:val="18"/>
          <w:szCs w:val="18"/>
          <w:lang w:val="es-ES"/>
        </w:rPr>
      </w:pPr>
      <w:r>
        <w:rPr>
          <w:rFonts w:cs="Arial" w:ascii="Arial" w:hAnsi="Arial"/>
          <w:spacing w:val="-3"/>
          <w:sz w:val="18"/>
          <w:szCs w:val="18"/>
          <w:lang w:val="es-ES"/>
        </w:rPr>
      </w:r>
    </w:p>
    <w:p>
      <w:pPr>
        <w:pStyle w:val="Normal"/>
        <w:jc w:val="both"/>
        <w:rPr>
          <w:rFonts w:ascii="Arial" w:hAnsi="Arial" w:cs="Arial"/>
          <w:spacing w:val="-3"/>
          <w:sz w:val="18"/>
          <w:szCs w:val="18"/>
          <w:lang w:val="es-ES"/>
        </w:rPr>
      </w:pPr>
      <w:r>
        <w:rPr>
          <w:rFonts w:cs="Arial" w:ascii="Arial" w:hAnsi="Arial"/>
          <w:spacing w:val="-3"/>
          <w:sz w:val="18"/>
          <w:szCs w:val="18"/>
          <w:lang w:val="es-ES"/>
        </w:rPr>
      </w:r>
    </w:p>
    <w:p>
      <w:pPr>
        <w:pStyle w:val="Normal"/>
        <w:jc w:val="center"/>
        <w:rPr>
          <w:rFonts w:ascii="Arial" w:hAnsi="Arial" w:cs="Arial"/>
          <w:spacing w:val="-3"/>
          <w:sz w:val="18"/>
          <w:szCs w:val="18"/>
          <w:lang w:val="es-ES"/>
        </w:rPr>
      </w:pPr>
      <w:r>
        <w:rPr>
          <w:rFonts w:cs="Arial" w:ascii="Arial" w:hAnsi="Arial"/>
          <w:spacing w:val="-3"/>
          <w:sz w:val="18"/>
          <w:szCs w:val="18"/>
          <w:lang w:val="es-ES"/>
        </w:rPr>
      </w:r>
    </w:p>
    <w:p>
      <w:pPr>
        <w:pStyle w:val="Normal"/>
        <w:spacing w:before="0" w:after="120"/>
        <w:jc w:val="both"/>
        <w:rPr>
          <w:lang w:val="es-ES"/>
        </w:rPr>
      </w:pPr>
      <w:r>
        <w:rPr>
          <w:rFonts w:cs="Arial" w:ascii="Arial" w:hAnsi="Arial"/>
          <w:sz w:val="18"/>
          <w:szCs w:val="18"/>
          <w:lang w:val="es-ES"/>
        </w:rPr>
        <w:tab/>
        <w:tab/>
        <w:tab/>
      </w:r>
    </w:p>
    <w:sectPr>
      <w:headerReference w:type="even" r:id="rId2"/>
      <w:headerReference w:type="default" r:id="rId3"/>
      <w:type w:val="nextPage"/>
      <w:pgSz w:w="11906" w:h="16838"/>
      <w:pgMar w:left="1588" w:right="991" w:gutter="0" w:header="1588" w:top="1645"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Verdana">
    <w:charset w:val="00" w:characterSet="windows-1252"/>
    <w:family w:val="roman"/>
    <w:pitch w:val="variable"/>
  </w:font>
  <w:font w:name="Arial">
    <w:charset w:val="00" w:characterSet="windows-1252"/>
    <w:family w:val="roman"/>
    <w:pitch w:val="variable"/>
  </w:font>
  <w:font w:name="Symbol">
    <w:charset w:val="00" w:characterSet="windows-1252"/>
    <w:family w:val="roman"/>
    <w:pitch w:val="variable"/>
  </w:font>
  <w:font w:name="OpenSymbol">
    <w:altName w:val="Arial Unicode MS"/>
    <w:charset w:val="00" w:characterSet="windows-1252"/>
    <w:family w:val="roman"/>
    <w:pitch w:val="variable"/>
  </w:font>
  <w:font w:name="Tahoma">
    <w:charset w:val="00" w:characterSet="windows-1252"/>
    <w:family w:val="roman"/>
    <w:pitch w:val="variable"/>
  </w:font>
  <w:font w:name="Wingdings">
    <w:charset w:val="00" w:characterSet="windows-1252"/>
    <w:family w:val="roman"/>
    <w:pitch w:val="variable"/>
  </w:font>
  <w:font w:name="Courier New">
    <w:charset w:val="00" w:characterSet="windows-1252"/>
    <w:family w:val="roman"/>
    <w:pitch w:val="variable"/>
  </w:font>
  <w:font w:name="Liberation Sans">
    <w:altName w:val="Arial"/>
    <w:charset w:val="00" w:characterSet="windows-1252"/>
    <w:family w:val="roman"/>
    <w:pitch w:val="variable"/>
  </w:font>
  <w:font w:name="Cambria">
    <w:charset w:val="00" w:characterSet="windows-1252"/>
    <w:family w:val="roman"/>
    <w:pitch w:val="variable"/>
  </w:font>
  <w:font w:name="Calibri">
    <w:charset w:val="00" w:characterSet="windows-1252"/>
    <w:family w:val="roman"/>
    <w:pitch w:val="variable"/>
  </w:font>
  <w:font w:name="Arial">
    <w:charset w:val="01"/>
    <w:family w:val="swiss"/>
    <w:pitch w:val="variable"/>
  </w:font>
  <w:font w:name="OpenSymbol">
    <w:altName w:val="Arial Unicode MS"/>
    <w:charset w:val="01"/>
    <w:family w:val="auto"/>
    <w:pitch w:val="variable"/>
  </w:font>
  <w:font w:name="Tahoma">
    <w:charset w:val="01"/>
    <w:family w:val="swiss"/>
    <w:pitch w:val="variable"/>
  </w:font>
  <w:font w:name="Wingdings">
    <w:charset w:val="02"/>
    <w:family w:val="auto"/>
    <w:pitch w:val="variable"/>
  </w:font>
  <w:font w:name="Courier New">
    <w:charset w:val="01"/>
    <w:family w:val="modern"/>
    <w:pitch w:val="fixed"/>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paleraesquerra"/>
      <w:jc w:val="center"/>
      <w:rPr>
        <w:lang w:val="es-ES"/>
      </w:rPr>
    </w:pPr>
    <w:r>
      <w:rPr>
        <w:lang w:val="es-ES"/>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jc w:val="end"/>
      <w:rPr>
        <w:lang w:val="es-ES"/>
      </w:rPr>
    </w:pPr>
    <w:r>
      <w:rPr>
        <w:rFonts w:cs="Arial" w:ascii="Arial" w:hAnsi="Arial"/>
        <w:lang w:val="es-ES"/>
      </w:rPr>
      <w:t>Exp.:202</w:t>
    </w:r>
    <w:r>
      <w:rPr>
        <w:rFonts w:eastAsia="Times New Roman" w:cs="Arial" w:ascii="Arial" w:hAnsi="Arial"/>
        <w:color w:val="auto"/>
        <w:sz w:val="20"/>
        <w:szCs w:val="20"/>
        <w:lang w:val="es-ES" w:eastAsia="zh-CN" w:bidi="ar-SA"/>
      </w:rPr>
      <w:t>1</w:t>
    </w:r>
    <w:r>
      <w:rPr>
        <w:rFonts w:cs="Arial" w:ascii="Arial" w:hAnsi="Arial"/>
        <w:lang w:val="es-ES"/>
      </w:rPr>
      <w:t>/000</w:t>
    </w:r>
    <w:r>
      <w:rPr>
        <w:rFonts w:eastAsia="Times New Roman" w:cs="Arial" w:ascii="Arial" w:hAnsi="Arial"/>
        <w:color w:val="auto"/>
        <w:sz w:val="20"/>
        <w:szCs w:val="20"/>
        <w:lang w:val="es-ES" w:eastAsia="zh-CN" w:bidi="ar-SA"/>
      </w:rPr>
      <w:t>10944P</w:t>
    </w:r>
  </w:p>
  <w:p>
    <w:pPr>
      <w:pStyle w:val="Cabecera"/>
      <w:rPr>
        <w:rFonts w:ascii="Arial" w:hAnsi="Arial" w:cs="Arial"/>
        <w:lang w:val="es-ES"/>
      </w:rPr>
    </w:pPr>
    <w:r>
      <w:rPr>
        <w:rFonts w:cs="Arial" w:ascii="Arial" w:hAnsi="Arial"/>
        <w:lang w:val="es-ES"/>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numFmt w:val="bullet"/>
      <w:lvlText w:val="-"/>
      <w:lvlJc w:val="start"/>
      <w:pPr>
        <w:tabs>
          <w:tab w:val="num" w:pos="720"/>
        </w:tabs>
        <w:ind w:start="720" w:hanging="360"/>
      </w:pPr>
      <w:rPr>
        <w:rFonts w:ascii="Arial" w:hAnsi="Arial" w:cs="Aria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
    <w:lvl w:ilvl="0">
      <w:start w:val="1"/>
      <w:numFmt w:val="bullet"/>
      <w:lvlText w:val="-"/>
      <w:lvlJc w:val="start"/>
      <w:pPr>
        <w:tabs>
          <w:tab w:val="num" w:pos="708"/>
        </w:tabs>
        <w:ind w:start="720" w:hanging="360"/>
      </w:pPr>
      <w:rPr>
        <w:rFonts w:ascii="Tahoma" w:hAnsi="Tahoma" w:cs="Tahoma" w:hint="default"/>
      </w:rPr>
    </w:lvl>
    <w:lvl w:ilvl="1">
      <w:start w:val="1"/>
      <w:numFmt w:val="lowerLetter"/>
      <w:lvlText w:val="%2)"/>
      <w:lvlJc w:val="start"/>
      <w:pPr>
        <w:tabs>
          <w:tab w:val="num" w:pos="708"/>
        </w:tabs>
        <w:ind w:start="1440" w:hanging="360"/>
      </w:pPr>
      <w:rPr>
        <w:rFonts w:ascii="Arial" w:hAnsi="Arial" w:eastAsia="Calibri" w:cs="Arial"/>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5">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10"/>
  <w:displayBackgroundShape/>
  <w:defaultTabStop w:val="708"/>
  <w:autoHyphenation w:val="true"/>
  <w:evenAndOddHeaders/>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Times New Roman" w:hAnsi="Times New Roman" w:eastAsia="Times New Roman" w:cs="Times New Roman"/>
      <w:color w:val="auto"/>
      <w:kern w:val="0"/>
      <w:sz w:val="20"/>
      <w:szCs w:val="20"/>
      <w:lang w:eastAsia="zh-CN" w:bidi="ar-SA" w:val="es-ES"/>
    </w:rPr>
  </w:style>
  <w:style w:type="paragraph" w:styleId="Ttulo1">
    <w:name w:val="Heading 1"/>
    <w:basedOn w:val="Normal"/>
    <w:next w:val="Normal"/>
    <w:qFormat/>
    <w:pPr>
      <w:keepNext w:val="true"/>
      <w:numPr>
        <w:ilvl w:val="0"/>
        <w:numId w:val="1"/>
      </w:numPr>
      <w:jc w:val="both"/>
      <w:outlineLvl w:val="0"/>
    </w:pPr>
    <w:rPr>
      <w:rFonts w:ascii="Verdana" w:hAnsi="Verdana" w:cs="Verdana"/>
      <w:b/>
      <w:sz w:val="22"/>
    </w:rPr>
  </w:style>
  <w:style w:type="paragraph" w:styleId="Ttulo2">
    <w:name w:val="Heading 2"/>
    <w:basedOn w:val="Normal"/>
    <w:next w:val="Normal"/>
    <w:qFormat/>
    <w:pPr>
      <w:keepNext w:val="true"/>
      <w:numPr>
        <w:ilvl w:val="1"/>
        <w:numId w:val="1"/>
      </w:numPr>
      <w:jc w:val="both"/>
      <w:outlineLvl w:val="1"/>
    </w:pPr>
    <w:rPr>
      <w:rFonts w:ascii="Arial" w:hAnsi="Arial" w:cs="Arial"/>
      <w:b/>
      <w:u w:val="single"/>
    </w:rPr>
  </w:style>
  <w:style w:type="paragraph" w:styleId="Ttulo3">
    <w:name w:val="Heading 3"/>
    <w:basedOn w:val="Normal"/>
    <w:next w:val="Normal"/>
    <w:qFormat/>
    <w:pPr>
      <w:keepNext w:val="true"/>
      <w:numPr>
        <w:ilvl w:val="2"/>
        <w:numId w:val="1"/>
      </w:numPr>
      <w:jc w:val="both"/>
      <w:outlineLvl w:val="2"/>
    </w:pPr>
    <w:rPr>
      <w:rFonts w:ascii="Verdana" w:hAnsi="Verdana" w:cs="Verdana"/>
      <w:b/>
      <w:spacing w:val="20"/>
    </w:rPr>
  </w:style>
  <w:style w:type="paragraph" w:styleId="Ttulo4">
    <w:name w:val="Heading 4"/>
    <w:basedOn w:val="Normal"/>
    <w:next w:val="Normal"/>
    <w:qFormat/>
    <w:pPr>
      <w:keepNext w:val="true"/>
      <w:numPr>
        <w:ilvl w:val="3"/>
        <w:numId w:val="1"/>
      </w:numPr>
      <w:tabs>
        <w:tab w:val="clear" w:pos="708"/>
        <w:tab w:val="left" w:pos="-720" w:leader="none"/>
        <w:tab w:val="left" w:pos="851" w:leader="none"/>
      </w:tabs>
      <w:suppressAutoHyphens w:val="true"/>
      <w:spacing w:lineRule="auto" w:line="360" w:before="0" w:after="120"/>
      <w:jc w:val="both"/>
      <w:outlineLvl w:val="3"/>
    </w:pPr>
    <w:rPr>
      <w:rFonts w:ascii="Arial" w:hAnsi="Arial" w:cs="Arial"/>
      <w:b/>
      <w:color w:val="000000"/>
      <w:spacing w:val="-3"/>
      <w:sz w:val="22"/>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7">
    <w:name w:val="Heading 7"/>
    <w:basedOn w:val="Normal"/>
    <w:next w:val="Normal"/>
    <w:qFormat/>
    <w:pPr>
      <w:numPr>
        <w:ilvl w:val="6"/>
        <w:numId w:val="1"/>
      </w:numPr>
      <w:spacing w:before="240" w:after="60"/>
      <w:outlineLvl w:val="6"/>
    </w:pPr>
    <w:rPr>
      <w:sz w:val="24"/>
      <w:szCs w:val="24"/>
    </w:rPr>
  </w:style>
  <w:style w:type="paragraph" w:styleId="Ttulo9">
    <w:name w:val="Heading 9"/>
    <w:basedOn w:val="Normal"/>
    <w:next w:val="Normal"/>
    <w:qFormat/>
    <w:pPr>
      <w:numPr>
        <w:ilvl w:val="8"/>
        <w:numId w:val="1"/>
      </w:numPr>
      <w:spacing w:before="240" w:after="60"/>
      <w:outlineLvl w:val="8"/>
    </w:pPr>
    <w:rPr>
      <w:rFonts w:ascii="Arial" w:hAnsi="Arial" w:cs="Arial"/>
      <w:sz w:val="22"/>
      <w:szCs w:val="22"/>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Arial" w:hAnsi="Arial" w:cs="Arial"/>
    </w:rPr>
  </w:style>
  <w:style w:type="character" w:styleId="WW8Num3z0">
    <w:name w:val="WW8Num3z0"/>
    <w:qFormat/>
    <w:rPr>
      <w:rFonts w:ascii="Symbol" w:hAnsi="Symbol" w:cs="OpenSymbol;Arial Unicode MS"/>
    </w:rPr>
  </w:style>
  <w:style w:type="character" w:styleId="WW8Num3z1">
    <w:name w:val="WW8Num3z1"/>
    <w:qFormat/>
    <w:rPr>
      <w:rFonts w:ascii="OpenSymbol;Arial Unicode MS" w:hAnsi="OpenSymbol;Arial Unicode MS" w:cs="OpenSymbol;Arial Unicode MS"/>
    </w:rPr>
  </w:style>
  <w:style w:type="character" w:styleId="WW8Num4z0">
    <w:name w:val="WW8Num4z0"/>
    <w:qFormat/>
    <w:rPr>
      <w:rFonts w:ascii="Tahoma" w:hAnsi="Tahoma" w:cs="Tahoma"/>
    </w:rPr>
  </w:style>
  <w:style w:type="character" w:styleId="WW8Num4z1">
    <w:name w:val="WW8Num4z1"/>
    <w:qFormat/>
    <w:rPr>
      <w:rFonts w:ascii="Arial" w:hAnsi="Arial" w:eastAsia="Calibri" w:cs="Arial"/>
    </w:rPr>
  </w:style>
  <w:style w:type="character" w:styleId="WW8Num4z2">
    <w:name w:val="WW8Num4z2"/>
    <w:qFormat/>
    <w:rPr>
      <w:rFonts w:ascii="Wingdings" w:hAnsi="Wingdings" w:cs="Wingdings"/>
    </w:rPr>
  </w:style>
  <w:style w:type="character" w:styleId="WW8Num4z3">
    <w:name w:val="WW8Num4z3"/>
    <w:qFormat/>
    <w:rPr>
      <w:rFonts w:ascii="Symbol" w:hAnsi="Symbol" w:cs="Symbol"/>
    </w:rPr>
  </w:style>
  <w:style w:type="character" w:styleId="WW8Num4z4">
    <w:name w:val="WW8Num4z4"/>
    <w:qFormat/>
    <w:rPr>
      <w:rFonts w:ascii="Courier New" w:hAnsi="Courier New" w:cs="Courier New"/>
    </w:rPr>
  </w:style>
  <w:style w:type="character" w:styleId="WW8Num3z2">
    <w:name w:val="WW8Num3z2"/>
    <w:qFormat/>
    <w:rPr>
      <w:rFonts w:ascii="Wingdings" w:hAnsi="Wingdings" w:cs="Wingdings"/>
    </w:rPr>
  </w:style>
  <w:style w:type="character" w:styleId="WW8Num3z3">
    <w:name w:val="WW8Num3z3"/>
    <w:qFormat/>
    <w:rPr>
      <w:rFonts w:ascii="Symbol" w:hAnsi="Symbol" w:cs="Symbol"/>
    </w:rPr>
  </w:style>
  <w:style w:type="character" w:styleId="WW8Num3z4">
    <w:name w:val="WW8Num3z4"/>
    <w:qFormat/>
    <w:rPr>
      <w:rFonts w:ascii="Courier New" w:hAnsi="Courier New" w:cs="Courier New"/>
    </w:rPr>
  </w:style>
  <w:style w:type="character" w:styleId="Fuentedeprrafopredeter">
    <w:name w:val="Fuente de párrafo predeter."/>
    <w:qFormat/>
    <w:rPr/>
  </w:style>
  <w:style w:type="character" w:styleId="WW8Num2z1">
    <w:name w:val="WW8Num2z1"/>
    <w:qFormat/>
    <w:rPr/>
  </w:style>
  <w:style w:type="character" w:styleId="WW8Num2z2">
    <w:name w:val="WW8Num2z2"/>
    <w:qFormat/>
    <w:rPr>
      <w:rFonts w:ascii="Symbol" w:hAnsi="Symbol" w:eastAsia="Times New Roman" w:cs="Arial"/>
    </w:rPr>
  </w:style>
  <w:style w:type="character" w:styleId="WW8Num2z3">
    <w:name w:val="WW8Num2z3"/>
    <w:qFormat/>
    <w:rPr>
      <w:rFonts w:ascii="Symbol" w:hAnsi="Symbol" w:cs="Symbol"/>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b/>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color w:val="000000"/>
    </w:rPr>
  </w:style>
  <w:style w:type="character" w:styleId="WW8Num6z1">
    <w:name w:val="WW8Num6z1"/>
    <w:qFormat/>
    <w:rPr/>
  </w:style>
  <w:style w:type="character" w:styleId="WW8Num6z2">
    <w:name w:val="WW8Num6z2"/>
    <w:qFormat/>
    <w:rPr>
      <w:rFonts w:ascii="Arial" w:hAnsi="Arial" w:eastAsia="Times New Roman" w:cs="Arial"/>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style>
  <w:style w:type="character" w:styleId="WW8Num9z1">
    <w:name w:val="WW8Num9z1"/>
    <w:qFormat/>
    <w:rPr>
      <w:rFonts w:ascii="Symbol" w:hAnsi="Symbol" w:eastAsia="Times New Roman" w:cs="Arial"/>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2z0">
    <w:name w:val="WW8Num12z0"/>
    <w:qFormat/>
    <w:rPr>
      <w:rFonts w:ascii="Symbol" w:hAnsi="Symbol" w:cs="Symbol"/>
    </w:rPr>
  </w:style>
  <w:style w:type="character" w:styleId="WW8Num12z1">
    <w:name w:val="WW8Num12z1"/>
    <w:qFormat/>
    <w:rPr>
      <w:rFonts w:ascii="Courier New" w:hAnsi="Courier New" w:cs="Courier New"/>
    </w:rPr>
  </w:style>
  <w:style w:type="character" w:styleId="WW8Num12z2">
    <w:name w:val="WW8Num12z2"/>
    <w:qFormat/>
    <w:rPr>
      <w:rFonts w:ascii="Wingdings" w:hAnsi="Wingdings" w:cs="Wingdings"/>
    </w:rPr>
  </w:style>
  <w:style w:type="character" w:styleId="WW8Num13z0">
    <w:name w:val="WW8Num13z0"/>
    <w:qFormat/>
    <w:rPr/>
  </w:style>
  <w:style w:type="character" w:styleId="WW8Num13z1">
    <w:name w:val="WW8Num13z1"/>
    <w:qFormat/>
    <w:rPr>
      <w:rFonts w:ascii="Arial" w:hAnsi="Arial" w:eastAsia="Times New Roman" w:cs="Arial"/>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color w:val="0000FF"/>
    </w:rPr>
  </w:style>
  <w:style w:type="character" w:styleId="WW8Num15z0">
    <w:name w:val="WW8Num15z0"/>
    <w:qFormat/>
    <w:rPr>
      <w:b/>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rFonts w:cs="Times New Roman"/>
    </w:rPr>
  </w:style>
  <w:style w:type="character" w:styleId="WW8Num17z1">
    <w:name w:val="WW8Num17z1"/>
    <w:qFormat/>
    <w:rPr>
      <w:rFonts w:cs="Times New Roman"/>
    </w:rPr>
  </w:style>
  <w:style w:type="character" w:styleId="WW8Num18z0">
    <w:name w:val="WW8Num18z0"/>
    <w:qFormat/>
    <w:rPr>
      <w:i w:val="false"/>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b w:val="false"/>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Fuentedeprrafopredeter1">
    <w:name w:val="Fuente de párrafo predeter.1"/>
    <w:qFormat/>
    <w:rPr/>
  </w:style>
  <w:style w:type="character" w:styleId="Strong">
    <w:name w:val="Strong"/>
    <w:qFormat/>
    <w:rPr>
      <w:b/>
      <w:bCs/>
    </w:rPr>
  </w:style>
  <w:style w:type="character" w:styleId="EnlacedeInternet">
    <w:name w:val="Hyperlink"/>
    <w:rPr>
      <w:strike w:val="false"/>
      <w:dstrike w:val="false"/>
      <w:color w:val="4C6F99"/>
      <w:u w:val="none"/>
    </w:rPr>
  </w:style>
  <w:style w:type="character" w:styleId="CitaHTML">
    <w:name w:val="Cita HTML"/>
    <w:qFormat/>
    <w:rPr>
      <w:rFonts w:ascii="Times New Roman" w:hAnsi="Times New Roman" w:cs="Times New Roman"/>
      <w:i/>
      <w:iCs/>
      <w:sz w:val="14"/>
      <w:szCs w:val="14"/>
    </w:rPr>
  </w:style>
  <w:style w:type="character" w:styleId="EnlacedeInternetvisitado">
    <w:name w:val="FollowedHyperlink"/>
    <w:rPr>
      <w:color w:val="800080"/>
      <w:u w:val="single"/>
    </w:rPr>
  </w:style>
  <w:style w:type="character" w:styleId="Hps">
    <w:name w:val="hps"/>
    <w:basedOn w:val="Fuentedeprrafopredeter1"/>
    <w:qFormat/>
    <w:rPr/>
  </w:style>
  <w:style w:type="character" w:styleId="Hpsatn">
    <w:name w:val="hps atn"/>
    <w:basedOn w:val="Fuentedeprrafopredeter1"/>
    <w:qFormat/>
    <w:rPr/>
  </w:style>
  <w:style w:type="character" w:styleId="St1">
    <w:name w:val="st1"/>
    <w:basedOn w:val="Fuentedeprrafopredeter1"/>
    <w:qFormat/>
    <w:rPr/>
  </w:style>
  <w:style w:type="character" w:styleId="Pics">
    <w:name w:val="Pics"/>
    <w:qFormat/>
    <w:rPr>
      <w:rFonts w:ascii="OpenSymbol;Arial Unicode MS" w:hAnsi="OpenSymbol;Arial Unicode MS" w:eastAsia="OpenSymbol;Arial Unicode MS" w:cs="OpenSymbol;Arial Unicode MS"/>
    </w:rPr>
  </w:style>
  <w:style w:type="character" w:styleId="WW8Num28z0">
    <w:name w:val="WW8Num28z0"/>
    <w:qFormat/>
    <w:rPr>
      <w:rFonts w:ascii="Tahoma" w:hAnsi="Tahoma" w:eastAsia="Calibri" w:cs="Tahoma"/>
    </w:rPr>
  </w:style>
  <w:style w:type="character" w:styleId="WW8Num28z1">
    <w:name w:val="WW8Num28z1"/>
    <w:qFormat/>
    <w:rPr>
      <w:rFonts w:ascii="Arial" w:hAnsi="Arial" w:eastAsia="Calibri" w:cs="Arial"/>
    </w:rPr>
  </w:style>
  <w:style w:type="character" w:styleId="WW8Num28z2">
    <w:name w:val="WW8Num28z2"/>
    <w:qFormat/>
    <w:rPr>
      <w:rFonts w:ascii="Wingdings" w:hAnsi="Wingdings" w:cs="Wingdings"/>
    </w:rPr>
  </w:style>
  <w:style w:type="character" w:styleId="WW8Num28z3">
    <w:name w:val="WW8Num28z3"/>
    <w:qFormat/>
    <w:rPr>
      <w:rFonts w:ascii="Symbol" w:hAnsi="Symbol" w:cs="Symbol"/>
    </w:rPr>
  </w:style>
  <w:style w:type="character" w:styleId="WW8Num28z4">
    <w:name w:val="WW8Num28z4"/>
    <w:qFormat/>
    <w:rPr>
      <w:rFonts w:ascii="Courier New" w:hAnsi="Courier New" w:cs="Courier New"/>
    </w:rPr>
  </w:style>
  <w:style w:type="character" w:styleId="Vietas">
    <w:name w:val="Viñetas"/>
    <w:qFormat/>
    <w:rPr>
      <w:rFonts w:ascii="OpenSymbol;Arial Unicode MS" w:hAnsi="OpenSymbol;Arial Unicode MS" w:eastAsia="OpenSymbol;Arial Unicode MS" w:cs="OpenSymbol;Arial Unicode MS"/>
    </w:rPr>
  </w:style>
  <w:style w:type="character" w:styleId="WWCharLFO2LVL1">
    <w:name w:val="WW_CharLFO2LVL1"/>
    <w:qFormat/>
    <w:rPr>
      <w:rFonts w:ascii="OpenSymbol;Arial Unicode MS" w:hAnsi="OpenSymbol;Arial Unicode MS" w:eastAsia="OpenSymbol;Arial Unicode MS" w:cs="OpenSymbol;Arial Unicode MS"/>
    </w:rPr>
  </w:style>
  <w:style w:type="character" w:styleId="WWCharLFO2LVL2">
    <w:name w:val="WW_CharLFO2LVL2"/>
    <w:qFormat/>
    <w:rPr>
      <w:rFonts w:ascii="OpenSymbol;Arial Unicode MS" w:hAnsi="OpenSymbol;Arial Unicode MS" w:eastAsia="OpenSymbol;Arial Unicode MS" w:cs="OpenSymbol;Arial Unicode MS"/>
    </w:rPr>
  </w:style>
  <w:style w:type="character" w:styleId="WWCharLFO2LVL3">
    <w:name w:val="WW_CharLFO2LVL3"/>
    <w:qFormat/>
    <w:rPr>
      <w:rFonts w:ascii="OpenSymbol;Arial Unicode MS" w:hAnsi="OpenSymbol;Arial Unicode MS" w:eastAsia="OpenSymbol;Arial Unicode MS" w:cs="OpenSymbol;Arial Unicode MS"/>
    </w:rPr>
  </w:style>
  <w:style w:type="character" w:styleId="WWCharLFO2LVL4">
    <w:name w:val="WW_CharLFO2LVL4"/>
    <w:qFormat/>
    <w:rPr>
      <w:rFonts w:ascii="OpenSymbol;Arial Unicode MS" w:hAnsi="OpenSymbol;Arial Unicode MS" w:eastAsia="OpenSymbol;Arial Unicode MS" w:cs="OpenSymbol;Arial Unicode MS"/>
    </w:rPr>
  </w:style>
  <w:style w:type="character" w:styleId="WWCharLFO2LVL5">
    <w:name w:val="WW_CharLFO2LVL5"/>
    <w:qFormat/>
    <w:rPr>
      <w:rFonts w:ascii="OpenSymbol;Arial Unicode MS" w:hAnsi="OpenSymbol;Arial Unicode MS" w:eastAsia="OpenSymbol;Arial Unicode MS" w:cs="OpenSymbol;Arial Unicode MS"/>
    </w:rPr>
  </w:style>
  <w:style w:type="character" w:styleId="WWCharLFO2LVL6">
    <w:name w:val="WW_CharLFO2LVL6"/>
    <w:qFormat/>
    <w:rPr>
      <w:rFonts w:ascii="OpenSymbol;Arial Unicode MS" w:hAnsi="OpenSymbol;Arial Unicode MS" w:eastAsia="OpenSymbol;Arial Unicode MS" w:cs="OpenSymbol;Arial Unicode MS"/>
    </w:rPr>
  </w:style>
  <w:style w:type="character" w:styleId="WWCharLFO2LVL7">
    <w:name w:val="WW_CharLFO2LVL7"/>
    <w:qFormat/>
    <w:rPr>
      <w:rFonts w:ascii="OpenSymbol;Arial Unicode MS" w:hAnsi="OpenSymbol;Arial Unicode MS" w:eastAsia="OpenSymbol;Arial Unicode MS" w:cs="OpenSymbol;Arial Unicode MS"/>
    </w:rPr>
  </w:style>
  <w:style w:type="character" w:styleId="WWCharLFO2LVL8">
    <w:name w:val="WW_CharLFO2LVL8"/>
    <w:qFormat/>
    <w:rPr>
      <w:rFonts w:ascii="OpenSymbol;Arial Unicode MS" w:hAnsi="OpenSymbol;Arial Unicode MS" w:eastAsia="OpenSymbol;Arial Unicode MS" w:cs="OpenSymbol;Arial Unicode MS"/>
    </w:rPr>
  </w:style>
  <w:style w:type="character" w:styleId="WWCharLFO2LVL9">
    <w:name w:val="WW_CharLFO2LVL9"/>
    <w:qFormat/>
    <w:rPr>
      <w:rFonts w:ascii="OpenSymbol;Arial Unicode MS" w:hAnsi="OpenSymbol;Arial Unicode MS" w:eastAsia="OpenSymbol;Arial Unicode MS" w:cs="OpenSymbol;Arial Unicode MS"/>
    </w:rPr>
  </w:style>
  <w:style w:type="character" w:styleId="WWCharLFO1LVL1">
    <w:name w:val="WW_CharLFO1LVL1"/>
    <w:qFormat/>
    <w:rPr>
      <w:rFonts w:ascii="Tahoma" w:hAnsi="Tahoma" w:eastAsia="Calibri" w:cs="Tahoma"/>
    </w:rPr>
  </w:style>
  <w:style w:type="character" w:styleId="WWCharLFO1LVL2">
    <w:name w:val="WW_CharLFO1LVL2"/>
    <w:qFormat/>
    <w:rPr>
      <w:rFonts w:ascii="Arial" w:hAnsi="Arial" w:eastAsia="Calibri" w:cs="Arial"/>
    </w:rPr>
  </w:style>
  <w:style w:type="character" w:styleId="WWCharLFO1LVL3">
    <w:name w:val="WW_CharLFO1LVL3"/>
    <w:qFormat/>
    <w:rPr>
      <w:rFonts w:ascii="Wingdings" w:hAnsi="Wingdings" w:cs="Wingdings"/>
    </w:rPr>
  </w:style>
  <w:style w:type="character" w:styleId="WWCharLFO1LVL4">
    <w:name w:val="WW_CharLFO1LVL4"/>
    <w:qFormat/>
    <w:rPr>
      <w:rFonts w:ascii="Symbol" w:hAnsi="Symbol" w:cs="Symbol"/>
    </w:rPr>
  </w:style>
  <w:style w:type="character" w:styleId="WWCharLFO1LVL5">
    <w:name w:val="WW_CharLFO1LVL5"/>
    <w:qFormat/>
    <w:rPr>
      <w:rFonts w:ascii="Courier New" w:hAnsi="Courier New" w:cs="Courier New"/>
    </w:rPr>
  </w:style>
  <w:style w:type="character" w:styleId="WWCharLFO1LVL6">
    <w:name w:val="WW_CharLFO1LVL6"/>
    <w:qFormat/>
    <w:rPr>
      <w:rFonts w:ascii="Wingdings" w:hAnsi="Wingdings" w:cs="Wingdings"/>
    </w:rPr>
  </w:style>
  <w:style w:type="character" w:styleId="WWCharLFO1LVL7">
    <w:name w:val="WW_CharLFO1LVL7"/>
    <w:qFormat/>
    <w:rPr>
      <w:rFonts w:ascii="Symbol" w:hAnsi="Symbol" w:cs="Symbol"/>
    </w:rPr>
  </w:style>
  <w:style w:type="character" w:styleId="WWCharLFO1LVL8">
    <w:name w:val="WW_CharLFO1LVL8"/>
    <w:qFormat/>
    <w:rPr>
      <w:rFonts w:ascii="Courier New" w:hAnsi="Courier New" w:cs="Courier New"/>
    </w:rPr>
  </w:style>
  <w:style w:type="character" w:styleId="WWCharLFO1LVL9">
    <w:name w:val="WW_CharLFO1LVL9"/>
    <w:qFormat/>
    <w:rPr>
      <w:rFonts w:ascii="Wingdings" w:hAnsi="Wingdings" w:cs="Wingdings"/>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Unicode MS"/>
      <w:sz w:val="28"/>
      <w:szCs w:val="28"/>
    </w:rPr>
  </w:style>
  <w:style w:type="paragraph" w:styleId="Cuerpodetexto">
    <w:name w:val="Body Text"/>
    <w:basedOn w:val="Normal"/>
    <w:pPr>
      <w:jc w:val="both"/>
    </w:pPr>
    <w:rPr>
      <w:rFonts w:ascii="Arial" w:hAnsi="Arial" w:cs="Arial"/>
      <w:sz w:val="18"/>
    </w:rPr>
  </w:style>
  <w:style w:type="paragraph" w:styleId="Lista">
    <w:name w:val="List"/>
    <w:basedOn w:val="Cuerpodetexto"/>
    <w:pPr/>
    <w:rPr>
      <w:rFonts w:cs="Arial Unicode MS"/>
    </w:rPr>
  </w:style>
  <w:style w:type="paragraph" w:styleId="Leyenda">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rPr>
  </w:style>
  <w:style w:type="paragraph" w:styleId="Encapalament">
    <w:name w:val="Encapçalament"/>
    <w:basedOn w:val="Normal"/>
    <w:next w:val="Cuerpodetexto"/>
    <w:qFormat/>
    <w:pPr>
      <w:keepNext w:val="true"/>
      <w:spacing w:before="240" w:after="120"/>
    </w:pPr>
    <w:rPr>
      <w:rFonts w:ascii="Liberation Sans;Arial" w:hAnsi="Liberation Sans;Arial" w:eastAsia="Microsoft YaHei" w:cs="Arial Unicode MS"/>
      <w:sz w:val="28"/>
      <w:szCs w:val="28"/>
    </w:rPr>
  </w:style>
  <w:style w:type="paragraph" w:styleId="Llegenda">
    <w:name w:val="Llegenda"/>
    <w:basedOn w:val="Normal"/>
    <w:qFormat/>
    <w:pPr>
      <w:suppressLineNumbers/>
      <w:spacing w:before="120" w:after="120"/>
    </w:pPr>
    <w:rPr>
      <w:rFonts w:cs="Arial Unicode MS"/>
      <w:i/>
      <w:iCs/>
      <w:sz w:val="24"/>
      <w:szCs w:val="24"/>
    </w:rPr>
  </w:style>
  <w:style w:type="paragraph" w:styleId="Ndex">
    <w:name w:val="Índex"/>
    <w:basedOn w:val="Normal"/>
    <w:qFormat/>
    <w:pPr>
      <w:suppressLineNumbers/>
    </w:pPr>
    <w:rPr>
      <w:rFonts w:cs="Arial Unicode MS"/>
    </w:rPr>
  </w:style>
  <w:style w:type="paragraph" w:styleId="Descripcin">
    <w:name w:val="Descripción"/>
    <w:basedOn w:val="Normal"/>
    <w:qFormat/>
    <w:pPr>
      <w:suppressLineNumbers/>
      <w:spacing w:before="120" w:after="120"/>
    </w:pPr>
    <w:rPr>
      <w:rFonts w:cs="Arial Unicode MS"/>
      <w:i/>
      <w:iCs/>
      <w:sz w:val="24"/>
      <w:szCs w:val="24"/>
    </w:rPr>
  </w:style>
  <w:style w:type="paragraph" w:styleId="Capaleraipeu">
    <w:name w:val="Capçalera i peu"/>
    <w:basedOn w:val="Normal"/>
    <w:qFormat/>
    <w:pPr>
      <w:suppressLineNumbers/>
      <w:tabs>
        <w:tab w:val="clear" w:pos="708"/>
        <w:tab w:val="center" w:pos="4819" w:leader="none"/>
        <w:tab w:val="right" w:pos="9638" w:leader="none"/>
      </w:tabs>
    </w:pPr>
    <w:rPr/>
  </w:style>
  <w:style w:type="paragraph" w:styleId="Cabeceraypie">
    <w:name w:val="Cabecera y pie"/>
    <w:basedOn w:val="Normal"/>
    <w:qFormat/>
    <w:pPr>
      <w:suppressLineNumbers/>
      <w:tabs>
        <w:tab w:val="clear" w:pos="708"/>
        <w:tab w:val="center" w:pos="4986" w:leader="none"/>
        <w:tab w:val="right" w:pos="9972"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independiente31">
    <w:name w:val="Texto independiente 31"/>
    <w:basedOn w:val="Normal"/>
    <w:qFormat/>
    <w:pPr>
      <w:jc w:val="both"/>
    </w:pPr>
    <w:rPr/>
  </w:style>
  <w:style w:type="paragraph" w:styleId="Cuerpodetextoconsangra">
    <w:name w:val="Body Text Indent"/>
    <w:basedOn w:val="Normal"/>
    <w:pPr>
      <w:suppressAutoHyphens w:val="true"/>
      <w:ind w:start="1080" w:end="0" w:hanging="0"/>
    </w:pPr>
    <w:rPr>
      <w:spacing w:val="-3"/>
      <w:sz w:val="24"/>
    </w:rPr>
  </w:style>
  <w:style w:type="paragraph" w:styleId="Textoindependiente21">
    <w:name w:val="Texto independiente 21"/>
    <w:basedOn w:val="Normal"/>
    <w:qFormat/>
    <w:pPr>
      <w:jc w:val="both"/>
    </w:pPr>
    <w:rPr>
      <w:rFonts w:ascii="Verdana" w:hAnsi="Verdana" w:cs="Verdana"/>
      <w:spacing w:val="20"/>
    </w:rPr>
  </w:style>
  <w:style w:type="paragraph" w:styleId="Sangra2detindependiente1">
    <w:name w:val="Sangría 2 de t. independiente1"/>
    <w:basedOn w:val="Normal"/>
    <w:qFormat/>
    <w:pPr>
      <w:ind w:start="0" w:end="0" w:firstLine="708"/>
      <w:jc w:val="both"/>
    </w:pPr>
    <w:rPr>
      <w:rFonts w:ascii="Verdana" w:hAnsi="Verdana" w:cs="Verdana"/>
      <w:sz w:val="22"/>
    </w:rPr>
  </w:style>
  <w:style w:type="paragraph" w:styleId="NormalWeb">
    <w:name w:val="Normal (Web)"/>
    <w:basedOn w:val="Normal"/>
    <w:qFormat/>
    <w:pPr>
      <w:spacing w:before="100" w:after="100"/>
      <w:jc w:val="both"/>
    </w:pPr>
    <w:rPr>
      <w:rFonts w:ascii="Verdana" w:hAnsi="Verdana" w:cs="Verdana"/>
      <w:sz w:val="13"/>
      <w:szCs w:val="13"/>
    </w:rPr>
  </w:style>
  <w:style w:type="paragraph" w:styleId="Textodeglobo">
    <w:name w:val="Texto de globo"/>
    <w:basedOn w:val="Normal"/>
    <w:qFormat/>
    <w:pPr/>
    <w:rPr>
      <w:rFonts w:ascii="Tahoma" w:hAnsi="Tahoma" w:cs="Tahoma"/>
      <w:sz w:val="16"/>
      <w:szCs w:val="16"/>
    </w:rPr>
  </w:style>
  <w:style w:type="paragraph" w:styleId="Sangranormal1">
    <w:name w:val="Sangría normal1"/>
    <w:basedOn w:val="Normal"/>
    <w:qFormat/>
    <w:pPr>
      <w:spacing w:before="0" w:after="240"/>
      <w:ind w:start="720" w:end="0" w:hanging="0"/>
      <w:jc w:val="both"/>
    </w:pPr>
    <w:rPr>
      <w:sz w:val="24"/>
      <w:lang w:eastAsia="zh-CN"/>
    </w:rPr>
  </w:style>
  <w:style w:type="paragraph" w:styleId="Articulo1">
    <w:name w:val="articulo1"/>
    <w:basedOn w:val="Normal"/>
    <w:qFormat/>
    <w:pPr>
      <w:spacing w:before="360" w:after="180"/>
      <w:jc w:val="both"/>
    </w:pPr>
    <w:rPr>
      <w:b/>
      <w:bCs/>
      <w:sz w:val="24"/>
      <w:szCs w:val="24"/>
    </w:rPr>
  </w:style>
  <w:style w:type="paragraph" w:styleId="Parrafo1">
    <w:name w:val="parrafo1"/>
    <w:basedOn w:val="Normal"/>
    <w:qFormat/>
    <w:pPr>
      <w:spacing w:before="180" w:after="180"/>
      <w:ind w:start="0" w:end="0" w:firstLine="360"/>
      <w:jc w:val="both"/>
    </w:pPr>
    <w:rPr>
      <w:sz w:val="24"/>
      <w:szCs w:val="24"/>
    </w:rPr>
  </w:style>
  <w:style w:type="paragraph" w:styleId="ListParagraph">
    <w:name w:val="List Paragraph"/>
    <w:basedOn w:val="Normal"/>
    <w:qFormat/>
    <w:pPr>
      <w:ind w:start="720" w:end="0" w:hanging="0"/>
    </w:pPr>
    <w:rPr>
      <w:rFonts w:ascii="Cambria" w:hAnsi="Cambria" w:eastAsia="MS ??" w:cs="Cambria"/>
      <w:sz w:val="24"/>
      <w:szCs w:val="24"/>
    </w:rPr>
  </w:style>
  <w:style w:type="paragraph" w:styleId="Contingutdelataula">
    <w:name w:val="Contingut de la taula"/>
    <w:basedOn w:val="Normal"/>
    <w:qFormat/>
    <w:pPr>
      <w:suppressLineNumbers/>
    </w:pPr>
    <w:rPr/>
  </w:style>
  <w:style w:type="paragraph" w:styleId="Encapalamentdelataula">
    <w:name w:val="Encapçalament de la taula"/>
    <w:basedOn w:val="Contingutdelataula"/>
    <w:qFormat/>
    <w:pPr>
      <w:suppressLineNumbers/>
      <w:jc w:val="center"/>
    </w:pPr>
    <w:rPr>
      <w:b/>
      <w:bCs/>
    </w:rPr>
  </w:style>
  <w:style w:type="paragraph" w:styleId="Capaleraesquerra">
    <w:name w:val="Capçalera esquerra"/>
    <w:basedOn w:val="Normal"/>
    <w:qFormat/>
    <w:pPr>
      <w:suppressLineNumbers/>
      <w:tabs>
        <w:tab w:val="clear" w:pos="708"/>
        <w:tab w:val="center" w:pos="4663" w:leader="none"/>
        <w:tab w:val="right" w:pos="9327" w:leader="none"/>
      </w:tabs>
    </w:pPr>
    <w:rPr/>
  </w:style>
  <w:style w:type="paragraph" w:styleId="Standard">
    <w:name w:val="Standard"/>
    <w:qFormat/>
    <w:pPr>
      <w:widowControl/>
      <w:suppressAutoHyphens w:val="true"/>
      <w:bidi w:val="0"/>
      <w:spacing w:before="0" w:after="0"/>
      <w:jc w:val="start"/>
    </w:pPr>
    <w:rPr>
      <w:rFonts w:ascii="Liberation Serif;Times New Roman" w:hAnsi="Liberation Serif;Times New Roman" w:eastAsia="SimSun;宋体" w:cs="Arial Unicode MS"/>
      <w:color w:val="00000A"/>
      <w:kern w:val="2"/>
      <w:sz w:val="24"/>
      <w:szCs w:val="24"/>
      <w:lang w:eastAsia="zh-CN" w:bidi="hi-IN" w:val="es-ES"/>
    </w:rPr>
  </w:style>
  <w:style w:type="paragraph" w:styleId="Llistamulticolormfasi1">
    <w:name w:val="Llista multicolor: èmfasi 1"/>
    <w:basedOn w:val="Normal"/>
    <w:qFormat/>
    <w:pPr>
      <w:spacing w:lineRule="auto" w:line="252" w:before="0" w:after="160"/>
      <w:ind w:start="720" w:end="0" w:hanging="0"/>
      <w:contextualSpacing/>
    </w:pPr>
    <w:rPr>
      <w:rFonts w:ascii="Calibri" w:hAnsi="Calibri" w:eastAsia="Calibri" w:cs="Calibri"/>
      <w:sz w:val="22"/>
      <w:szCs w:val="22"/>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paragraph" w:styleId="Contenidodelmarco">
    <w:name w:val="Contenido del marco"/>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Àmbit de Serveis a les Persones</Template>
  <TotalTime>305</TotalTime>
  <Application>LibreOffice/7.5.5.2$Windows_X86_64 LibreOffice_project/ca8fe7424262805f223b9a2334bc7181abbcbf5e</Application>
  <AppVersion>15.0000</AppVersion>
  <Pages>7</Pages>
  <Words>3696</Words>
  <Characters>20155</Characters>
  <CharactersWithSpaces>23724</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2019-12-17T19:56:00Z</dcterms:created>
  <dc:creator>User</dc:creator>
  <dc:description/>
  <dc:language>en-US</dc:language>
  <cp:lastModifiedBy/>
  <cp:lastPrinted>1995-11-21T17:41:00Z</cp:lastPrinted>
  <dcterms:modified xsi:type="dcterms:W3CDTF">2025-01-16T10:58:58Z</dcterms:modified>
  <cp:revision>36</cp:revision>
  <dc:subject/>
  <dc:title>INFORME JURÍDIC</dc:title>
</cp:coreProperties>
</file>

<file path=docProps/custom.xml><?xml version="1.0" encoding="utf-8"?>
<Properties xmlns="http://schemas.openxmlformats.org/officeDocument/2006/custom-properties" xmlns:vt="http://schemas.openxmlformats.org/officeDocument/2006/docPropsVTypes"/>
</file>