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B89B5" w14:textId="77777777" w:rsidR="004C5A1F" w:rsidRPr="005F78B0" w:rsidRDefault="004C5A1F" w:rsidP="000C0E7B">
      <w:pPr>
        <w:jc w:val="both"/>
        <w:rPr>
          <w:b/>
          <w:bCs/>
          <w:szCs w:val="20"/>
        </w:rPr>
      </w:pPr>
      <w:r>
        <w:rPr>
          <w:b/>
          <w:bCs/>
          <w:szCs w:val="20"/>
        </w:rPr>
        <w:t>Sergi de Diego i Mas</w:t>
      </w:r>
      <w:r w:rsidRPr="005F78B0">
        <w:rPr>
          <w:b/>
          <w:bCs/>
          <w:szCs w:val="20"/>
        </w:rPr>
        <w:t>, secretari</w:t>
      </w:r>
      <w:r w:rsidRPr="005F78B0">
        <w:rPr>
          <w:b/>
          <w:bCs/>
          <w:szCs w:val="20"/>
        </w:rPr>
        <w:t xml:space="preserve"> accidental</w:t>
      </w:r>
      <w:r w:rsidRPr="005F78B0">
        <w:rPr>
          <w:b/>
          <w:bCs/>
          <w:szCs w:val="20"/>
        </w:rPr>
        <w:t xml:space="preserve"> de l’Ajuntament de Dosrius, comarca del Maresme</w:t>
      </w:r>
      <w:r>
        <w:rPr>
          <w:b/>
          <w:bCs/>
          <w:szCs w:val="20"/>
        </w:rPr>
        <w:t>,</w:t>
      </w:r>
    </w:p>
    <w:p w14:paraId="1BBEBF92" w14:textId="77777777" w:rsidR="004C5A1F" w:rsidRPr="005F78B0" w:rsidRDefault="004C5A1F" w:rsidP="000C0E7B">
      <w:pPr>
        <w:jc w:val="both"/>
        <w:rPr>
          <w:b/>
          <w:bCs/>
          <w:szCs w:val="20"/>
        </w:rPr>
      </w:pPr>
    </w:p>
    <w:p w14:paraId="7FC7FD35" w14:textId="77777777" w:rsidR="004C5A1F" w:rsidRPr="005F78B0" w:rsidRDefault="004C5A1F" w:rsidP="000C0E7B">
      <w:pPr>
        <w:jc w:val="both"/>
        <w:rPr>
          <w:b/>
          <w:bCs/>
          <w:szCs w:val="20"/>
        </w:rPr>
      </w:pPr>
      <w:r w:rsidRPr="005F78B0">
        <w:rPr>
          <w:b/>
          <w:bCs/>
          <w:szCs w:val="20"/>
        </w:rPr>
        <w:t>C E R T I F I C O:</w:t>
      </w:r>
    </w:p>
    <w:p w14:paraId="3649CACC" w14:textId="77777777" w:rsidR="004C5A1F" w:rsidRDefault="004C5A1F" w:rsidP="000C0E7B">
      <w:pPr>
        <w:jc w:val="both"/>
        <w:rPr>
          <w:szCs w:val="20"/>
        </w:rPr>
      </w:pPr>
    </w:p>
    <w:p w14:paraId="47F5C75B" w14:textId="77777777" w:rsidR="004C5A1F" w:rsidRDefault="004C5A1F" w:rsidP="000C0E7B">
      <w:pPr>
        <w:jc w:val="both"/>
        <w:rPr>
          <w:szCs w:val="20"/>
        </w:rPr>
      </w:pPr>
      <w:r w:rsidRPr="000B519D">
        <w:rPr>
          <w:szCs w:val="20"/>
        </w:rPr>
        <w:t>Que el Ple municipal</w:t>
      </w:r>
      <w:r>
        <w:rPr>
          <w:szCs w:val="20"/>
        </w:rPr>
        <w:t xml:space="preserve">, </w:t>
      </w:r>
      <w:r w:rsidRPr="00E336BC">
        <w:rPr>
          <w:szCs w:val="20"/>
        </w:rPr>
        <w:t>en sessió</w:t>
      </w:r>
      <w:r>
        <w:rPr>
          <w:szCs w:val="20"/>
        </w:rPr>
        <w:t xml:space="preserve"> </w:t>
      </w:r>
      <w:r>
        <w:rPr>
          <w:szCs w:val="20"/>
        </w:rPr>
        <w:t>ordinària</w:t>
      </w:r>
      <w:r>
        <w:rPr>
          <w:szCs w:val="20"/>
        </w:rPr>
        <w:t xml:space="preserve"> </w:t>
      </w:r>
      <w:r w:rsidRPr="00E336BC">
        <w:rPr>
          <w:szCs w:val="20"/>
        </w:rPr>
        <w:t xml:space="preserve">realitzada el dia </w:t>
      </w:r>
      <w:r>
        <w:rPr>
          <w:szCs w:val="20"/>
        </w:rPr>
        <w:t>29 de febrer de 2024</w:t>
      </w:r>
      <w:r w:rsidRPr="00E336BC">
        <w:rPr>
          <w:szCs w:val="20"/>
        </w:rPr>
        <w:t xml:space="preserve"> </w:t>
      </w:r>
      <w:r w:rsidRPr="000B519D">
        <w:rPr>
          <w:szCs w:val="20"/>
        </w:rPr>
        <w:t>va aprovar l’acord que textualment diu el següent:</w:t>
      </w:r>
    </w:p>
    <w:p w14:paraId="3AEDC055" w14:textId="77777777" w:rsidR="004C5A1F" w:rsidRPr="005F78B0" w:rsidRDefault="004C5A1F" w:rsidP="000C0E7B">
      <w:pPr>
        <w:jc w:val="both"/>
        <w:rPr>
          <w:szCs w:val="20"/>
        </w:rPr>
      </w:pPr>
    </w:p>
    <w:p w14:paraId="7E742E9C" w14:textId="64A5C0F1" w:rsidR="004C5A1F" w:rsidRDefault="004C5A1F" w:rsidP="004C5A1F">
      <w:pPr>
        <w:jc w:val="both"/>
        <w:rPr>
          <w:b/>
          <w:bCs/>
        </w:rPr>
      </w:pPr>
      <w:r>
        <w:rPr>
          <w:szCs w:val="20"/>
        </w:rPr>
        <w:t>“</w:t>
      </w:r>
      <w:r>
        <w:rPr>
          <w:b/>
          <w:bCs/>
        </w:rPr>
        <w:t xml:space="preserve">ASIGNACIÓ GRUPS MUNICIPALS </w:t>
      </w:r>
    </w:p>
    <w:p w14:paraId="3E468789"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El ple municipal, en sessió extraordinària de data 04 de juliol de 2023 va aprovar el règim de dedicació i de les retribucions i indemnitzacions dels membres de la corporació. L’apartat quart de l’esmentada moció estableix amb efectes 17 de juny de 2023 data de constitució del nou Ajuntament, una indemnització a favor dels diferents grups municipals i de caràcter mensual, per despeses efectuades en l’exercici de les seves funcions i en els quanties següents:</w:t>
      </w:r>
    </w:p>
    <w:p w14:paraId="32CA5DD9" w14:textId="77777777" w:rsidR="004C5A1F" w:rsidRDefault="004C5A1F" w:rsidP="00572F69">
      <w:pPr>
        <w:pStyle w:val="Normal00"/>
        <w:numPr>
          <w:ilvl w:val="0"/>
          <w:numId w:val="10"/>
        </w:numPr>
        <w:spacing w:before="100" w:beforeAutospacing="1" w:after="100" w:afterAutospacing="1"/>
        <w:jc w:val="both"/>
        <w:rPr>
          <w:szCs w:val="20"/>
          <w:lang w:eastAsia="ca-ES"/>
        </w:rPr>
      </w:pPr>
      <w:r>
        <w:rPr>
          <w:szCs w:val="20"/>
          <w:lang w:eastAsia="ca-ES"/>
        </w:rPr>
        <w:t>16 euros mensuals per cada regidor electe</w:t>
      </w:r>
    </w:p>
    <w:p w14:paraId="187F27D3" w14:textId="77777777" w:rsidR="004C5A1F" w:rsidRDefault="004C5A1F" w:rsidP="00572F69">
      <w:pPr>
        <w:pStyle w:val="Normal00"/>
        <w:numPr>
          <w:ilvl w:val="0"/>
          <w:numId w:val="10"/>
        </w:numPr>
        <w:spacing w:before="100" w:beforeAutospacing="1" w:after="100" w:afterAutospacing="1"/>
        <w:jc w:val="both"/>
        <w:rPr>
          <w:szCs w:val="20"/>
          <w:lang w:eastAsia="ca-ES"/>
        </w:rPr>
      </w:pPr>
      <w:r>
        <w:rPr>
          <w:szCs w:val="20"/>
          <w:lang w:eastAsia="ca-ES"/>
        </w:rPr>
        <w:t>50 euros mensuals per a cada grup municipal</w:t>
      </w:r>
    </w:p>
    <w:p w14:paraId="612782E5" w14:textId="77777777" w:rsidR="004C5A1F" w:rsidRDefault="004C5A1F" w:rsidP="00572F69">
      <w:pPr>
        <w:pStyle w:val="Normal00"/>
        <w:spacing w:before="100" w:beforeAutospacing="1" w:after="100" w:afterAutospacing="1"/>
        <w:jc w:val="both"/>
        <w:rPr>
          <w:szCs w:val="20"/>
          <w:lang w:eastAsia="ca-ES"/>
        </w:rPr>
      </w:pPr>
      <w:r>
        <w:rPr>
          <w:szCs w:val="20"/>
          <w:lang w:eastAsia="ca-ES"/>
        </w:rPr>
        <w:t>Previ a la adopció del present acord s’ha proposat aprovar un increment de la assignació als grups municipals per la legislatura 2023/2027 amb el següents imports:</w:t>
      </w:r>
    </w:p>
    <w:p w14:paraId="43D582B4" w14:textId="77777777" w:rsidR="004C5A1F" w:rsidRDefault="004C5A1F" w:rsidP="00572F69">
      <w:pPr>
        <w:pStyle w:val="Normal00"/>
        <w:numPr>
          <w:ilvl w:val="0"/>
          <w:numId w:val="11"/>
        </w:numPr>
        <w:spacing w:before="100" w:beforeAutospacing="1" w:after="100" w:afterAutospacing="1"/>
        <w:jc w:val="both"/>
        <w:rPr>
          <w:szCs w:val="20"/>
          <w:lang w:eastAsia="ca-ES"/>
        </w:rPr>
      </w:pPr>
      <w:r>
        <w:rPr>
          <w:szCs w:val="20"/>
          <w:lang w:eastAsia="ca-ES"/>
        </w:rPr>
        <w:t>18,32 euros mensuals per cada regidor electe</w:t>
      </w:r>
    </w:p>
    <w:p w14:paraId="7104025D" w14:textId="77777777" w:rsidR="004C5A1F" w:rsidRDefault="004C5A1F" w:rsidP="00572F69">
      <w:pPr>
        <w:pStyle w:val="Normal00"/>
        <w:numPr>
          <w:ilvl w:val="0"/>
          <w:numId w:val="11"/>
        </w:numPr>
        <w:spacing w:before="100" w:beforeAutospacing="1" w:after="100" w:afterAutospacing="1"/>
        <w:jc w:val="both"/>
        <w:rPr>
          <w:szCs w:val="20"/>
          <w:lang w:eastAsia="ca-ES"/>
        </w:rPr>
      </w:pPr>
      <w:r>
        <w:rPr>
          <w:szCs w:val="20"/>
          <w:lang w:eastAsia="ca-ES"/>
        </w:rPr>
        <w:t>57,25 euros mensuals per a cada grup municipal</w:t>
      </w:r>
    </w:p>
    <w:p w14:paraId="41DB94DC"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Aquestes retribucions s’aproven en base al que disposa l’article 73.3 de la llei 7/1985, de 2 d’abril, reguladora de bases de Règim Local (LLRBRL), la qual disposa que el Ple municipal, amb càrrec als pressupostos anuals podrà assignar als grups polítics municipals una dotació econòmica  que ha de tenir un component fix, idèntic per a tots els grups i una altra variable, en funció del nombre de membres de cada un d'ells, dins dels límits, si escau, dels establerts en les lleis del pressupost estatal i sense</w:t>
      </w:r>
      <w:r>
        <w:rPr>
          <w:color w:val="000000"/>
          <w:szCs w:val="20"/>
          <w:lang w:eastAsia="ca-ES"/>
        </w:rPr>
        <w:t xml:space="preserve"> que es puguin destinar al pagament dels salaris del personal de qualsevol tipus al servei de la corporació o a l'adquisició d'immobilitzat de caràcter patrimonial. Els grups polítics hauran de portar una comptabilitat específica de l'assignació, que estarà disponible al Plenari de la Corporació, sempre que aquest ho sol·licitin.</w:t>
      </w:r>
    </w:p>
    <w:p w14:paraId="1FEA8521"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Tractant-se aquesta assignació d’un acte amb contingut econòmic, es troba subjecte a control per part de la intervenció municipal i a remissió a la Base de Dades Nacional de Subvencions</w:t>
      </w:r>
    </w:p>
    <w:p w14:paraId="0302083A"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L'anàlisi de la naturalesa de les despeses i, per això, la decisió de la seva remissió a les BDNS, correspon a l'òrgan responsable de la gestió de crèdits. En qualsevol cas, tractant-se de entregues dineràries sense contraprestació i en relació amb el que es disposa en l'article 3.2 de la LGS (referint-se a les agències i altres entitats de dret públic) i en la DA 16 (fundacions públiques) i les modificacions recollides en l’article 20.8 com a conseqüència de l’aprovació i entrada en vigor de la llei 15/201</w:t>
      </w:r>
      <w:r>
        <w:rPr>
          <w:color w:val="000000"/>
          <w:szCs w:val="20"/>
          <w:lang w:eastAsia="ca-ES"/>
        </w:rPr>
        <w:t>4, de 16 de setembre, de racionalització del sector públic i altres mesures de reforma administrativa,  també han de ser comunicades a la BDNS.</w:t>
      </w:r>
    </w:p>
    <w:p w14:paraId="00024642"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 xml:space="preserve">La documentació justificativa de la subvenció haurà de posar-se a disposició del plenari si aquest ho exigeix i lliurar-la en tot cas a la intervenció municipal. ha de ser el propi Ajuntament qui en exercici de la potestat d’autoorganització local fixi els aspectes relatius a la justificació de les assignacions, com ara la periodicitat de la justificació, sempre limitada al principi d’anualitat pressupostària. En aquest sentit caldrà tenir en compte que l’any electoral, al finalitzar la legislatura caldria </w:t>
      </w:r>
      <w:r>
        <w:rPr>
          <w:color w:val="000000"/>
          <w:szCs w:val="20"/>
          <w:lang w:eastAsia="ca-ES"/>
        </w:rPr>
        <w:t xml:space="preserve">realitzar el tancament de la justificació de les assignacions. </w:t>
      </w:r>
    </w:p>
    <w:p w14:paraId="724DF365" w14:textId="77777777" w:rsidR="004C5A1F" w:rsidRDefault="004C5A1F" w:rsidP="00572F69">
      <w:pPr>
        <w:pStyle w:val="Normal00"/>
        <w:spacing w:before="100" w:beforeAutospacing="1" w:after="100" w:afterAutospacing="1"/>
        <w:jc w:val="both"/>
        <w:rPr>
          <w:color w:val="000000"/>
          <w:szCs w:val="20"/>
          <w:lang w:val="es-ES" w:eastAsia="ca-ES"/>
        </w:rPr>
      </w:pPr>
      <w:r>
        <w:rPr>
          <w:color w:val="000000"/>
          <w:szCs w:val="20"/>
          <w:lang w:eastAsia="ca-ES"/>
        </w:rPr>
        <w:t>Atès que aquesta assignació, en virtut de la seva naturalesa està subjecta a justificació per part dels receptors de les mateixes, és pertinent regular determinats aspectes relatius a la documentació requerida i a les despesa elegibles com a justificatives.</w:t>
      </w:r>
    </w:p>
    <w:p w14:paraId="337F5AFA"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lastRenderedPageBreak/>
        <w:t>En virtut del que s’ha exposat, es procedeix a aprovar les estipulacions que es proposa que regeixin la concessió de l’ajut i que es concreten en les següents:</w:t>
      </w:r>
    </w:p>
    <w:p w14:paraId="0FE7D19F"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PRIMERA.-  IMPORT DE LES </w:t>
      </w:r>
      <w:r>
        <w:rPr>
          <w:bCs/>
          <w:color w:val="000000"/>
          <w:szCs w:val="20"/>
          <w:lang w:eastAsia="ca-ES"/>
        </w:rPr>
        <w:t>SUBVENCIONS</w:t>
      </w:r>
    </w:p>
    <w:tbl>
      <w:tblPr>
        <w:tblW w:w="8400" w:type="dxa"/>
        <w:tblInd w:w="80" w:type="dxa"/>
        <w:tblCellMar>
          <w:left w:w="70" w:type="dxa"/>
          <w:right w:w="70" w:type="dxa"/>
        </w:tblCellMar>
        <w:tblLook w:val="04A0" w:firstRow="1" w:lastRow="0" w:firstColumn="1" w:lastColumn="0" w:noHBand="0" w:noVBand="1"/>
      </w:tblPr>
      <w:tblGrid>
        <w:gridCol w:w="1252"/>
        <w:gridCol w:w="1200"/>
        <w:gridCol w:w="1200"/>
        <w:gridCol w:w="1207"/>
        <w:gridCol w:w="1207"/>
        <w:gridCol w:w="1200"/>
        <w:gridCol w:w="1200"/>
      </w:tblGrid>
      <w:tr w:rsidR="004961FD" w14:paraId="762CE201" w14:textId="77777777" w:rsidTr="00572F69">
        <w:trPr>
          <w:trHeight w:val="765"/>
        </w:trPr>
        <w:tc>
          <w:tcPr>
            <w:tcW w:w="1200" w:type="dxa"/>
            <w:vMerge w:val="restart"/>
            <w:tcBorders>
              <w:top w:val="single" w:sz="8" w:space="0" w:color="auto"/>
              <w:left w:val="single" w:sz="8" w:space="0" w:color="auto"/>
              <w:bottom w:val="nil"/>
              <w:right w:val="single" w:sz="8" w:space="0" w:color="auto"/>
            </w:tcBorders>
            <w:shd w:val="clear" w:color="auto" w:fill="DAE9F8"/>
            <w:noWrap/>
            <w:vAlign w:val="center"/>
            <w:hideMark/>
          </w:tcPr>
          <w:p w14:paraId="4B616D32" w14:textId="77777777" w:rsidR="004C5A1F" w:rsidRDefault="004C5A1F">
            <w:pPr>
              <w:pStyle w:val="Normal00"/>
              <w:jc w:val="both"/>
              <w:rPr>
                <w:b/>
                <w:bCs/>
                <w:color w:val="000000"/>
                <w:szCs w:val="20"/>
                <w:lang w:val="es-ES"/>
              </w:rPr>
            </w:pPr>
            <w:r>
              <w:rPr>
                <w:b/>
                <w:bCs/>
                <w:color w:val="000000"/>
                <w:szCs w:val="20"/>
                <w:lang w:val="es-ES"/>
              </w:rPr>
              <w:t>GRUP MUNICIPAL</w:t>
            </w:r>
          </w:p>
        </w:tc>
        <w:tc>
          <w:tcPr>
            <w:tcW w:w="1200" w:type="dxa"/>
            <w:tcBorders>
              <w:top w:val="single" w:sz="8" w:space="0" w:color="auto"/>
              <w:left w:val="nil"/>
              <w:bottom w:val="nil"/>
              <w:right w:val="single" w:sz="8" w:space="0" w:color="auto"/>
            </w:tcBorders>
            <w:shd w:val="clear" w:color="auto" w:fill="DAE9F8"/>
            <w:vAlign w:val="center"/>
            <w:hideMark/>
          </w:tcPr>
          <w:p w14:paraId="73A6E5FC" w14:textId="77777777" w:rsidR="004C5A1F" w:rsidRDefault="004C5A1F">
            <w:pPr>
              <w:pStyle w:val="Normal00"/>
              <w:jc w:val="both"/>
              <w:rPr>
                <w:b/>
                <w:bCs/>
                <w:color w:val="000000"/>
                <w:szCs w:val="20"/>
                <w:lang w:val="es-ES"/>
              </w:rPr>
            </w:pPr>
            <w:r>
              <w:rPr>
                <w:b/>
                <w:bCs/>
                <w:color w:val="000000"/>
                <w:szCs w:val="20"/>
                <w:lang w:val="es-ES"/>
              </w:rPr>
              <w:t>IMPORT MENSUAL</w:t>
            </w:r>
          </w:p>
        </w:tc>
        <w:tc>
          <w:tcPr>
            <w:tcW w:w="1200" w:type="dxa"/>
            <w:vMerge w:val="restart"/>
            <w:tcBorders>
              <w:top w:val="single" w:sz="8" w:space="0" w:color="auto"/>
              <w:left w:val="single" w:sz="8" w:space="0" w:color="auto"/>
              <w:bottom w:val="nil"/>
              <w:right w:val="single" w:sz="8" w:space="0" w:color="auto"/>
            </w:tcBorders>
            <w:shd w:val="clear" w:color="auto" w:fill="DAE9F8"/>
            <w:vAlign w:val="center"/>
            <w:hideMark/>
          </w:tcPr>
          <w:p w14:paraId="64D1F80B" w14:textId="77777777" w:rsidR="004C5A1F" w:rsidRDefault="004C5A1F">
            <w:pPr>
              <w:pStyle w:val="Normal00"/>
              <w:jc w:val="both"/>
              <w:rPr>
                <w:b/>
                <w:bCs/>
                <w:color w:val="000000"/>
                <w:szCs w:val="20"/>
                <w:lang w:val="es-ES"/>
              </w:rPr>
            </w:pPr>
            <w:r>
              <w:rPr>
                <w:b/>
                <w:bCs/>
                <w:color w:val="000000"/>
                <w:szCs w:val="20"/>
                <w:lang w:val="es-ES"/>
              </w:rPr>
              <w:t>TOTAL ANUAL</w:t>
            </w:r>
          </w:p>
        </w:tc>
        <w:tc>
          <w:tcPr>
            <w:tcW w:w="1200" w:type="dxa"/>
            <w:tcBorders>
              <w:top w:val="single" w:sz="8" w:space="0" w:color="auto"/>
              <w:left w:val="nil"/>
              <w:bottom w:val="nil"/>
              <w:right w:val="single" w:sz="8" w:space="0" w:color="auto"/>
            </w:tcBorders>
            <w:shd w:val="clear" w:color="auto" w:fill="DAE9F8"/>
            <w:vAlign w:val="center"/>
            <w:hideMark/>
          </w:tcPr>
          <w:p w14:paraId="6625B5CE" w14:textId="77777777" w:rsidR="004C5A1F" w:rsidRDefault="004C5A1F">
            <w:pPr>
              <w:pStyle w:val="Normal00"/>
              <w:jc w:val="both"/>
              <w:rPr>
                <w:b/>
                <w:bCs/>
                <w:color w:val="000000"/>
                <w:szCs w:val="20"/>
                <w:lang w:val="es-ES"/>
              </w:rPr>
            </w:pPr>
            <w:r>
              <w:rPr>
                <w:b/>
                <w:bCs/>
                <w:color w:val="000000"/>
                <w:szCs w:val="20"/>
                <w:lang w:val="es-ES"/>
              </w:rPr>
              <w:t>NÚM DE</w:t>
            </w:r>
          </w:p>
        </w:tc>
        <w:tc>
          <w:tcPr>
            <w:tcW w:w="1200" w:type="dxa"/>
            <w:tcBorders>
              <w:top w:val="single" w:sz="8" w:space="0" w:color="auto"/>
              <w:left w:val="nil"/>
              <w:bottom w:val="nil"/>
              <w:right w:val="single" w:sz="8" w:space="0" w:color="auto"/>
            </w:tcBorders>
            <w:shd w:val="clear" w:color="auto" w:fill="DAE9F8"/>
            <w:vAlign w:val="center"/>
            <w:hideMark/>
          </w:tcPr>
          <w:p w14:paraId="4FBC8AAF" w14:textId="77777777" w:rsidR="004C5A1F" w:rsidRDefault="004C5A1F">
            <w:pPr>
              <w:pStyle w:val="Normal00"/>
              <w:jc w:val="both"/>
              <w:rPr>
                <w:b/>
                <w:bCs/>
                <w:color w:val="000000"/>
                <w:szCs w:val="20"/>
                <w:lang w:val="es-ES"/>
              </w:rPr>
            </w:pPr>
            <w:r>
              <w:rPr>
                <w:b/>
                <w:bCs/>
                <w:color w:val="000000"/>
                <w:szCs w:val="20"/>
                <w:lang w:val="es-ES"/>
              </w:rPr>
              <w:t>IMPORT MENSUAL PER</w:t>
            </w:r>
          </w:p>
        </w:tc>
        <w:tc>
          <w:tcPr>
            <w:tcW w:w="1200" w:type="dxa"/>
            <w:vMerge w:val="restart"/>
            <w:tcBorders>
              <w:top w:val="single" w:sz="8" w:space="0" w:color="auto"/>
              <w:left w:val="single" w:sz="8" w:space="0" w:color="auto"/>
              <w:bottom w:val="nil"/>
              <w:right w:val="single" w:sz="8" w:space="0" w:color="auto"/>
            </w:tcBorders>
            <w:shd w:val="clear" w:color="auto" w:fill="DAE9F8"/>
            <w:vAlign w:val="center"/>
            <w:hideMark/>
          </w:tcPr>
          <w:p w14:paraId="0F21362A" w14:textId="77777777" w:rsidR="004C5A1F" w:rsidRDefault="004C5A1F">
            <w:pPr>
              <w:pStyle w:val="Normal00"/>
              <w:jc w:val="both"/>
              <w:rPr>
                <w:b/>
                <w:bCs/>
                <w:color w:val="000000"/>
                <w:szCs w:val="20"/>
                <w:lang w:val="es-ES"/>
              </w:rPr>
            </w:pPr>
            <w:r>
              <w:rPr>
                <w:b/>
                <w:bCs/>
                <w:color w:val="000000"/>
                <w:szCs w:val="20"/>
                <w:lang w:val="es-ES"/>
              </w:rPr>
              <w:t>TOTAL ANUAL</w:t>
            </w:r>
          </w:p>
        </w:tc>
        <w:tc>
          <w:tcPr>
            <w:tcW w:w="1200" w:type="dxa"/>
            <w:tcBorders>
              <w:top w:val="single" w:sz="8" w:space="0" w:color="auto"/>
              <w:left w:val="nil"/>
              <w:bottom w:val="nil"/>
              <w:right w:val="single" w:sz="8" w:space="0" w:color="auto"/>
            </w:tcBorders>
            <w:shd w:val="clear" w:color="auto" w:fill="DAE9F8"/>
            <w:vAlign w:val="center"/>
            <w:hideMark/>
          </w:tcPr>
          <w:p w14:paraId="0827B3E4" w14:textId="77777777" w:rsidR="004C5A1F" w:rsidRDefault="004C5A1F">
            <w:pPr>
              <w:pStyle w:val="Normal00"/>
              <w:jc w:val="both"/>
              <w:rPr>
                <w:b/>
                <w:bCs/>
                <w:color w:val="000000"/>
                <w:szCs w:val="20"/>
                <w:lang w:val="es-ES"/>
              </w:rPr>
            </w:pPr>
            <w:r>
              <w:rPr>
                <w:b/>
                <w:bCs/>
                <w:color w:val="000000"/>
                <w:szCs w:val="20"/>
                <w:lang w:val="es-ES"/>
              </w:rPr>
              <w:t>TOTAL ANUAL</w:t>
            </w:r>
          </w:p>
        </w:tc>
      </w:tr>
      <w:tr w:rsidR="004961FD" w14:paraId="1F555A4B" w14:textId="77777777" w:rsidTr="00572F69">
        <w:trPr>
          <w:trHeight w:val="300"/>
        </w:trPr>
        <w:tc>
          <w:tcPr>
            <w:tcW w:w="0" w:type="auto"/>
            <w:vMerge/>
            <w:tcBorders>
              <w:top w:val="single" w:sz="8" w:space="0" w:color="auto"/>
              <w:left w:val="single" w:sz="8" w:space="0" w:color="auto"/>
              <w:bottom w:val="nil"/>
              <w:right w:val="single" w:sz="8" w:space="0" w:color="auto"/>
            </w:tcBorders>
            <w:vAlign w:val="center"/>
            <w:hideMark/>
          </w:tcPr>
          <w:p w14:paraId="32E738B3"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center"/>
            <w:hideMark/>
          </w:tcPr>
          <w:p w14:paraId="6B76FA13" w14:textId="77777777" w:rsidR="004C5A1F" w:rsidRDefault="004C5A1F">
            <w:pPr>
              <w:pStyle w:val="Normal00"/>
              <w:jc w:val="both"/>
              <w:rPr>
                <w:b/>
                <w:bCs/>
                <w:color w:val="000000"/>
                <w:szCs w:val="20"/>
                <w:lang w:val="es-ES"/>
              </w:rPr>
            </w:pPr>
            <w:r>
              <w:rPr>
                <w:b/>
                <w:bCs/>
                <w:color w:val="000000"/>
                <w:szCs w:val="20"/>
                <w:lang w:val="es-ES"/>
              </w:rPr>
              <w:t>GRUP</w:t>
            </w:r>
          </w:p>
        </w:tc>
        <w:tc>
          <w:tcPr>
            <w:tcW w:w="0" w:type="auto"/>
            <w:vMerge/>
            <w:tcBorders>
              <w:top w:val="single" w:sz="8" w:space="0" w:color="auto"/>
              <w:left w:val="single" w:sz="8" w:space="0" w:color="auto"/>
              <w:bottom w:val="nil"/>
              <w:right w:val="single" w:sz="8" w:space="0" w:color="auto"/>
            </w:tcBorders>
            <w:vAlign w:val="center"/>
            <w:hideMark/>
          </w:tcPr>
          <w:p w14:paraId="4E649CF1"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center"/>
            <w:hideMark/>
          </w:tcPr>
          <w:p w14:paraId="04E5B514" w14:textId="77777777" w:rsidR="004C5A1F" w:rsidRDefault="004C5A1F">
            <w:pPr>
              <w:pStyle w:val="Normal00"/>
              <w:jc w:val="both"/>
              <w:rPr>
                <w:b/>
                <w:bCs/>
                <w:color w:val="000000"/>
                <w:szCs w:val="20"/>
                <w:lang w:val="es-ES"/>
              </w:rPr>
            </w:pPr>
            <w:r>
              <w:rPr>
                <w:b/>
                <w:bCs/>
                <w:color w:val="000000"/>
                <w:szCs w:val="20"/>
                <w:lang w:val="es-ES"/>
              </w:rPr>
              <w:t>REGIDORS</w:t>
            </w:r>
          </w:p>
        </w:tc>
        <w:tc>
          <w:tcPr>
            <w:tcW w:w="1200" w:type="dxa"/>
            <w:tcBorders>
              <w:top w:val="nil"/>
              <w:left w:val="nil"/>
              <w:bottom w:val="nil"/>
              <w:right w:val="single" w:sz="8" w:space="0" w:color="auto"/>
            </w:tcBorders>
            <w:shd w:val="clear" w:color="auto" w:fill="DAE9F8"/>
            <w:vAlign w:val="center"/>
            <w:hideMark/>
          </w:tcPr>
          <w:p w14:paraId="7B60667A" w14:textId="77777777" w:rsidR="004C5A1F" w:rsidRDefault="004C5A1F">
            <w:pPr>
              <w:pStyle w:val="Normal00"/>
              <w:jc w:val="both"/>
              <w:rPr>
                <w:b/>
                <w:bCs/>
                <w:color w:val="000000"/>
                <w:szCs w:val="20"/>
                <w:lang w:val="es-ES"/>
              </w:rPr>
            </w:pPr>
            <w:r>
              <w:rPr>
                <w:b/>
                <w:bCs/>
                <w:color w:val="000000"/>
                <w:szCs w:val="20"/>
                <w:lang w:val="es-ES"/>
              </w:rPr>
              <w:t>TOTAL</w:t>
            </w:r>
          </w:p>
        </w:tc>
        <w:tc>
          <w:tcPr>
            <w:tcW w:w="0" w:type="auto"/>
            <w:vMerge/>
            <w:tcBorders>
              <w:top w:val="single" w:sz="8" w:space="0" w:color="auto"/>
              <w:left w:val="single" w:sz="8" w:space="0" w:color="auto"/>
              <w:bottom w:val="nil"/>
              <w:right w:val="single" w:sz="8" w:space="0" w:color="auto"/>
            </w:tcBorders>
            <w:vAlign w:val="center"/>
            <w:hideMark/>
          </w:tcPr>
          <w:p w14:paraId="3C484896"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center"/>
            <w:hideMark/>
          </w:tcPr>
          <w:p w14:paraId="3C157C7B" w14:textId="77777777" w:rsidR="004C5A1F" w:rsidRDefault="004C5A1F">
            <w:pPr>
              <w:pStyle w:val="Normal00"/>
              <w:jc w:val="both"/>
              <w:rPr>
                <w:b/>
                <w:bCs/>
                <w:color w:val="000000"/>
                <w:szCs w:val="20"/>
                <w:lang w:val="es-ES"/>
              </w:rPr>
            </w:pPr>
            <w:r>
              <w:rPr>
                <w:b/>
                <w:bCs/>
                <w:color w:val="000000"/>
                <w:szCs w:val="20"/>
                <w:lang w:val="es-ES"/>
              </w:rPr>
              <w:t xml:space="preserve"> </w:t>
            </w:r>
          </w:p>
        </w:tc>
      </w:tr>
      <w:tr w:rsidR="004961FD" w14:paraId="00D38506" w14:textId="77777777" w:rsidTr="00572F69">
        <w:trPr>
          <w:trHeight w:val="300"/>
        </w:trPr>
        <w:tc>
          <w:tcPr>
            <w:tcW w:w="0" w:type="auto"/>
            <w:vMerge/>
            <w:tcBorders>
              <w:top w:val="single" w:sz="8" w:space="0" w:color="auto"/>
              <w:left w:val="single" w:sz="8" w:space="0" w:color="auto"/>
              <w:bottom w:val="nil"/>
              <w:right w:val="single" w:sz="8" w:space="0" w:color="auto"/>
            </w:tcBorders>
            <w:vAlign w:val="center"/>
            <w:hideMark/>
          </w:tcPr>
          <w:p w14:paraId="2875C065"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bottom"/>
            <w:hideMark/>
          </w:tcPr>
          <w:p w14:paraId="4862B1AA"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c>
          <w:tcPr>
            <w:tcW w:w="0" w:type="auto"/>
            <w:vMerge/>
            <w:tcBorders>
              <w:top w:val="single" w:sz="8" w:space="0" w:color="auto"/>
              <w:left w:val="single" w:sz="8" w:space="0" w:color="auto"/>
              <w:bottom w:val="nil"/>
              <w:right w:val="single" w:sz="8" w:space="0" w:color="auto"/>
            </w:tcBorders>
            <w:vAlign w:val="center"/>
            <w:hideMark/>
          </w:tcPr>
          <w:p w14:paraId="0D46B1D5"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bottom"/>
            <w:hideMark/>
          </w:tcPr>
          <w:p w14:paraId="6C210182"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c>
          <w:tcPr>
            <w:tcW w:w="1200" w:type="dxa"/>
            <w:tcBorders>
              <w:top w:val="nil"/>
              <w:left w:val="nil"/>
              <w:bottom w:val="nil"/>
              <w:right w:val="single" w:sz="8" w:space="0" w:color="auto"/>
            </w:tcBorders>
            <w:shd w:val="clear" w:color="auto" w:fill="DAE9F8"/>
            <w:vAlign w:val="center"/>
            <w:hideMark/>
          </w:tcPr>
          <w:p w14:paraId="4943BCDB" w14:textId="77777777" w:rsidR="004C5A1F" w:rsidRDefault="004C5A1F">
            <w:pPr>
              <w:pStyle w:val="Normal00"/>
              <w:jc w:val="both"/>
              <w:rPr>
                <w:b/>
                <w:bCs/>
                <w:color w:val="000000"/>
                <w:szCs w:val="20"/>
                <w:lang w:val="es-ES"/>
              </w:rPr>
            </w:pPr>
            <w:r>
              <w:rPr>
                <w:b/>
                <w:bCs/>
                <w:color w:val="000000"/>
                <w:szCs w:val="20"/>
                <w:lang w:val="es-ES"/>
              </w:rPr>
              <w:t>REGIDORS</w:t>
            </w:r>
          </w:p>
        </w:tc>
        <w:tc>
          <w:tcPr>
            <w:tcW w:w="0" w:type="auto"/>
            <w:vMerge/>
            <w:tcBorders>
              <w:top w:val="single" w:sz="8" w:space="0" w:color="auto"/>
              <w:left w:val="single" w:sz="8" w:space="0" w:color="auto"/>
              <w:bottom w:val="nil"/>
              <w:right w:val="single" w:sz="8" w:space="0" w:color="auto"/>
            </w:tcBorders>
            <w:vAlign w:val="center"/>
            <w:hideMark/>
          </w:tcPr>
          <w:p w14:paraId="46B0F54D" w14:textId="77777777" w:rsidR="004C5A1F" w:rsidRDefault="004C5A1F">
            <w:pPr>
              <w:pStyle w:val="Normal00"/>
              <w:rPr>
                <w:b/>
                <w:bCs/>
                <w:color w:val="000000"/>
                <w:szCs w:val="20"/>
                <w:lang w:val="es-ES"/>
              </w:rPr>
            </w:pPr>
          </w:p>
        </w:tc>
        <w:tc>
          <w:tcPr>
            <w:tcW w:w="1200" w:type="dxa"/>
            <w:tcBorders>
              <w:top w:val="nil"/>
              <w:left w:val="nil"/>
              <w:bottom w:val="nil"/>
              <w:right w:val="single" w:sz="8" w:space="0" w:color="auto"/>
            </w:tcBorders>
            <w:shd w:val="clear" w:color="auto" w:fill="DAE9F8"/>
            <w:vAlign w:val="bottom"/>
            <w:hideMark/>
          </w:tcPr>
          <w:p w14:paraId="0DBF595A"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r>
      <w:tr w:rsidR="004961FD" w14:paraId="18BDA515" w14:textId="77777777" w:rsidTr="00572F69">
        <w:trPr>
          <w:trHeight w:val="300"/>
        </w:trPr>
        <w:tc>
          <w:tcPr>
            <w:tcW w:w="1200" w:type="dxa"/>
            <w:tcBorders>
              <w:top w:val="single" w:sz="4" w:space="0" w:color="auto"/>
              <w:left w:val="single" w:sz="4" w:space="0" w:color="auto"/>
              <w:bottom w:val="single" w:sz="4" w:space="0" w:color="auto"/>
              <w:right w:val="single" w:sz="4" w:space="0" w:color="auto"/>
            </w:tcBorders>
            <w:noWrap/>
            <w:vAlign w:val="center"/>
            <w:hideMark/>
          </w:tcPr>
          <w:p w14:paraId="4DA2FAEA" w14:textId="77777777" w:rsidR="004C5A1F" w:rsidRDefault="004C5A1F">
            <w:pPr>
              <w:pStyle w:val="Normal00"/>
              <w:jc w:val="both"/>
              <w:rPr>
                <w:color w:val="000000"/>
                <w:szCs w:val="20"/>
                <w:lang w:val="es-ES"/>
              </w:rPr>
            </w:pPr>
            <w:r>
              <w:rPr>
                <w:color w:val="000000"/>
                <w:szCs w:val="20"/>
                <w:lang w:val="es-ES"/>
              </w:rPr>
              <w:t>PSC</w:t>
            </w:r>
          </w:p>
        </w:tc>
        <w:tc>
          <w:tcPr>
            <w:tcW w:w="1200" w:type="dxa"/>
            <w:tcBorders>
              <w:top w:val="single" w:sz="4" w:space="0" w:color="auto"/>
              <w:left w:val="nil"/>
              <w:bottom w:val="single" w:sz="4" w:space="0" w:color="auto"/>
              <w:right w:val="single" w:sz="4" w:space="0" w:color="auto"/>
            </w:tcBorders>
            <w:noWrap/>
            <w:vAlign w:val="center"/>
            <w:hideMark/>
          </w:tcPr>
          <w:p w14:paraId="0080C4A5"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single" w:sz="4" w:space="0" w:color="auto"/>
              <w:left w:val="nil"/>
              <w:bottom w:val="single" w:sz="4" w:space="0" w:color="auto"/>
              <w:right w:val="single" w:sz="4" w:space="0" w:color="auto"/>
            </w:tcBorders>
            <w:noWrap/>
            <w:vAlign w:val="center"/>
            <w:hideMark/>
          </w:tcPr>
          <w:p w14:paraId="6704A084"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single" w:sz="4" w:space="0" w:color="auto"/>
              <w:left w:val="nil"/>
              <w:bottom w:val="single" w:sz="4" w:space="0" w:color="auto"/>
              <w:right w:val="single" w:sz="4" w:space="0" w:color="auto"/>
            </w:tcBorders>
            <w:noWrap/>
            <w:vAlign w:val="center"/>
            <w:hideMark/>
          </w:tcPr>
          <w:p w14:paraId="378ED919" w14:textId="77777777" w:rsidR="004C5A1F" w:rsidRDefault="004C5A1F">
            <w:pPr>
              <w:pStyle w:val="Normal00"/>
              <w:jc w:val="center"/>
              <w:rPr>
                <w:color w:val="000000"/>
                <w:szCs w:val="20"/>
                <w:lang w:val="es-ES"/>
              </w:rPr>
            </w:pPr>
            <w:r>
              <w:rPr>
                <w:color w:val="000000"/>
                <w:szCs w:val="20"/>
                <w:lang w:val="es-ES"/>
              </w:rPr>
              <w:t>5</w:t>
            </w:r>
          </w:p>
        </w:tc>
        <w:tc>
          <w:tcPr>
            <w:tcW w:w="1200" w:type="dxa"/>
            <w:tcBorders>
              <w:top w:val="single" w:sz="4" w:space="0" w:color="auto"/>
              <w:left w:val="nil"/>
              <w:bottom w:val="single" w:sz="4" w:space="0" w:color="auto"/>
              <w:right w:val="single" w:sz="4" w:space="0" w:color="auto"/>
            </w:tcBorders>
            <w:noWrap/>
            <w:vAlign w:val="center"/>
            <w:hideMark/>
          </w:tcPr>
          <w:p w14:paraId="7E2B5DA8"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single" w:sz="4" w:space="0" w:color="auto"/>
              <w:left w:val="nil"/>
              <w:bottom w:val="single" w:sz="4" w:space="0" w:color="auto"/>
              <w:right w:val="single" w:sz="4" w:space="0" w:color="auto"/>
            </w:tcBorders>
            <w:noWrap/>
            <w:vAlign w:val="center"/>
            <w:hideMark/>
          </w:tcPr>
          <w:p w14:paraId="60B50478"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1099,2</w:t>
            </w:r>
          </w:p>
        </w:tc>
        <w:tc>
          <w:tcPr>
            <w:tcW w:w="1200" w:type="dxa"/>
            <w:tcBorders>
              <w:top w:val="single" w:sz="4" w:space="0" w:color="auto"/>
              <w:left w:val="nil"/>
              <w:bottom w:val="single" w:sz="4" w:space="0" w:color="auto"/>
              <w:right w:val="single" w:sz="4" w:space="0" w:color="auto"/>
            </w:tcBorders>
            <w:noWrap/>
            <w:vAlign w:val="center"/>
            <w:hideMark/>
          </w:tcPr>
          <w:p w14:paraId="1B7954F9"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1.786 €</w:t>
            </w:r>
          </w:p>
        </w:tc>
      </w:tr>
      <w:tr w:rsidR="004961FD" w14:paraId="202F1917" w14:textId="77777777" w:rsidTr="00572F69">
        <w:trPr>
          <w:trHeight w:val="300"/>
        </w:trPr>
        <w:tc>
          <w:tcPr>
            <w:tcW w:w="1200" w:type="dxa"/>
            <w:tcBorders>
              <w:top w:val="nil"/>
              <w:left w:val="single" w:sz="4" w:space="0" w:color="auto"/>
              <w:bottom w:val="single" w:sz="4" w:space="0" w:color="auto"/>
              <w:right w:val="single" w:sz="4" w:space="0" w:color="auto"/>
            </w:tcBorders>
            <w:noWrap/>
            <w:vAlign w:val="center"/>
            <w:hideMark/>
          </w:tcPr>
          <w:p w14:paraId="3E72DB30" w14:textId="77777777" w:rsidR="004C5A1F" w:rsidRDefault="004C5A1F">
            <w:pPr>
              <w:pStyle w:val="Normal00"/>
              <w:jc w:val="both"/>
              <w:rPr>
                <w:color w:val="000000"/>
                <w:szCs w:val="20"/>
                <w:lang w:val="es-ES"/>
              </w:rPr>
            </w:pPr>
            <w:r>
              <w:rPr>
                <w:color w:val="000000"/>
                <w:szCs w:val="20"/>
                <w:lang w:val="es-ES"/>
              </w:rPr>
              <w:t>JuntsxCat</w:t>
            </w:r>
          </w:p>
        </w:tc>
        <w:tc>
          <w:tcPr>
            <w:tcW w:w="1200" w:type="dxa"/>
            <w:tcBorders>
              <w:top w:val="nil"/>
              <w:left w:val="nil"/>
              <w:bottom w:val="single" w:sz="4" w:space="0" w:color="auto"/>
              <w:right w:val="single" w:sz="4" w:space="0" w:color="auto"/>
            </w:tcBorders>
            <w:noWrap/>
            <w:vAlign w:val="center"/>
            <w:hideMark/>
          </w:tcPr>
          <w:p w14:paraId="574FA1FE"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nil"/>
              <w:left w:val="nil"/>
              <w:bottom w:val="single" w:sz="4" w:space="0" w:color="auto"/>
              <w:right w:val="single" w:sz="4" w:space="0" w:color="auto"/>
            </w:tcBorders>
            <w:noWrap/>
            <w:vAlign w:val="center"/>
            <w:hideMark/>
          </w:tcPr>
          <w:p w14:paraId="25067A25"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nil"/>
              <w:left w:val="nil"/>
              <w:bottom w:val="single" w:sz="4" w:space="0" w:color="auto"/>
              <w:right w:val="single" w:sz="4" w:space="0" w:color="auto"/>
            </w:tcBorders>
            <w:noWrap/>
            <w:vAlign w:val="center"/>
            <w:hideMark/>
          </w:tcPr>
          <w:p w14:paraId="0488B45D" w14:textId="77777777" w:rsidR="004C5A1F" w:rsidRDefault="004C5A1F">
            <w:pPr>
              <w:pStyle w:val="Normal00"/>
              <w:jc w:val="center"/>
              <w:rPr>
                <w:color w:val="000000"/>
                <w:szCs w:val="20"/>
                <w:lang w:val="es-ES"/>
              </w:rPr>
            </w:pPr>
            <w:r>
              <w:rPr>
                <w:color w:val="000000"/>
                <w:szCs w:val="20"/>
                <w:lang w:val="es-ES"/>
              </w:rPr>
              <w:t>2</w:t>
            </w:r>
          </w:p>
        </w:tc>
        <w:tc>
          <w:tcPr>
            <w:tcW w:w="1200" w:type="dxa"/>
            <w:tcBorders>
              <w:top w:val="nil"/>
              <w:left w:val="nil"/>
              <w:bottom w:val="single" w:sz="4" w:space="0" w:color="auto"/>
              <w:right w:val="single" w:sz="4" w:space="0" w:color="auto"/>
            </w:tcBorders>
            <w:noWrap/>
            <w:vAlign w:val="center"/>
            <w:hideMark/>
          </w:tcPr>
          <w:p w14:paraId="0B7BFBE0"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nil"/>
              <w:left w:val="nil"/>
              <w:bottom w:val="single" w:sz="4" w:space="0" w:color="auto"/>
              <w:right w:val="single" w:sz="4" w:space="0" w:color="auto"/>
            </w:tcBorders>
            <w:noWrap/>
            <w:vAlign w:val="center"/>
            <w:hideMark/>
          </w:tcPr>
          <w:p w14:paraId="2E7A7AAC"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439,68</w:t>
            </w:r>
          </w:p>
        </w:tc>
        <w:tc>
          <w:tcPr>
            <w:tcW w:w="1200" w:type="dxa"/>
            <w:tcBorders>
              <w:top w:val="nil"/>
              <w:left w:val="nil"/>
              <w:bottom w:val="single" w:sz="4" w:space="0" w:color="auto"/>
              <w:right w:val="single" w:sz="4" w:space="0" w:color="auto"/>
            </w:tcBorders>
            <w:noWrap/>
            <w:vAlign w:val="center"/>
            <w:hideMark/>
          </w:tcPr>
          <w:p w14:paraId="2BC0D81A"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1.127 €</w:t>
            </w:r>
          </w:p>
        </w:tc>
      </w:tr>
      <w:tr w:rsidR="004961FD" w14:paraId="378B208D" w14:textId="77777777" w:rsidTr="00572F69">
        <w:trPr>
          <w:trHeight w:val="300"/>
        </w:trPr>
        <w:tc>
          <w:tcPr>
            <w:tcW w:w="1200" w:type="dxa"/>
            <w:tcBorders>
              <w:top w:val="nil"/>
              <w:left w:val="single" w:sz="4" w:space="0" w:color="auto"/>
              <w:bottom w:val="single" w:sz="4" w:space="0" w:color="auto"/>
              <w:right w:val="single" w:sz="4" w:space="0" w:color="auto"/>
            </w:tcBorders>
            <w:noWrap/>
            <w:vAlign w:val="bottom"/>
            <w:hideMark/>
          </w:tcPr>
          <w:p w14:paraId="49E2514F"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ERC</w:t>
            </w:r>
          </w:p>
        </w:tc>
        <w:tc>
          <w:tcPr>
            <w:tcW w:w="1200" w:type="dxa"/>
            <w:tcBorders>
              <w:top w:val="nil"/>
              <w:left w:val="nil"/>
              <w:bottom w:val="single" w:sz="4" w:space="0" w:color="auto"/>
              <w:right w:val="single" w:sz="4" w:space="0" w:color="auto"/>
            </w:tcBorders>
            <w:noWrap/>
            <w:vAlign w:val="center"/>
            <w:hideMark/>
          </w:tcPr>
          <w:p w14:paraId="0A562842"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nil"/>
              <w:left w:val="nil"/>
              <w:bottom w:val="single" w:sz="4" w:space="0" w:color="auto"/>
              <w:right w:val="single" w:sz="4" w:space="0" w:color="auto"/>
            </w:tcBorders>
            <w:noWrap/>
            <w:vAlign w:val="center"/>
            <w:hideMark/>
          </w:tcPr>
          <w:p w14:paraId="26531650"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nil"/>
              <w:left w:val="nil"/>
              <w:bottom w:val="single" w:sz="4" w:space="0" w:color="auto"/>
              <w:right w:val="single" w:sz="4" w:space="0" w:color="auto"/>
            </w:tcBorders>
            <w:noWrap/>
            <w:vAlign w:val="center"/>
            <w:hideMark/>
          </w:tcPr>
          <w:p w14:paraId="5C8BC697"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3</w:t>
            </w:r>
          </w:p>
        </w:tc>
        <w:tc>
          <w:tcPr>
            <w:tcW w:w="1200" w:type="dxa"/>
            <w:tcBorders>
              <w:top w:val="nil"/>
              <w:left w:val="nil"/>
              <w:bottom w:val="single" w:sz="4" w:space="0" w:color="auto"/>
              <w:right w:val="single" w:sz="4" w:space="0" w:color="auto"/>
            </w:tcBorders>
            <w:noWrap/>
            <w:vAlign w:val="center"/>
            <w:hideMark/>
          </w:tcPr>
          <w:p w14:paraId="794E6C4A"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nil"/>
              <w:left w:val="nil"/>
              <w:bottom w:val="single" w:sz="4" w:space="0" w:color="auto"/>
              <w:right w:val="single" w:sz="4" w:space="0" w:color="auto"/>
            </w:tcBorders>
            <w:noWrap/>
            <w:vAlign w:val="center"/>
            <w:hideMark/>
          </w:tcPr>
          <w:p w14:paraId="509D4021"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659,52</w:t>
            </w:r>
          </w:p>
        </w:tc>
        <w:tc>
          <w:tcPr>
            <w:tcW w:w="1200" w:type="dxa"/>
            <w:tcBorders>
              <w:top w:val="nil"/>
              <w:left w:val="nil"/>
              <w:bottom w:val="single" w:sz="4" w:space="0" w:color="auto"/>
              <w:right w:val="single" w:sz="4" w:space="0" w:color="auto"/>
            </w:tcBorders>
            <w:noWrap/>
            <w:vAlign w:val="center"/>
            <w:hideMark/>
          </w:tcPr>
          <w:p w14:paraId="3BB20589"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1.347 €</w:t>
            </w:r>
          </w:p>
        </w:tc>
      </w:tr>
      <w:tr w:rsidR="004961FD" w14:paraId="4A574D26" w14:textId="77777777" w:rsidTr="00572F69">
        <w:trPr>
          <w:trHeight w:val="300"/>
        </w:trPr>
        <w:tc>
          <w:tcPr>
            <w:tcW w:w="1200" w:type="dxa"/>
            <w:tcBorders>
              <w:top w:val="nil"/>
              <w:left w:val="single" w:sz="4" w:space="0" w:color="auto"/>
              <w:bottom w:val="single" w:sz="4" w:space="0" w:color="auto"/>
              <w:right w:val="single" w:sz="4" w:space="0" w:color="auto"/>
            </w:tcBorders>
            <w:noWrap/>
            <w:vAlign w:val="bottom"/>
            <w:hideMark/>
          </w:tcPr>
          <w:p w14:paraId="6F6C9B82"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SDP</w:t>
            </w:r>
          </w:p>
        </w:tc>
        <w:tc>
          <w:tcPr>
            <w:tcW w:w="1200" w:type="dxa"/>
            <w:tcBorders>
              <w:top w:val="nil"/>
              <w:left w:val="nil"/>
              <w:bottom w:val="single" w:sz="4" w:space="0" w:color="auto"/>
              <w:right w:val="single" w:sz="4" w:space="0" w:color="auto"/>
            </w:tcBorders>
            <w:noWrap/>
            <w:vAlign w:val="center"/>
            <w:hideMark/>
          </w:tcPr>
          <w:p w14:paraId="3496C5B6"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nil"/>
              <w:left w:val="nil"/>
              <w:bottom w:val="single" w:sz="4" w:space="0" w:color="auto"/>
              <w:right w:val="single" w:sz="4" w:space="0" w:color="auto"/>
            </w:tcBorders>
            <w:noWrap/>
            <w:vAlign w:val="center"/>
            <w:hideMark/>
          </w:tcPr>
          <w:p w14:paraId="172B97C8"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nil"/>
              <w:left w:val="nil"/>
              <w:bottom w:val="single" w:sz="4" w:space="0" w:color="auto"/>
              <w:right w:val="single" w:sz="4" w:space="0" w:color="auto"/>
            </w:tcBorders>
            <w:noWrap/>
            <w:vAlign w:val="center"/>
            <w:hideMark/>
          </w:tcPr>
          <w:p w14:paraId="7E6AA420"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00" w:type="dxa"/>
            <w:tcBorders>
              <w:top w:val="nil"/>
              <w:left w:val="nil"/>
              <w:bottom w:val="single" w:sz="4" w:space="0" w:color="auto"/>
              <w:right w:val="single" w:sz="4" w:space="0" w:color="auto"/>
            </w:tcBorders>
            <w:noWrap/>
            <w:vAlign w:val="center"/>
            <w:hideMark/>
          </w:tcPr>
          <w:p w14:paraId="5C2762F9"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nil"/>
              <w:left w:val="nil"/>
              <w:bottom w:val="single" w:sz="4" w:space="0" w:color="auto"/>
              <w:right w:val="single" w:sz="4" w:space="0" w:color="auto"/>
            </w:tcBorders>
            <w:noWrap/>
            <w:vAlign w:val="center"/>
            <w:hideMark/>
          </w:tcPr>
          <w:p w14:paraId="6E0CD454"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200" w:type="dxa"/>
            <w:tcBorders>
              <w:top w:val="nil"/>
              <w:left w:val="nil"/>
              <w:bottom w:val="single" w:sz="4" w:space="0" w:color="auto"/>
              <w:right w:val="single" w:sz="4" w:space="0" w:color="auto"/>
            </w:tcBorders>
            <w:noWrap/>
            <w:vAlign w:val="center"/>
            <w:hideMark/>
          </w:tcPr>
          <w:p w14:paraId="7D3A8D9A"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r w:rsidR="004961FD" w14:paraId="15F0DDC4" w14:textId="77777777" w:rsidTr="00572F69">
        <w:trPr>
          <w:trHeight w:val="300"/>
        </w:trPr>
        <w:tc>
          <w:tcPr>
            <w:tcW w:w="1200" w:type="dxa"/>
            <w:tcBorders>
              <w:top w:val="nil"/>
              <w:left w:val="single" w:sz="4" w:space="0" w:color="auto"/>
              <w:bottom w:val="single" w:sz="4" w:space="0" w:color="auto"/>
              <w:right w:val="single" w:sz="4" w:space="0" w:color="auto"/>
            </w:tcBorders>
            <w:noWrap/>
            <w:vAlign w:val="bottom"/>
            <w:hideMark/>
          </w:tcPr>
          <w:p w14:paraId="12377C8E"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La Pac</w:t>
            </w:r>
          </w:p>
        </w:tc>
        <w:tc>
          <w:tcPr>
            <w:tcW w:w="1200" w:type="dxa"/>
            <w:tcBorders>
              <w:top w:val="nil"/>
              <w:left w:val="nil"/>
              <w:bottom w:val="single" w:sz="4" w:space="0" w:color="auto"/>
              <w:right w:val="single" w:sz="4" w:space="0" w:color="auto"/>
            </w:tcBorders>
            <w:noWrap/>
            <w:vAlign w:val="center"/>
            <w:hideMark/>
          </w:tcPr>
          <w:p w14:paraId="75B20D94"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nil"/>
              <w:left w:val="nil"/>
              <w:bottom w:val="single" w:sz="4" w:space="0" w:color="auto"/>
              <w:right w:val="single" w:sz="4" w:space="0" w:color="auto"/>
            </w:tcBorders>
            <w:noWrap/>
            <w:vAlign w:val="center"/>
            <w:hideMark/>
          </w:tcPr>
          <w:p w14:paraId="4ABFD73C"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nil"/>
              <w:left w:val="nil"/>
              <w:bottom w:val="single" w:sz="4" w:space="0" w:color="auto"/>
              <w:right w:val="single" w:sz="4" w:space="0" w:color="auto"/>
            </w:tcBorders>
            <w:noWrap/>
            <w:vAlign w:val="center"/>
            <w:hideMark/>
          </w:tcPr>
          <w:p w14:paraId="3CB0E500"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00" w:type="dxa"/>
            <w:tcBorders>
              <w:top w:val="nil"/>
              <w:left w:val="nil"/>
              <w:bottom w:val="single" w:sz="4" w:space="0" w:color="auto"/>
              <w:right w:val="single" w:sz="4" w:space="0" w:color="auto"/>
            </w:tcBorders>
            <w:noWrap/>
            <w:vAlign w:val="center"/>
            <w:hideMark/>
          </w:tcPr>
          <w:p w14:paraId="694E006C"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nil"/>
              <w:left w:val="nil"/>
              <w:bottom w:val="single" w:sz="4" w:space="0" w:color="auto"/>
              <w:right w:val="single" w:sz="4" w:space="0" w:color="auto"/>
            </w:tcBorders>
            <w:noWrap/>
            <w:vAlign w:val="center"/>
            <w:hideMark/>
          </w:tcPr>
          <w:p w14:paraId="70731DC0"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200" w:type="dxa"/>
            <w:tcBorders>
              <w:top w:val="nil"/>
              <w:left w:val="nil"/>
              <w:bottom w:val="single" w:sz="4" w:space="0" w:color="auto"/>
              <w:right w:val="single" w:sz="4" w:space="0" w:color="auto"/>
            </w:tcBorders>
            <w:noWrap/>
            <w:vAlign w:val="center"/>
            <w:hideMark/>
          </w:tcPr>
          <w:p w14:paraId="0B494BE2"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r w:rsidR="004961FD" w14:paraId="19CCCDEC" w14:textId="77777777" w:rsidTr="00572F69">
        <w:trPr>
          <w:trHeight w:val="300"/>
        </w:trPr>
        <w:tc>
          <w:tcPr>
            <w:tcW w:w="1200" w:type="dxa"/>
            <w:tcBorders>
              <w:top w:val="nil"/>
              <w:left w:val="single" w:sz="4" w:space="0" w:color="auto"/>
              <w:bottom w:val="single" w:sz="4" w:space="0" w:color="auto"/>
              <w:right w:val="single" w:sz="4" w:space="0" w:color="auto"/>
            </w:tcBorders>
            <w:noWrap/>
            <w:vAlign w:val="bottom"/>
            <w:hideMark/>
          </w:tcPr>
          <w:p w14:paraId="547878AD" w14:textId="77777777" w:rsidR="004C5A1F" w:rsidRDefault="004C5A1F">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PP</w:t>
            </w:r>
          </w:p>
        </w:tc>
        <w:tc>
          <w:tcPr>
            <w:tcW w:w="1200" w:type="dxa"/>
            <w:tcBorders>
              <w:top w:val="nil"/>
              <w:left w:val="nil"/>
              <w:bottom w:val="single" w:sz="4" w:space="0" w:color="auto"/>
              <w:right w:val="single" w:sz="4" w:space="0" w:color="auto"/>
            </w:tcBorders>
            <w:noWrap/>
            <w:vAlign w:val="center"/>
            <w:hideMark/>
          </w:tcPr>
          <w:p w14:paraId="2CBA61D6" w14:textId="77777777" w:rsidR="004C5A1F" w:rsidRDefault="004C5A1F">
            <w:pPr>
              <w:pStyle w:val="Normal00"/>
              <w:jc w:val="center"/>
              <w:rPr>
                <w:color w:val="000000"/>
                <w:szCs w:val="20"/>
                <w:lang w:val="es-ES"/>
              </w:rPr>
            </w:pPr>
            <w:r>
              <w:rPr>
                <w:color w:val="000000"/>
                <w:szCs w:val="20"/>
                <w:lang w:val="es-ES"/>
              </w:rPr>
              <w:t>57,25 €</w:t>
            </w:r>
          </w:p>
        </w:tc>
        <w:tc>
          <w:tcPr>
            <w:tcW w:w="1200" w:type="dxa"/>
            <w:tcBorders>
              <w:top w:val="nil"/>
              <w:left w:val="nil"/>
              <w:bottom w:val="single" w:sz="4" w:space="0" w:color="auto"/>
              <w:right w:val="single" w:sz="4" w:space="0" w:color="auto"/>
            </w:tcBorders>
            <w:noWrap/>
            <w:vAlign w:val="center"/>
            <w:hideMark/>
          </w:tcPr>
          <w:p w14:paraId="0548122E" w14:textId="77777777" w:rsidR="004C5A1F" w:rsidRDefault="004C5A1F">
            <w:pPr>
              <w:pStyle w:val="Normal00"/>
              <w:jc w:val="center"/>
              <w:rPr>
                <w:color w:val="000000"/>
                <w:szCs w:val="20"/>
                <w:lang w:val="es-ES"/>
              </w:rPr>
            </w:pPr>
            <w:r>
              <w:rPr>
                <w:color w:val="000000"/>
                <w:szCs w:val="20"/>
                <w:lang w:val="es-ES"/>
              </w:rPr>
              <w:t>687 €</w:t>
            </w:r>
          </w:p>
        </w:tc>
        <w:tc>
          <w:tcPr>
            <w:tcW w:w="1200" w:type="dxa"/>
            <w:tcBorders>
              <w:top w:val="nil"/>
              <w:left w:val="nil"/>
              <w:bottom w:val="single" w:sz="4" w:space="0" w:color="auto"/>
              <w:right w:val="single" w:sz="4" w:space="0" w:color="auto"/>
            </w:tcBorders>
            <w:noWrap/>
            <w:vAlign w:val="center"/>
            <w:hideMark/>
          </w:tcPr>
          <w:p w14:paraId="38EE3478"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00" w:type="dxa"/>
            <w:tcBorders>
              <w:top w:val="nil"/>
              <w:left w:val="nil"/>
              <w:bottom w:val="single" w:sz="4" w:space="0" w:color="auto"/>
              <w:right w:val="single" w:sz="4" w:space="0" w:color="auto"/>
            </w:tcBorders>
            <w:noWrap/>
            <w:vAlign w:val="center"/>
            <w:hideMark/>
          </w:tcPr>
          <w:p w14:paraId="255FBD8E" w14:textId="77777777" w:rsidR="004C5A1F" w:rsidRDefault="004C5A1F">
            <w:pPr>
              <w:pStyle w:val="Normal00"/>
              <w:jc w:val="center"/>
              <w:rPr>
                <w:color w:val="000000"/>
                <w:szCs w:val="20"/>
                <w:lang w:val="es-ES"/>
              </w:rPr>
            </w:pPr>
            <w:r>
              <w:rPr>
                <w:color w:val="000000"/>
                <w:szCs w:val="20"/>
                <w:lang w:val="es-ES"/>
              </w:rPr>
              <w:t>18,32</w:t>
            </w:r>
          </w:p>
        </w:tc>
        <w:tc>
          <w:tcPr>
            <w:tcW w:w="1200" w:type="dxa"/>
            <w:tcBorders>
              <w:top w:val="nil"/>
              <w:left w:val="nil"/>
              <w:bottom w:val="single" w:sz="4" w:space="0" w:color="auto"/>
              <w:right w:val="single" w:sz="4" w:space="0" w:color="auto"/>
            </w:tcBorders>
            <w:noWrap/>
            <w:vAlign w:val="center"/>
            <w:hideMark/>
          </w:tcPr>
          <w:p w14:paraId="64F7C1E2"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200" w:type="dxa"/>
            <w:tcBorders>
              <w:top w:val="nil"/>
              <w:left w:val="nil"/>
              <w:bottom w:val="single" w:sz="4" w:space="0" w:color="auto"/>
              <w:right w:val="single" w:sz="4" w:space="0" w:color="auto"/>
            </w:tcBorders>
            <w:noWrap/>
            <w:vAlign w:val="center"/>
            <w:hideMark/>
          </w:tcPr>
          <w:p w14:paraId="0FD5D804" w14:textId="77777777" w:rsidR="004C5A1F" w:rsidRDefault="004C5A1F">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bl>
    <w:p w14:paraId="099284A0"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La concessió d'aquesta subvenció s’emmarca allò que estableix l'article 22.2.a) de la Llei </w:t>
      </w:r>
      <w:r>
        <w:rPr>
          <w:bCs/>
          <w:color w:val="000000"/>
          <w:szCs w:val="20"/>
          <w:lang w:eastAsia="ca-ES"/>
        </w:rPr>
        <w:t>38/2003, de 17 de novembre, General de Subvencions, en els articles del 39 a 41 de les bases d’execució del pressupost municipal i a la ordenança general de subvencions de Dosrius.</w:t>
      </w:r>
    </w:p>
    <w:p w14:paraId="54F69C94"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D’acord amb el que disposa l’article 28 del Reglament Orgànic Municipal de l’ajuntament de Dosrius, els regidors que durant el mandat decideixin separar-se o siguin expulsats del grup format per la candidatura amb que van concórrer a les eleccions, no podran formar nou grup municipal ni integrar-se en un altre grup ja constituït, ni formar part del Grup mixt, i quedaran com a regidors no adscrit.</w:t>
      </w:r>
    </w:p>
    <w:p w14:paraId="13E1CB49"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Això suposarà la pèrdua del dret a les assignacions del Grup Municipal i mantindran només les assignacions de la part fixa per regidor electe.</w:t>
      </w:r>
    </w:p>
    <w:p w14:paraId="58406A1D"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SEGONA. - OBJECTE </w:t>
      </w:r>
    </w:p>
    <w:p w14:paraId="3A33B606"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És objecte </w:t>
      </w:r>
      <w:r>
        <w:rPr>
          <w:bCs/>
          <w:color w:val="000000"/>
          <w:szCs w:val="20"/>
          <w:lang w:eastAsia="ca-ES"/>
        </w:rPr>
        <w:t>d'aquest acord la regulació d'una subvenció, prevista nominativament en el Pressupost de 2024 de l'Ajuntament de Dosrius a favor dels grups municipals, per al finançament de les despeses realitzades en l’exercici de les seves funcions.</w:t>
      </w:r>
    </w:p>
    <w:p w14:paraId="6CDAD5B3"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TERCERA. - COMPATIBILITAT </w:t>
      </w:r>
    </w:p>
    <w:p w14:paraId="224525D8"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Aquesta subvenció és compatible amb la percepció d'altres subvencions, ajudes, ingressos o recursos per a la mateixa finalitat, procedent d'altres Administracions o ens públics o privat. Tanmateix l’import total de les subvencions rebudes per a la mateixa finalitat no podrà superar el cost total del projecte/activitat a desenvolupar. </w:t>
      </w:r>
    </w:p>
    <w:p w14:paraId="51C9A603"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QUARTA.-  ACCEPTACIÓ DE LA SUBVENCIÓ</w:t>
      </w:r>
    </w:p>
    <w:p w14:paraId="3FF29310"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S’entendrà acceptada la subvenció si transcorregut un mes des de la notificació no es  manifesta oposició per part del beneficiari.</w:t>
      </w:r>
    </w:p>
    <w:p w14:paraId="58009BB6"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CINQUENA. - ACTUACIÓ SUBVENCIONADA I TERMINI DE REALITZACIÓ </w:t>
      </w:r>
    </w:p>
    <w:p w14:paraId="2A627939"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Seran  despeses justificable aquelles que responguin a les pròpies de funcionament del grup municipal en la seva activitat corporativa municipal, amb els límits establerts a l’article 73.3 de la Llei reguladora de Bases </w:t>
      </w:r>
      <w:r>
        <w:rPr>
          <w:bCs/>
          <w:color w:val="000000"/>
          <w:szCs w:val="20"/>
          <w:lang w:eastAsia="ca-ES"/>
        </w:rPr>
        <w:lastRenderedPageBreak/>
        <w:t>de Règim Local, que prohibeix explícitament les remuneracions del personal de qualsevol tipus al servei de la corporació i l’adquisició d’actius de caràcter patrimonial.</w:t>
      </w:r>
    </w:p>
    <w:p w14:paraId="1ED14CF6"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Les despeses que es consideraran elegibles als efectes de la justificacions de les aportacions a Grups Municipals seran les que es detallen tot seguit:</w:t>
      </w:r>
    </w:p>
    <w:p w14:paraId="5E823742"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d’arrendament de local per a ús del Grup Municipal ( en cap cas es consideraran elegibles despeses de lloguer de local del Partit Polític)</w:t>
      </w:r>
    </w:p>
    <w:p w14:paraId="448EBA2A"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de material d’oficina (els ordinadors, impressores i resta de maquinària que tenen consideració de inversió amb una vida útil superior a un any restaran exclosos)</w:t>
      </w:r>
    </w:p>
    <w:p w14:paraId="3288B945"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de inserció de publicitat del Grup Municipal a nivell del propi municipi</w:t>
      </w:r>
    </w:p>
    <w:p w14:paraId="42386801"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d’edició de butlletins informatius, tríptics etc.. i despeses de distribució dels mateixos</w:t>
      </w:r>
    </w:p>
    <w:p w14:paraId="08FAC356"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per assistència jurídica al Grup Municipal en qüestions relacionades expressa i exclusivament amb la seva activitat al municipi</w:t>
      </w:r>
    </w:p>
    <w:p w14:paraId="17246CF9"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de subscripció a revistes especialitzades o a bases de dades relacionades amb la seva tasca municipal</w:t>
      </w:r>
    </w:p>
    <w:p w14:paraId="6B753ECE"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vinculades a actes i celebracions relacionades amb la promoció del Grup al municipi, celebracions de efemèrides, reunions amb associacions, veïns o celebració de conferències (càtering, ponències...)</w:t>
      </w:r>
    </w:p>
    <w:p w14:paraId="0BF76771" w14:textId="77777777" w:rsidR="004C5A1F" w:rsidRDefault="004C5A1F" w:rsidP="00572F69">
      <w:pPr>
        <w:pStyle w:val="Prrafodelista"/>
        <w:numPr>
          <w:ilvl w:val="0"/>
          <w:numId w:val="12"/>
        </w:numPr>
        <w:spacing w:before="100" w:beforeAutospacing="1" w:after="100" w:afterAutospacing="1"/>
        <w:jc w:val="both"/>
        <w:rPr>
          <w:bCs/>
          <w:color w:val="000000"/>
          <w:szCs w:val="20"/>
          <w:lang w:eastAsia="ca-ES"/>
        </w:rPr>
      </w:pPr>
      <w:r>
        <w:rPr>
          <w:bCs/>
          <w:color w:val="000000"/>
          <w:szCs w:val="20"/>
          <w:lang w:eastAsia="ca-ES"/>
        </w:rPr>
        <w:t>Despeses de assistència dels regidors a cursos de formació, jornades o sessions de perfeccionament (justificant de pagament de la inscripció)</w:t>
      </w:r>
    </w:p>
    <w:p w14:paraId="2D47FE3E" w14:textId="77777777" w:rsidR="004C5A1F" w:rsidRDefault="004C5A1F" w:rsidP="00572F69">
      <w:pPr>
        <w:pStyle w:val="Prrafodelista"/>
        <w:numPr>
          <w:ilvl w:val="0"/>
          <w:numId w:val="12"/>
        </w:numPr>
        <w:spacing w:before="100" w:beforeAutospacing="1" w:after="100" w:afterAutospacing="1"/>
        <w:jc w:val="both"/>
        <w:rPr>
          <w:bCs/>
          <w:color w:val="FF0000"/>
          <w:szCs w:val="20"/>
          <w:lang w:eastAsia="ca-ES"/>
        </w:rPr>
      </w:pPr>
      <w:r>
        <w:rPr>
          <w:bCs/>
          <w:color w:val="000000"/>
          <w:szCs w:val="20"/>
          <w:lang w:eastAsia="ca-ES"/>
        </w:rPr>
        <w:t xml:space="preserve">Despeses de locomoció. Únicament s’acceptaran les despeses de locomoció que es pugui relacionar de manera directa amb assistència a reunions, actes, formacions fora del municipi, que puguin ser justificades i comprovades documentalment i que tinguin relació directa deduïble de la documentació presentada, amb la seva tasca a nivell municipal,  i únicament, per la part que correspongui a la distància del desplaçament, que s’haurà de declarar i es calcularà la preu de quilometratge que abona l’administració i </w:t>
      </w:r>
      <w:r>
        <w:rPr>
          <w:bCs/>
          <w:color w:val="000000"/>
          <w:szCs w:val="20"/>
          <w:lang w:eastAsia="ca-ES"/>
        </w:rPr>
        <w:t>que es determina per ordre Ministerial,  que actualment es concreta en 0,26 euros/kilòmetre.</w:t>
      </w:r>
    </w:p>
    <w:p w14:paraId="3DF16019" w14:textId="77777777" w:rsidR="004C5A1F" w:rsidRDefault="004C5A1F" w:rsidP="00572F69">
      <w:pPr>
        <w:pStyle w:val="Prrafodelista"/>
        <w:numPr>
          <w:ilvl w:val="0"/>
          <w:numId w:val="12"/>
        </w:numPr>
        <w:spacing w:before="100" w:beforeAutospacing="1" w:after="100" w:afterAutospacing="1"/>
        <w:jc w:val="both"/>
        <w:rPr>
          <w:bCs/>
          <w:color w:val="FF0000"/>
          <w:szCs w:val="20"/>
          <w:lang w:eastAsia="ca-ES"/>
        </w:rPr>
      </w:pPr>
      <w:r>
        <w:rPr>
          <w:bCs/>
          <w:color w:val="000000"/>
          <w:szCs w:val="20"/>
          <w:lang w:eastAsia="ca-ES"/>
        </w:rPr>
        <w:t>Despeses de manteniment dels comptes bancaris on s’ingressa l’assignació del grup</w:t>
      </w:r>
    </w:p>
    <w:p w14:paraId="7000752C" w14:textId="77777777" w:rsidR="004C5A1F" w:rsidRDefault="004C5A1F" w:rsidP="00572F69">
      <w:pPr>
        <w:pStyle w:val="Prrafodelista"/>
        <w:numPr>
          <w:ilvl w:val="0"/>
          <w:numId w:val="12"/>
        </w:numPr>
        <w:spacing w:before="100" w:beforeAutospacing="1" w:after="100" w:afterAutospacing="1"/>
        <w:jc w:val="both"/>
        <w:rPr>
          <w:bCs/>
          <w:color w:val="FF0000"/>
          <w:szCs w:val="20"/>
          <w:lang w:eastAsia="ca-ES"/>
        </w:rPr>
      </w:pPr>
      <w:r>
        <w:rPr>
          <w:bCs/>
          <w:color w:val="000000"/>
          <w:szCs w:val="20"/>
          <w:lang w:eastAsia="ca-ES"/>
        </w:rPr>
        <w:t xml:space="preserve">Aportacions del Grup Municipal al partit polític, sempre que aquestes tinguin lloc dins el període d’execució de les depeses, es faci per acord del grup municipal  i es certifiqui per part del partit que els fons no s’han destinat a remuneracions de cap tipus ni a l’adquisició d’actius de caràcter patrimonial </w:t>
      </w:r>
    </w:p>
    <w:p w14:paraId="7A444E11" w14:textId="77777777" w:rsidR="004C5A1F" w:rsidRDefault="004C5A1F" w:rsidP="00572F69">
      <w:pPr>
        <w:pStyle w:val="Normal00"/>
        <w:spacing w:before="100" w:beforeAutospacing="1" w:after="100" w:afterAutospacing="1"/>
        <w:jc w:val="both"/>
        <w:rPr>
          <w:bCs/>
          <w:szCs w:val="20"/>
          <w:lang w:eastAsia="ca-ES"/>
        </w:rPr>
      </w:pPr>
      <w:r>
        <w:rPr>
          <w:bCs/>
          <w:color w:val="000000"/>
          <w:szCs w:val="20"/>
          <w:lang w:eastAsia="ca-ES"/>
        </w:rPr>
        <w:t xml:space="preserve">S’estableix com termini d’execució de l'activitat el que va des </w:t>
      </w:r>
      <w:r>
        <w:rPr>
          <w:bCs/>
          <w:szCs w:val="20"/>
          <w:lang w:eastAsia="ca-ES"/>
        </w:rPr>
        <w:t>de l’1 de gener de 2024 fins a 31 de desembre de 2024</w:t>
      </w:r>
    </w:p>
    <w:p w14:paraId="2973EAEC"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SISENA. - OBLIGACIONS DEL BENEFICIARI </w:t>
      </w:r>
    </w:p>
    <w:p w14:paraId="5F08263E"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Constitueixen obligacions del beneficiari, el compliment del qual haurà d'acreditar: </w:t>
      </w:r>
    </w:p>
    <w:p w14:paraId="56AFEF70"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a) No estar incursa en  prohibició per a l'obtenció de la condició de beneficiari de l'article 13 de la Llei 38/2003, de 17 de novembre, General de Subvencions, i estar al corrent de les seves obligacions fiscals amb l'Ajuntament. </w:t>
      </w:r>
    </w:p>
    <w:p w14:paraId="36819080"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b) Estar al corrent en el compliment de les seves obligacions tributàries i enfront de la Seguretat Social. </w:t>
      </w:r>
    </w:p>
    <w:p w14:paraId="23915F29"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c) Comunicar a l'Ajuntament de Dosrius l'obtenció d'altres subvencions o ajudes finalistes que financin les mateixes activitats subvencionades. </w:t>
      </w:r>
    </w:p>
    <w:p w14:paraId="1AFC6783"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d) Sotmetre's a les actuacions de comprovació i seguiment de l'activitat i de control financer que poguessin realitzar els diferents serveis de l'Ajuntament. </w:t>
      </w:r>
    </w:p>
    <w:p w14:paraId="601BC83B"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e) Els documents de qualsevol mena justificatius de l’aplicació dels fons rebuts, s’hauran de conservar per un període no inferior als 6 anys, comptadors des de la finalització del termini de presentació de justificacions.</w:t>
      </w:r>
    </w:p>
    <w:p w14:paraId="24DD6FC1"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lastRenderedPageBreak/>
        <w:t xml:space="preserve">SETENA. - FORMA DE PAGAMENT </w:t>
      </w:r>
    </w:p>
    <w:p w14:paraId="5E14FD4D"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El pagament de la subvenció es realitzarà en pagaments mensuals, d’acord amb l’acord del Ple da data 04 de juliol de 2023, en el qual s’aprova la moció d’alcaldia d’establiment del règim de dedicació i de les retribucions i indemnitzacions dels membres de la corporació.</w:t>
      </w:r>
    </w:p>
    <w:p w14:paraId="66466A08"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VUITENA. - ÒRGAN GESTOR </w:t>
      </w:r>
    </w:p>
    <w:p w14:paraId="365EA6CC"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Té la condició d'òrgan gestor d'aquesta subvenció la intervenció municipal de l'Ajuntament de Dosrius</w:t>
      </w:r>
    </w:p>
    <w:p w14:paraId="6831BD8B"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Tot tràmit relacionat amb aquesta subvenció es gestionarà a través de l'esmentat òrgan gestor. </w:t>
      </w:r>
    </w:p>
    <w:p w14:paraId="57416ABE"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NOVENA.- JUSTIFICACIÓ. </w:t>
      </w:r>
    </w:p>
    <w:p w14:paraId="03A8CE6C"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En el termini màxim de tres mesos des de la data de finalització del període d’execució i s'haurà de presentar a l'òrgan gestor el compte justificatiu de les despeses que comprendrà la següent documentació: </w:t>
      </w:r>
    </w:p>
    <w:p w14:paraId="7E03BF13"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1. Memòria justificativa subscrita pel beneficiari o el seu representant indicativa de les activitats desenvolupades, del compliment de les condicions imposades i dels resultats obtinguts. </w:t>
      </w:r>
    </w:p>
    <w:p w14:paraId="70C644CB"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2. Relació subscrita pel beneficiari o el seu representant expressiva de la totalitat de les despeses derivades de l'activitat, degudament desglossats i detallats, i a la qual s'acompanyarà relació d'originals o còpia de les factures i despeses per import igual o superior al de la subvenció atorgada. Les còpies dels justificants o despeses només seran admissibles quan hagin estat degudament acarades per funcionari adscrit a l'àrea o servei gestor de la subvenció, previ examen i estampillat de l'original. </w:t>
      </w:r>
    </w:p>
    <w:p w14:paraId="014A1A8F"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3. Declaració subscrita pel beneficiari o la seva representant relativa a la inexistència d'altres subvencions o ajudes que hagin obtingut per a la mateixa finalitat o, si escau, esment exprés dels altres ingressos o ajudes que hagin finançat l'activitat, amb indicació d'import o procedència. </w:t>
      </w:r>
    </w:p>
    <w:p w14:paraId="12E98857" w14:textId="77777777" w:rsidR="004C5A1F" w:rsidRDefault="004C5A1F" w:rsidP="00572F69">
      <w:pPr>
        <w:pStyle w:val="Normal00"/>
        <w:spacing w:before="100" w:beforeAutospacing="1" w:after="100" w:afterAutospacing="1"/>
        <w:jc w:val="both"/>
        <w:rPr>
          <w:color w:val="000000"/>
          <w:szCs w:val="20"/>
          <w:lang w:eastAsia="ca-ES"/>
        </w:rPr>
      </w:pPr>
      <w:r>
        <w:rPr>
          <w:bCs/>
          <w:color w:val="000000"/>
          <w:szCs w:val="20"/>
          <w:lang w:eastAsia="ca-ES"/>
        </w:rPr>
        <w:t xml:space="preserve">Els models per a la justificació es poden trobar a la web de l’Ajuntament de Dosrius, </w:t>
      </w:r>
      <w:hyperlink r:id="rId7" w:history="1">
        <w:r>
          <w:rPr>
            <w:rStyle w:val="Hyperlink0"/>
            <w:szCs w:val="20"/>
            <w:lang w:eastAsia="ca-ES"/>
          </w:rPr>
          <w:t>www.dosrius.cat</w:t>
        </w:r>
      </w:hyperlink>
      <w:r>
        <w:rPr>
          <w:color w:val="000000"/>
          <w:szCs w:val="20"/>
          <w:lang w:eastAsia="ca-ES"/>
        </w:rPr>
        <w:t>.</w:t>
      </w:r>
    </w:p>
    <w:p w14:paraId="2420216A"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DESENA. – INFRACCIONS. </w:t>
      </w:r>
    </w:p>
    <w:p w14:paraId="7FAE9A23"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Procedirà el reintegrament de la subvenció conforme al disposat en el Títol II de la Llei 38/2003, de 17 de novembre, General de Subvencions, l’ordenança general de subvencions de Dosrius i l’article 30 de les bases d’execució del pressupost municipal  que textualment diu:</w:t>
      </w:r>
    </w:p>
    <w:p w14:paraId="685C22DE"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1. Constitueixen infraccions administratives en matèria de subvencions i ajuts públics les següents conductes, quan en elles intervinguin el dol, culpa o simple negligència:</w:t>
      </w:r>
    </w:p>
    <w:p w14:paraId="31B28155"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a) La obtenció d’una ajuda o subvenció falsejant las condicions requerides per a la seva concessió o ocultant las que l’ haguessin impedit o limitat.</w:t>
      </w:r>
    </w:p>
    <w:p w14:paraId="281855D3"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b) La no aplicació de las quantitats rebudes a les finalitats per les que la subvenció fou concedida, sempre que no s’hagi procedit a la seva devolució sense requeriment previ.</w:t>
      </w:r>
    </w:p>
    <w:p w14:paraId="48A13F1E"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c) L’incompliment, per raons imputables al beneficiari de les obligacions assumides com a conseqüència de la concessió de la subvenció.</w:t>
      </w:r>
    </w:p>
    <w:p w14:paraId="6CFF35F7"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d) La falta de justificació, en el seu cas, de l’ús donat als fons rebuts.</w:t>
      </w:r>
    </w:p>
    <w:p w14:paraId="15C63D4B" w14:textId="584F9F41"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 xml:space="preserve">2. Seran </w:t>
      </w:r>
      <w:r>
        <w:rPr>
          <w:color w:val="000000"/>
          <w:szCs w:val="20"/>
          <w:lang w:eastAsia="ca-ES"/>
        </w:rPr>
        <w:t>responsables de les infraccions els beneficiaris que realitzen las conductes tipificades.</w:t>
      </w:r>
    </w:p>
    <w:p w14:paraId="712A23C2"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u w:val="single"/>
          <w:lang w:eastAsia="ca-ES"/>
        </w:rPr>
        <w:lastRenderedPageBreak/>
        <w:t>3. Les infraccions es sancionaran amb multa fins el triple de la quantitat indegudament</w:t>
      </w:r>
      <w:r>
        <w:rPr>
          <w:color w:val="000000"/>
          <w:szCs w:val="20"/>
          <w:lang w:eastAsia="ca-ES"/>
        </w:rPr>
        <w:t xml:space="preserve"> obtinguda, aplicada o no degudament justificada. La multa serà independent de la obligació de reintegre.</w:t>
      </w:r>
    </w:p>
    <w:p w14:paraId="78AACE8C"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ONZENA. - DURADA DEL CONVENI. </w:t>
      </w:r>
    </w:p>
    <w:p w14:paraId="4BC2C17A"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El present acord tindrà efectes des de l’1 de gener de 2024  i es perllongarà la seva vigència fins que s'hagi realitzat l'activitat subvencionada i hagi estat  justificat el seu finançament. </w:t>
      </w:r>
    </w:p>
    <w:p w14:paraId="09853F76"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L'anterior és sense perjudici dels procediments de reintegrament o sancionadors que pogués haver lloc, i de les obligacions que incumbeixin al beneficiari, així com del deure de conservació de documents que li imposa la vigent legislació. </w:t>
      </w:r>
    </w:p>
    <w:p w14:paraId="57E0590C"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DOTZENA.- NATURALESA DE L’ACORD I LEGISLACIÓ APLICABLE. </w:t>
      </w:r>
    </w:p>
    <w:p w14:paraId="54C510A0"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Aquest acord té naturalesa jurídic-administrativa. </w:t>
      </w:r>
    </w:p>
    <w:p w14:paraId="271BC037"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En el no previst en aquest conveni serà d'aplicació la Llei 38/2003, de 17 de novembre, General de Subvencions i el seu Reglament, aprovat per Reial decret 887/2006, de 21 de juliol, la ordenança general de subvencions aprovada per l’Ajuntament en data 24 de desembre de 2009 i vigent fins la seva modificació o derogació, les bases d’execució de pressupost municipal  i  la resta de legislació de Règim Local reguladora de subvencions públiques i de procediment administratiu. </w:t>
      </w:r>
    </w:p>
    <w:p w14:paraId="6EA9BBA5" w14:textId="77777777" w:rsidR="004C5A1F" w:rsidRDefault="004C5A1F" w:rsidP="00572F69">
      <w:pPr>
        <w:pStyle w:val="Normal00"/>
        <w:spacing w:before="100" w:beforeAutospacing="1" w:after="100" w:afterAutospacing="1"/>
        <w:jc w:val="both"/>
        <w:rPr>
          <w:bCs/>
          <w:color w:val="000000"/>
          <w:szCs w:val="20"/>
          <w:lang w:eastAsia="ca-ES"/>
        </w:rPr>
      </w:pPr>
      <w:r>
        <w:rPr>
          <w:bCs/>
          <w:color w:val="000000"/>
          <w:szCs w:val="20"/>
          <w:lang w:eastAsia="ca-ES"/>
        </w:rPr>
        <w:t xml:space="preserve">Les qüestions litigioses que sorgeixin en aplicació del present conveni seran resoltes en via administrativa per l'òrgan competent i, si escau, davant la jurisdicció contenciós-administrativa. </w:t>
      </w:r>
    </w:p>
    <w:p w14:paraId="00909597" w14:textId="77777777" w:rsidR="004C5A1F" w:rsidRDefault="004C5A1F" w:rsidP="00572F69">
      <w:pPr>
        <w:pStyle w:val="Normal00"/>
        <w:spacing w:before="100" w:beforeAutospacing="1" w:after="100" w:afterAutospacing="1"/>
        <w:jc w:val="both"/>
        <w:rPr>
          <w:color w:val="000000"/>
          <w:szCs w:val="20"/>
          <w:lang w:eastAsia="ca-ES"/>
        </w:rPr>
      </w:pPr>
      <w:r>
        <w:rPr>
          <w:color w:val="000000"/>
          <w:szCs w:val="20"/>
          <w:lang w:eastAsia="ca-ES"/>
        </w:rPr>
        <w:t>Per tot això, es proposa l’adopció dels següents acords:</w:t>
      </w:r>
    </w:p>
    <w:p w14:paraId="45C78404" w14:textId="77777777" w:rsidR="004C5A1F" w:rsidRDefault="004C5A1F" w:rsidP="00572F69">
      <w:pPr>
        <w:pStyle w:val="Normal00"/>
        <w:spacing w:before="100" w:beforeAutospacing="1" w:after="100" w:afterAutospacing="1"/>
        <w:jc w:val="both"/>
        <w:rPr>
          <w:color w:val="000000"/>
          <w:szCs w:val="20"/>
          <w:lang w:eastAsia="ca-ES"/>
        </w:rPr>
      </w:pPr>
      <w:r>
        <w:rPr>
          <w:b/>
          <w:bCs/>
          <w:color w:val="000000"/>
          <w:szCs w:val="20"/>
          <w:lang w:eastAsia="ca-ES"/>
        </w:rPr>
        <w:t>Primer.-</w:t>
      </w:r>
      <w:r>
        <w:rPr>
          <w:color w:val="000000"/>
          <w:szCs w:val="20"/>
          <w:lang w:eastAsia="ca-ES"/>
        </w:rPr>
        <w:t xml:space="preserve"> APROVAR les estipulacions que han de regir l’acord d’atorgament de subvenció als grups polítics municipals per a l’anualitat 2024</w:t>
      </w:r>
    </w:p>
    <w:p w14:paraId="12207635" w14:textId="77777777" w:rsidR="004C5A1F" w:rsidRDefault="004C5A1F" w:rsidP="00572F69">
      <w:pPr>
        <w:pStyle w:val="Normal00"/>
        <w:spacing w:before="100" w:beforeAutospacing="1" w:after="100" w:afterAutospacing="1"/>
        <w:jc w:val="both"/>
        <w:rPr>
          <w:color w:val="000000"/>
          <w:szCs w:val="20"/>
          <w:lang w:eastAsia="ca-ES"/>
        </w:rPr>
      </w:pPr>
      <w:r>
        <w:rPr>
          <w:b/>
          <w:bCs/>
          <w:color w:val="000000"/>
          <w:szCs w:val="20"/>
          <w:lang w:eastAsia="ca-ES"/>
        </w:rPr>
        <w:t>Segon.-</w:t>
      </w:r>
      <w:r>
        <w:rPr>
          <w:color w:val="000000"/>
          <w:szCs w:val="20"/>
          <w:lang w:eastAsia="ca-ES"/>
        </w:rPr>
        <w:t xml:space="preserve"> CONDICIONAR l’aprovació dels imports assignats a cada grup i regidor a la prèvia aprovació pel Ple de l’increment de l’import de les assignacions per a la legislatura 2023-2027</w:t>
      </w:r>
    </w:p>
    <w:p w14:paraId="02638BA6" w14:textId="13C63831" w:rsidR="004C5A1F" w:rsidRDefault="004C5A1F" w:rsidP="00572F69">
      <w:pPr>
        <w:pStyle w:val="Normal00"/>
        <w:spacing w:before="100" w:beforeAutospacing="1" w:after="100" w:afterAutospacing="1"/>
        <w:jc w:val="both"/>
        <w:rPr>
          <w:color w:val="000000"/>
          <w:szCs w:val="20"/>
          <w:lang w:eastAsia="ca-ES"/>
        </w:rPr>
      </w:pPr>
      <w:r>
        <w:rPr>
          <w:b/>
          <w:bCs/>
          <w:color w:val="000000"/>
          <w:szCs w:val="20"/>
          <w:lang w:eastAsia="ca-ES"/>
        </w:rPr>
        <w:t>Tercer.-</w:t>
      </w:r>
      <w:r>
        <w:rPr>
          <w:color w:val="000000"/>
          <w:szCs w:val="20"/>
          <w:lang w:eastAsia="ca-ES"/>
        </w:rPr>
        <w:t xml:space="preserve"> NOTIFICAR aquesta resolució als grups polítics municipals i a la intervenció per tal que tramiti la seva comunicació a la Base de Dades Nacional de Subvencions, d’acord amb la normativa vigent.”</w:t>
      </w:r>
    </w:p>
    <w:p w14:paraId="3FF12237" w14:textId="77777777" w:rsidR="004961FD" w:rsidRDefault="004961FD" w:rsidP="0009114C">
      <w:pPr>
        <w:pStyle w:val="Normal0"/>
      </w:pPr>
    </w:p>
    <w:tbl>
      <w:tblPr>
        <w:tblStyle w:val="Tablaconcuadrcula"/>
        <w:tblW w:w="9842" w:type="dxa"/>
        <w:tblLook w:val="04A0" w:firstRow="1" w:lastRow="0" w:firstColumn="1" w:lastColumn="0" w:noHBand="0" w:noVBand="1"/>
      </w:tblPr>
      <w:tblGrid>
        <w:gridCol w:w="3466"/>
        <w:gridCol w:w="6376"/>
      </w:tblGrid>
      <w:tr w:rsidR="004961FD" w14:paraId="20FA917D" w14:textId="77777777" w:rsidTr="000B519D">
        <w:tc>
          <w:tcPr>
            <w:tcW w:w="3466" w:type="dxa"/>
            <w:tcBorders>
              <w:top w:val="single" w:sz="4" w:space="0" w:color="auto"/>
              <w:left w:val="single" w:sz="4" w:space="0" w:color="auto"/>
              <w:bottom w:val="single" w:sz="4" w:space="0" w:color="auto"/>
              <w:right w:val="single" w:sz="4" w:space="0" w:color="auto"/>
            </w:tcBorders>
            <w:hideMark/>
          </w:tcPr>
          <w:p w14:paraId="54F2E01D" w14:textId="77777777" w:rsidR="004C5A1F" w:rsidRPr="000B519D" w:rsidRDefault="004C5A1F" w:rsidP="000B519D">
            <w:pPr>
              <w:pStyle w:val="Encabezado"/>
              <w:tabs>
                <w:tab w:val="left" w:pos="708"/>
              </w:tabs>
              <w:jc w:val="both"/>
              <w:outlineLvl w:val="0"/>
              <w:rPr>
                <w:bCs/>
                <w:iCs/>
                <w:szCs w:val="20"/>
              </w:rPr>
            </w:pPr>
            <w:bookmarkStart w:id="0" w:name="_Hlk116546323"/>
            <w:r w:rsidRPr="000B519D">
              <w:rPr>
                <w:bCs/>
                <w:iCs/>
                <w:szCs w:val="20"/>
              </w:rPr>
              <w:t>Resultat de la votació</w:t>
            </w:r>
          </w:p>
        </w:tc>
        <w:tc>
          <w:tcPr>
            <w:tcW w:w="6376" w:type="dxa"/>
            <w:tcBorders>
              <w:top w:val="single" w:sz="4" w:space="0" w:color="auto"/>
              <w:left w:val="single" w:sz="4" w:space="0" w:color="auto"/>
              <w:bottom w:val="single" w:sz="4" w:space="0" w:color="auto"/>
              <w:right w:val="single" w:sz="4" w:space="0" w:color="auto"/>
            </w:tcBorders>
          </w:tcPr>
          <w:p w14:paraId="048C99F2" w14:textId="77777777" w:rsidR="004C5A1F" w:rsidRPr="000B519D" w:rsidRDefault="004C5A1F" w:rsidP="000B519D">
            <w:pPr>
              <w:pStyle w:val="Encabezado"/>
              <w:tabs>
                <w:tab w:val="left" w:pos="708"/>
              </w:tabs>
              <w:jc w:val="both"/>
              <w:outlineLvl w:val="0"/>
              <w:rPr>
                <w:bCs/>
                <w:iCs/>
                <w:szCs w:val="20"/>
              </w:rPr>
            </w:pPr>
            <w:r>
              <w:rPr>
                <w:bCs/>
                <w:iCs/>
                <w:szCs w:val="20"/>
              </w:rPr>
              <w:t>majoria absoluta</w:t>
            </w:r>
          </w:p>
        </w:tc>
      </w:tr>
      <w:tr w:rsidR="004961FD" w14:paraId="7F716756" w14:textId="77777777" w:rsidTr="000B519D">
        <w:tc>
          <w:tcPr>
            <w:tcW w:w="3466" w:type="dxa"/>
            <w:tcBorders>
              <w:top w:val="single" w:sz="4" w:space="0" w:color="auto"/>
              <w:left w:val="single" w:sz="4" w:space="0" w:color="auto"/>
              <w:bottom w:val="single" w:sz="4" w:space="0" w:color="auto"/>
              <w:right w:val="single" w:sz="4" w:space="0" w:color="auto"/>
            </w:tcBorders>
            <w:hideMark/>
          </w:tcPr>
          <w:p w14:paraId="47AC2135" w14:textId="77777777" w:rsidR="004C5A1F" w:rsidRPr="000B519D" w:rsidRDefault="004C5A1F" w:rsidP="000B519D">
            <w:pPr>
              <w:pStyle w:val="Encabezado"/>
              <w:tabs>
                <w:tab w:val="left" w:pos="708"/>
              </w:tabs>
              <w:jc w:val="both"/>
              <w:outlineLvl w:val="0"/>
              <w:rPr>
                <w:bCs/>
                <w:iCs/>
                <w:szCs w:val="20"/>
              </w:rPr>
            </w:pPr>
            <w:r w:rsidRPr="000B519D">
              <w:rPr>
                <w:bCs/>
                <w:iCs/>
                <w:szCs w:val="20"/>
              </w:rPr>
              <w:t>Detall de la votació</w:t>
            </w:r>
          </w:p>
        </w:tc>
        <w:tc>
          <w:tcPr>
            <w:tcW w:w="6376" w:type="dxa"/>
            <w:tcBorders>
              <w:top w:val="single" w:sz="4" w:space="0" w:color="auto"/>
              <w:left w:val="single" w:sz="4" w:space="0" w:color="auto"/>
              <w:bottom w:val="single" w:sz="4" w:space="0" w:color="auto"/>
              <w:right w:val="single" w:sz="4" w:space="0" w:color="auto"/>
            </w:tcBorders>
            <w:hideMark/>
          </w:tcPr>
          <w:p w14:paraId="3182BBF5" w14:textId="77777777" w:rsidR="004C5A1F" w:rsidRPr="000B519D" w:rsidRDefault="004C5A1F" w:rsidP="000B519D">
            <w:pPr>
              <w:pStyle w:val="Encabezado"/>
              <w:tabs>
                <w:tab w:val="left" w:pos="708"/>
              </w:tabs>
              <w:jc w:val="both"/>
              <w:outlineLvl w:val="0"/>
              <w:rPr>
                <w:bCs/>
                <w:iCs/>
                <w:szCs w:val="20"/>
              </w:rPr>
            </w:pPr>
            <w:r>
              <w:rPr>
                <w:bCs/>
                <w:iCs/>
                <w:szCs w:val="20"/>
              </w:rPr>
              <w:t xml:space="preserve">S'aprova per 7 vots a favor manifestats pels grups </w:t>
            </w:r>
            <w:r>
              <w:rPr>
                <w:bCs/>
                <w:iCs/>
                <w:szCs w:val="20"/>
              </w:rPr>
              <w:t>municipals del PSC, JxCAT i el regidor no adscrit Pedro Martínez Rigote i 5 vots en contra manifestats pels grups municpals d'ERC, LAPAC i SDP</w:t>
            </w:r>
          </w:p>
        </w:tc>
      </w:tr>
      <w:bookmarkEnd w:id="0"/>
    </w:tbl>
    <w:p w14:paraId="3C965D6E" w14:textId="77777777" w:rsidR="004C5A1F" w:rsidRPr="000B519D" w:rsidRDefault="004C5A1F" w:rsidP="000C0E7B">
      <w:pPr>
        <w:pStyle w:val="Encabezado"/>
        <w:tabs>
          <w:tab w:val="left" w:pos="708"/>
        </w:tabs>
        <w:jc w:val="both"/>
        <w:outlineLvl w:val="0"/>
        <w:rPr>
          <w:bCs/>
          <w:iCs/>
          <w:szCs w:val="20"/>
          <w:lang w:val="fr-FR"/>
        </w:rPr>
      </w:pPr>
    </w:p>
    <w:p w14:paraId="6F8B234B" w14:textId="77777777" w:rsidR="004C5A1F" w:rsidRPr="00F70616" w:rsidRDefault="004C5A1F" w:rsidP="000C0E7B">
      <w:pPr>
        <w:pStyle w:val="Encabezado"/>
        <w:tabs>
          <w:tab w:val="left" w:pos="708"/>
        </w:tabs>
        <w:jc w:val="both"/>
        <w:outlineLvl w:val="0"/>
        <w:rPr>
          <w:bCs/>
          <w:iCs/>
          <w:szCs w:val="20"/>
        </w:rPr>
      </w:pPr>
    </w:p>
    <w:p w14:paraId="47D5E863" w14:textId="77777777" w:rsidR="004C5A1F" w:rsidRDefault="004C5A1F" w:rsidP="005F78B0">
      <w:pPr>
        <w:autoSpaceDE w:val="0"/>
        <w:autoSpaceDN w:val="0"/>
        <w:adjustRightInd w:val="0"/>
        <w:jc w:val="both"/>
        <w:rPr>
          <w:szCs w:val="20"/>
        </w:rPr>
      </w:pPr>
      <w:r w:rsidRPr="005F78B0">
        <w:rPr>
          <w:szCs w:val="20"/>
        </w:rPr>
        <w:t>L’acord que precedeix consta en l’esborrany de l’acta de la sessió expressada, certificant-se amb les</w:t>
      </w:r>
      <w:r>
        <w:rPr>
          <w:szCs w:val="20"/>
        </w:rPr>
        <w:t xml:space="preserve"> </w:t>
      </w:r>
      <w:r w:rsidRPr="005F78B0">
        <w:rPr>
          <w:szCs w:val="20"/>
        </w:rPr>
        <w:t>salvetats de l’article 206 del ROFRJ de les Entitats Locals i a reserva del que resulti de l’aprovació de</w:t>
      </w:r>
      <w:r>
        <w:rPr>
          <w:szCs w:val="20"/>
        </w:rPr>
        <w:t xml:space="preserve"> </w:t>
      </w:r>
      <w:r w:rsidRPr="005F78B0">
        <w:rPr>
          <w:szCs w:val="20"/>
        </w:rPr>
        <w:t>l’acta corresponent.</w:t>
      </w:r>
    </w:p>
    <w:p w14:paraId="7440E66B" w14:textId="77777777" w:rsidR="004C5A1F" w:rsidRPr="005F78B0" w:rsidRDefault="004C5A1F" w:rsidP="005F78B0">
      <w:pPr>
        <w:autoSpaceDE w:val="0"/>
        <w:autoSpaceDN w:val="0"/>
        <w:adjustRightInd w:val="0"/>
        <w:jc w:val="both"/>
        <w:rPr>
          <w:szCs w:val="20"/>
        </w:rPr>
      </w:pPr>
    </w:p>
    <w:p w14:paraId="78D48982" w14:textId="77777777" w:rsidR="004C5A1F" w:rsidRPr="00435E84" w:rsidRDefault="004C5A1F" w:rsidP="005F78B0">
      <w:pPr>
        <w:jc w:val="both"/>
        <w:rPr>
          <w:szCs w:val="20"/>
        </w:rPr>
      </w:pPr>
      <w:r w:rsidRPr="005F78B0">
        <w:rPr>
          <w:szCs w:val="20"/>
        </w:rPr>
        <w:t>I perquè així consti expedeixo aquest certificat, d’ordre i amb el vistiplau de l’alcalde</w:t>
      </w:r>
      <w:r>
        <w:rPr>
          <w:szCs w:val="20"/>
        </w:rPr>
        <w:t>ssa.</w:t>
      </w:r>
    </w:p>
    <w:sectPr w:rsidR="000D5B7E" w:rsidRPr="00435E84" w:rsidSect="00435E84">
      <w:headerReference w:type="even" r:id="rId8"/>
      <w:headerReference w:type="default" r:id="rId9"/>
      <w:footerReference w:type="even" r:id="rId10"/>
      <w:footerReference w:type="default" r:id="rId11"/>
      <w:headerReference w:type="first" r:id="rId12"/>
      <w:footerReference w:type="first" r:id="rId13"/>
      <w:pgSz w:w="11906" w:h="16838"/>
      <w:pgMar w:top="1985" w:right="1133" w:bottom="1417" w:left="1134" w:header="0" w:footer="8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5BA53" w14:textId="77777777" w:rsidR="004C5A1F" w:rsidRDefault="004C5A1F">
      <w:r>
        <w:separator/>
      </w:r>
    </w:p>
  </w:endnote>
  <w:endnote w:type="continuationSeparator" w:id="0">
    <w:p w14:paraId="75566FF7" w14:textId="77777777" w:rsidR="004C5A1F" w:rsidRDefault="004C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ptos Narrow">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4877" w14:textId="77777777" w:rsidR="004C5A1F" w:rsidRDefault="004C5A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0C20" w14:textId="77777777" w:rsidR="004C5A1F" w:rsidRPr="005F78B0" w:rsidRDefault="004C5A1F" w:rsidP="005F78B0">
    <w:pPr>
      <w:tabs>
        <w:tab w:val="left" w:pos="3630"/>
      </w:tabs>
      <w:jc w:val="center"/>
      <w:rPr>
        <w:sz w:val="16"/>
        <w:szCs w:val="16"/>
      </w:rPr>
    </w:pPr>
    <w:r w:rsidRPr="005F78B0">
      <w:rPr>
        <w:sz w:val="16"/>
        <w:szCs w:val="16"/>
        <w:lang w:val="es-ES"/>
      </w:rPr>
      <w:t xml:space="preserve">C/ Sant Antoni, 1 </w:t>
    </w:r>
    <w:r w:rsidRPr="005F78B0">
      <w:rPr>
        <w:b/>
        <w:sz w:val="16"/>
        <w:szCs w:val="16"/>
        <w:lang w:val="es-ES"/>
      </w:rPr>
      <w:t>·</w:t>
    </w:r>
    <w:r w:rsidRPr="005F78B0">
      <w:rPr>
        <w:sz w:val="16"/>
        <w:szCs w:val="16"/>
        <w:lang w:val="es-ES"/>
      </w:rPr>
      <w:t xml:space="preserve"> 08319 Dosrius (El Maresme) </w:t>
    </w:r>
    <w:r w:rsidRPr="005F78B0">
      <w:rPr>
        <w:b/>
        <w:sz w:val="16"/>
        <w:szCs w:val="16"/>
        <w:lang w:val="es-ES"/>
      </w:rPr>
      <w:t xml:space="preserve">· </w:t>
    </w:r>
    <w:r w:rsidRPr="005F78B0">
      <w:rPr>
        <w:sz w:val="16"/>
        <w:szCs w:val="16"/>
        <w:lang w:val="es-ES"/>
      </w:rPr>
      <w:t xml:space="preserve">Tel. 93 791 80 14 </w:t>
    </w:r>
    <w:r w:rsidRPr="005F78B0">
      <w:rPr>
        <w:b/>
        <w:sz w:val="16"/>
        <w:szCs w:val="16"/>
        <w:lang w:val="es-ES"/>
      </w:rPr>
      <w:t xml:space="preserve">· </w:t>
    </w:r>
    <w:r w:rsidRPr="005F78B0">
      <w:rPr>
        <w:sz w:val="16"/>
        <w:szCs w:val="16"/>
        <w:lang w:val="es-ES"/>
      </w:rPr>
      <w:t xml:space="preserve">Fax. 93 791 90 80 </w:t>
    </w:r>
    <w:r w:rsidRPr="005F78B0">
      <w:rPr>
        <w:b/>
        <w:sz w:val="16"/>
        <w:szCs w:val="16"/>
        <w:lang w:val="es-ES"/>
      </w:rPr>
      <w:t xml:space="preserve">· </w:t>
    </w:r>
    <w:hyperlink r:id="rId1" w:history="1">
      <w:r w:rsidRPr="005F78B0">
        <w:rPr>
          <w:rStyle w:val="Hipervnculo"/>
          <w:sz w:val="16"/>
          <w:szCs w:val="16"/>
          <w:lang w:val="es-ES"/>
        </w:rPr>
        <w:t>dosrius@dosrius.cat</w:t>
      </w:r>
    </w:hyperlink>
    <w:r w:rsidRPr="005F78B0">
      <w:rPr>
        <w:rStyle w:val="Hipervnculo"/>
        <w:sz w:val="16"/>
        <w:szCs w:val="16"/>
        <w:lang w:val="es-ES"/>
      </w:rPr>
      <w:t xml:space="preserve"> </w:t>
    </w:r>
    <w:r w:rsidRPr="005F78B0">
      <w:rPr>
        <w:b/>
        <w:sz w:val="16"/>
        <w:szCs w:val="16"/>
      </w:rPr>
      <w:t xml:space="preserve">· </w:t>
    </w:r>
    <w:hyperlink r:id="rId2" w:history="1">
      <w:r w:rsidRPr="005F78B0">
        <w:rPr>
          <w:rStyle w:val="Hipervnculo"/>
          <w:sz w:val="16"/>
          <w:szCs w:val="16"/>
          <w:lang w:val="es-ES"/>
        </w:rPr>
        <w:t>dosrius.cat</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5D4EA" w14:textId="77777777" w:rsidR="004C5A1F" w:rsidRDefault="004C5A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21366" w14:textId="77777777" w:rsidR="004C5A1F" w:rsidRDefault="004C5A1F">
      <w:r>
        <w:separator/>
      </w:r>
    </w:p>
  </w:footnote>
  <w:footnote w:type="continuationSeparator" w:id="0">
    <w:p w14:paraId="47B30EB8" w14:textId="77777777" w:rsidR="004C5A1F" w:rsidRDefault="004C5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ADB45" w14:textId="77777777" w:rsidR="004C5A1F" w:rsidRDefault="004C5A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CC4C" w14:textId="77777777" w:rsidR="004C5A1F" w:rsidRPr="0021078D" w:rsidRDefault="004C5A1F" w:rsidP="000D1643">
    <w:pPr>
      <w:pStyle w:val="Encabezado"/>
      <w:ind w:left="-567"/>
      <w:rPr>
        <w:noProof/>
        <w:sz w:val="16"/>
        <w:szCs w:val="16"/>
        <w:lang w:val="es-ES" w:eastAsia="ca-ES"/>
      </w:rPr>
    </w:pPr>
  </w:p>
  <w:p w14:paraId="01994B71" w14:textId="77777777" w:rsidR="004C5A1F" w:rsidRPr="0021078D" w:rsidRDefault="004C5A1F" w:rsidP="000D1643">
    <w:pPr>
      <w:pStyle w:val="Encabezado"/>
      <w:ind w:left="-567"/>
      <w:rPr>
        <w:noProof/>
        <w:sz w:val="16"/>
        <w:lang w:val="es-ES" w:eastAsia="ca-ES"/>
      </w:rPr>
    </w:pPr>
  </w:p>
  <w:p w14:paraId="70EFDAA1" w14:textId="77777777" w:rsidR="004C5A1F" w:rsidRPr="0021078D" w:rsidRDefault="004C5A1F" w:rsidP="0021078D">
    <w:pPr>
      <w:pStyle w:val="Encabezado"/>
      <w:ind w:left="-1134"/>
      <w:rPr>
        <w:lang w:val="es-ES"/>
      </w:rPr>
    </w:pPr>
    <w:r>
      <w:rPr>
        <w:noProof/>
        <w:lang w:eastAsia="ca-ES"/>
      </w:rPr>
      <w:drawing>
        <wp:inline distT="0" distB="0" distL="0" distR="0" wp14:anchorId="6956890A" wp14:editId="37D4352D">
          <wp:extent cx="1682115" cy="903605"/>
          <wp:effectExtent l="0" t="0" r="0" b="0"/>
          <wp:docPr id="14" name="Imagen 14"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01EEB" w14:textId="77777777" w:rsidR="004C5A1F" w:rsidRDefault="004C5A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13589446">
      <w:numFmt w:val="bullet"/>
      <w:lvlText w:val="-"/>
      <w:lvlJc w:val="left"/>
      <w:pPr>
        <w:tabs>
          <w:tab w:val="num" w:pos="1800"/>
        </w:tabs>
        <w:ind w:left="1800" w:hanging="360"/>
      </w:pPr>
      <w:rPr>
        <w:rFonts w:ascii="Arial" w:eastAsia="Times New Roman" w:hAnsi="Arial" w:cs="Arial" w:hint="default"/>
      </w:rPr>
    </w:lvl>
    <w:lvl w:ilvl="1" w:tplc="A9607C30" w:tentative="1">
      <w:start w:val="1"/>
      <w:numFmt w:val="bullet"/>
      <w:lvlText w:val="o"/>
      <w:lvlJc w:val="left"/>
      <w:pPr>
        <w:tabs>
          <w:tab w:val="num" w:pos="2520"/>
        </w:tabs>
        <w:ind w:left="2520" w:hanging="360"/>
      </w:pPr>
      <w:rPr>
        <w:rFonts w:ascii="Courier New" w:hAnsi="Courier New" w:cs="Wingdings" w:hint="default"/>
      </w:rPr>
    </w:lvl>
    <w:lvl w:ilvl="2" w:tplc="BA62D2FA" w:tentative="1">
      <w:start w:val="1"/>
      <w:numFmt w:val="bullet"/>
      <w:lvlText w:val=""/>
      <w:lvlJc w:val="left"/>
      <w:pPr>
        <w:tabs>
          <w:tab w:val="num" w:pos="3240"/>
        </w:tabs>
        <w:ind w:left="3240" w:hanging="360"/>
      </w:pPr>
      <w:rPr>
        <w:rFonts w:ascii="Wingdings" w:hAnsi="Wingdings" w:hint="default"/>
      </w:rPr>
    </w:lvl>
    <w:lvl w:ilvl="3" w:tplc="426A37EA" w:tentative="1">
      <w:start w:val="1"/>
      <w:numFmt w:val="bullet"/>
      <w:lvlText w:val=""/>
      <w:lvlJc w:val="left"/>
      <w:pPr>
        <w:tabs>
          <w:tab w:val="num" w:pos="3960"/>
        </w:tabs>
        <w:ind w:left="3960" w:hanging="360"/>
      </w:pPr>
      <w:rPr>
        <w:rFonts w:ascii="Symbol" w:hAnsi="Symbol" w:hint="default"/>
      </w:rPr>
    </w:lvl>
    <w:lvl w:ilvl="4" w:tplc="8D5A588C" w:tentative="1">
      <w:start w:val="1"/>
      <w:numFmt w:val="bullet"/>
      <w:lvlText w:val="o"/>
      <w:lvlJc w:val="left"/>
      <w:pPr>
        <w:tabs>
          <w:tab w:val="num" w:pos="4680"/>
        </w:tabs>
        <w:ind w:left="4680" w:hanging="360"/>
      </w:pPr>
      <w:rPr>
        <w:rFonts w:ascii="Courier New" w:hAnsi="Courier New" w:cs="Wingdings" w:hint="default"/>
      </w:rPr>
    </w:lvl>
    <w:lvl w:ilvl="5" w:tplc="443C361C" w:tentative="1">
      <w:start w:val="1"/>
      <w:numFmt w:val="bullet"/>
      <w:lvlText w:val=""/>
      <w:lvlJc w:val="left"/>
      <w:pPr>
        <w:tabs>
          <w:tab w:val="num" w:pos="5400"/>
        </w:tabs>
        <w:ind w:left="5400" w:hanging="360"/>
      </w:pPr>
      <w:rPr>
        <w:rFonts w:ascii="Wingdings" w:hAnsi="Wingdings" w:hint="default"/>
      </w:rPr>
    </w:lvl>
    <w:lvl w:ilvl="6" w:tplc="25406C86" w:tentative="1">
      <w:start w:val="1"/>
      <w:numFmt w:val="bullet"/>
      <w:lvlText w:val=""/>
      <w:lvlJc w:val="left"/>
      <w:pPr>
        <w:tabs>
          <w:tab w:val="num" w:pos="6120"/>
        </w:tabs>
        <w:ind w:left="6120" w:hanging="360"/>
      </w:pPr>
      <w:rPr>
        <w:rFonts w:ascii="Symbol" w:hAnsi="Symbol" w:hint="default"/>
      </w:rPr>
    </w:lvl>
    <w:lvl w:ilvl="7" w:tplc="C0865BD6" w:tentative="1">
      <w:start w:val="1"/>
      <w:numFmt w:val="bullet"/>
      <w:lvlText w:val="o"/>
      <w:lvlJc w:val="left"/>
      <w:pPr>
        <w:tabs>
          <w:tab w:val="num" w:pos="6840"/>
        </w:tabs>
        <w:ind w:left="6840" w:hanging="360"/>
      </w:pPr>
      <w:rPr>
        <w:rFonts w:ascii="Courier New" w:hAnsi="Courier New" w:cs="Wingdings" w:hint="default"/>
      </w:rPr>
    </w:lvl>
    <w:lvl w:ilvl="8" w:tplc="79FC27DE"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45E228E5"/>
    <w:multiLevelType w:val="hybridMultilevel"/>
    <w:tmpl w:val="4CF4AC1A"/>
    <w:lvl w:ilvl="0" w:tplc="C6DA35F6">
      <w:start w:val="1"/>
      <w:numFmt w:val="decimal"/>
      <w:lvlText w:val="%1."/>
      <w:lvlJc w:val="left"/>
      <w:pPr>
        <w:tabs>
          <w:tab w:val="num" w:pos="1980"/>
        </w:tabs>
        <w:ind w:left="1980" w:hanging="360"/>
      </w:pPr>
      <w:rPr>
        <w:rFonts w:hint="default"/>
      </w:rPr>
    </w:lvl>
    <w:lvl w:ilvl="1" w:tplc="7CC2B68A" w:tentative="1">
      <w:start w:val="1"/>
      <w:numFmt w:val="lowerLetter"/>
      <w:lvlText w:val="%2."/>
      <w:lvlJc w:val="left"/>
      <w:pPr>
        <w:tabs>
          <w:tab w:val="num" w:pos="1440"/>
        </w:tabs>
        <w:ind w:left="1440" w:hanging="360"/>
      </w:pPr>
    </w:lvl>
    <w:lvl w:ilvl="2" w:tplc="719248D0" w:tentative="1">
      <w:start w:val="1"/>
      <w:numFmt w:val="lowerRoman"/>
      <w:lvlText w:val="%3."/>
      <w:lvlJc w:val="right"/>
      <w:pPr>
        <w:tabs>
          <w:tab w:val="num" w:pos="2160"/>
        </w:tabs>
        <w:ind w:left="2160" w:hanging="180"/>
      </w:pPr>
    </w:lvl>
    <w:lvl w:ilvl="3" w:tplc="A6B4F186" w:tentative="1">
      <w:start w:val="1"/>
      <w:numFmt w:val="decimal"/>
      <w:lvlText w:val="%4."/>
      <w:lvlJc w:val="left"/>
      <w:pPr>
        <w:tabs>
          <w:tab w:val="num" w:pos="2880"/>
        </w:tabs>
        <w:ind w:left="2880" w:hanging="360"/>
      </w:pPr>
    </w:lvl>
    <w:lvl w:ilvl="4" w:tplc="22D0E732" w:tentative="1">
      <w:start w:val="1"/>
      <w:numFmt w:val="lowerLetter"/>
      <w:lvlText w:val="%5."/>
      <w:lvlJc w:val="left"/>
      <w:pPr>
        <w:tabs>
          <w:tab w:val="num" w:pos="3600"/>
        </w:tabs>
        <w:ind w:left="3600" w:hanging="360"/>
      </w:pPr>
    </w:lvl>
    <w:lvl w:ilvl="5" w:tplc="0C92A59E" w:tentative="1">
      <w:start w:val="1"/>
      <w:numFmt w:val="lowerRoman"/>
      <w:lvlText w:val="%6."/>
      <w:lvlJc w:val="right"/>
      <w:pPr>
        <w:tabs>
          <w:tab w:val="num" w:pos="4320"/>
        </w:tabs>
        <w:ind w:left="4320" w:hanging="180"/>
      </w:pPr>
    </w:lvl>
    <w:lvl w:ilvl="6" w:tplc="43E0677A" w:tentative="1">
      <w:start w:val="1"/>
      <w:numFmt w:val="decimal"/>
      <w:lvlText w:val="%7."/>
      <w:lvlJc w:val="left"/>
      <w:pPr>
        <w:tabs>
          <w:tab w:val="num" w:pos="5040"/>
        </w:tabs>
        <w:ind w:left="5040" w:hanging="360"/>
      </w:pPr>
    </w:lvl>
    <w:lvl w:ilvl="7" w:tplc="4DA40858" w:tentative="1">
      <w:start w:val="1"/>
      <w:numFmt w:val="lowerLetter"/>
      <w:lvlText w:val="%8."/>
      <w:lvlJc w:val="left"/>
      <w:pPr>
        <w:tabs>
          <w:tab w:val="num" w:pos="5760"/>
        </w:tabs>
        <w:ind w:left="5760" w:hanging="360"/>
      </w:pPr>
    </w:lvl>
    <w:lvl w:ilvl="8" w:tplc="8F7C2CB2" w:tentative="1">
      <w:start w:val="1"/>
      <w:numFmt w:val="lowerRoman"/>
      <w:lvlText w:val="%9."/>
      <w:lvlJc w:val="right"/>
      <w:pPr>
        <w:tabs>
          <w:tab w:val="num" w:pos="6480"/>
        </w:tabs>
        <w:ind w:left="6480" w:hanging="180"/>
      </w:pPr>
    </w:lvl>
  </w:abstractNum>
  <w:abstractNum w:abstractNumId="3" w15:restartNumberingAfterBreak="0">
    <w:nsid w:val="53006865"/>
    <w:multiLevelType w:val="hybridMultilevel"/>
    <w:tmpl w:val="1954311E"/>
    <w:lvl w:ilvl="0" w:tplc="CAB40D64">
      <w:start w:val="53"/>
      <w:numFmt w:val="bullet"/>
      <w:lvlText w:val="-"/>
      <w:lvlJc w:val="left"/>
      <w:pPr>
        <w:tabs>
          <w:tab w:val="num" w:pos="1800"/>
        </w:tabs>
        <w:ind w:left="1800" w:hanging="360"/>
      </w:pPr>
      <w:rPr>
        <w:rFonts w:ascii="Times New Roman" w:eastAsia="Times New Roman" w:hAnsi="Times New Roman" w:cs="Times New Roman" w:hint="default"/>
      </w:rPr>
    </w:lvl>
    <w:lvl w:ilvl="1" w:tplc="1CB00A8A" w:tentative="1">
      <w:start w:val="1"/>
      <w:numFmt w:val="bullet"/>
      <w:lvlText w:val="o"/>
      <w:lvlJc w:val="left"/>
      <w:pPr>
        <w:tabs>
          <w:tab w:val="num" w:pos="2520"/>
        </w:tabs>
        <w:ind w:left="2520" w:hanging="360"/>
      </w:pPr>
      <w:rPr>
        <w:rFonts w:ascii="Courier New" w:hAnsi="Courier New" w:hint="default"/>
      </w:rPr>
    </w:lvl>
    <w:lvl w:ilvl="2" w:tplc="9612A1B6" w:tentative="1">
      <w:start w:val="1"/>
      <w:numFmt w:val="bullet"/>
      <w:lvlText w:val=""/>
      <w:lvlJc w:val="left"/>
      <w:pPr>
        <w:tabs>
          <w:tab w:val="num" w:pos="3240"/>
        </w:tabs>
        <w:ind w:left="3240" w:hanging="360"/>
      </w:pPr>
      <w:rPr>
        <w:rFonts w:ascii="Wingdings" w:hAnsi="Wingdings" w:hint="default"/>
      </w:rPr>
    </w:lvl>
    <w:lvl w:ilvl="3" w:tplc="4B08F664" w:tentative="1">
      <w:start w:val="1"/>
      <w:numFmt w:val="bullet"/>
      <w:lvlText w:val=""/>
      <w:lvlJc w:val="left"/>
      <w:pPr>
        <w:tabs>
          <w:tab w:val="num" w:pos="3960"/>
        </w:tabs>
        <w:ind w:left="3960" w:hanging="360"/>
      </w:pPr>
      <w:rPr>
        <w:rFonts w:ascii="Symbol" w:hAnsi="Symbol" w:hint="default"/>
      </w:rPr>
    </w:lvl>
    <w:lvl w:ilvl="4" w:tplc="F81CFC82" w:tentative="1">
      <w:start w:val="1"/>
      <w:numFmt w:val="bullet"/>
      <w:lvlText w:val="o"/>
      <w:lvlJc w:val="left"/>
      <w:pPr>
        <w:tabs>
          <w:tab w:val="num" w:pos="4680"/>
        </w:tabs>
        <w:ind w:left="4680" w:hanging="360"/>
      </w:pPr>
      <w:rPr>
        <w:rFonts w:ascii="Courier New" w:hAnsi="Courier New" w:hint="default"/>
      </w:rPr>
    </w:lvl>
    <w:lvl w:ilvl="5" w:tplc="8AC071C6" w:tentative="1">
      <w:start w:val="1"/>
      <w:numFmt w:val="bullet"/>
      <w:lvlText w:val=""/>
      <w:lvlJc w:val="left"/>
      <w:pPr>
        <w:tabs>
          <w:tab w:val="num" w:pos="5400"/>
        </w:tabs>
        <w:ind w:left="5400" w:hanging="360"/>
      </w:pPr>
      <w:rPr>
        <w:rFonts w:ascii="Wingdings" w:hAnsi="Wingdings" w:hint="default"/>
      </w:rPr>
    </w:lvl>
    <w:lvl w:ilvl="6" w:tplc="1DF495FA" w:tentative="1">
      <w:start w:val="1"/>
      <w:numFmt w:val="bullet"/>
      <w:lvlText w:val=""/>
      <w:lvlJc w:val="left"/>
      <w:pPr>
        <w:tabs>
          <w:tab w:val="num" w:pos="6120"/>
        </w:tabs>
        <w:ind w:left="6120" w:hanging="360"/>
      </w:pPr>
      <w:rPr>
        <w:rFonts w:ascii="Symbol" w:hAnsi="Symbol" w:hint="default"/>
      </w:rPr>
    </w:lvl>
    <w:lvl w:ilvl="7" w:tplc="33F46A1A" w:tentative="1">
      <w:start w:val="1"/>
      <w:numFmt w:val="bullet"/>
      <w:lvlText w:val="o"/>
      <w:lvlJc w:val="left"/>
      <w:pPr>
        <w:tabs>
          <w:tab w:val="num" w:pos="6840"/>
        </w:tabs>
        <w:ind w:left="6840" w:hanging="360"/>
      </w:pPr>
      <w:rPr>
        <w:rFonts w:ascii="Courier New" w:hAnsi="Courier New" w:hint="default"/>
      </w:rPr>
    </w:lvl>
    <w:lvl w:ilvl="8" w:tplc="DED4036A"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560B2C00"/>
    <w:multiLevelType w:val="hybridMultilevel"/>
    <w:tmpl w:val="754E97EA"/>
    <w:lvl w:ilvl="0" w:tplc="3F564E5E">
      <w:numFmt w:val="bullet"/>
      <w:lvlText w:val="-"/>
      <w:lvlJc w:val="left"/>
      <w:pPr>
        <w:ind w:left="720" w:hanging="360"/>
      </w:pPr>
      <w:rPr>
        <w:rFonts w:ascii="Arial" w:eastAsia="Times New Roman" w:hAnsi="Arial" w:cs="Arial" w:hint="default"/>
      </w:rPr>
    </w:lvl>
    <w:lvl w:ilvl="1" w:tplc="EE5029CE">
      <w:start w:val="1"/>
      <w:numFmt w:val="bullet"/>
      <w:lvlText w:val="o"/>
      <w:lvlJc w:val="left"/>
      <w:pPr>
        <w:ind w:left="1440" w:hanging="360"/>
      </w:pPr>
      <w:rPr>
        <w:rFonts w:ascii="Courier New" w:hAnsi="Courier New" w:cs="Courier New" w:hint="default"/>
      </w:rPr>
    </w:lvl>
    <w:lvl w:ilvl="2" w:tplc="4AC48EC6">
      <w:start w:val="1"/>
      <w:numFmt w:val="bullet"/>
      <w:lvlText w:val=""/>
      <w:lvlJc w:val="left"/>
      <w:pPr>
        <w:ind w:left="2160" w:hanging="360"/>
      </w:pPr>
      <w:rPr>
        <w:rFonts w:ascii="Wingdings" w:hAnsi="Wingdings" w:hint="default"/>
      </w:rPr>
    </w:lvl>
    <w:lvl w:ilvl="3" w:tplc="D31C861A">
      <w:start w:val="1"/>
      <w:numFmt w:val="bullet"/>
      <w:lvlText w:val=""/>
      <w:lvlJc w:val="left"/>
      <w:pPr>
        <w:ind w:left="2880" w:hanging="360"/>
      </w:pPr>
      <w:rPr>
        <w:rFonts w:ascii="Symbol" w:hAnsi="Symbol" w:hint="default"/>
      </w:rPr>
    </w:lvl>
    <w:lvl w:ilvl="4" w:tplc="2C3A1372">
      <w:start w:val="1"/>
      <w:numFmt w:val="bullet"/>
      <w:lvlText w:val="o"/>
      <w:lvlJc w:val="left"/>
      <w:pPr>
        <w:ind w:left="3600" w:hanging="360"/>
      </w:pPr>
      <w:rPr>
        <w:rFonts w:ascii="Courier New" w:hAnsi="Courier New" w:cs="Courier New" w:hint="default"/>
      </w:rPr>
    </w:lvl>
    <w:lvl w:ilvl="5" w:tplc="442A686E">
      <w:start w:val="1"/>
      <w:numFmt w:val="bullet"/>
      <w:lvlText w:val=""/>
      <w:lvlJc w:val="left"/>
      <w:pPr>
        <w:ind w:left="4320" w:hanging="360"/>
      </w:pPr>
      <w:rPr>
        <w:rFonts w:ascii="Wingdings" w:hAnsi="Wingdings" w:hint="default"/>
      </w:rPr>
    </w:lvl>
    <w:lvl w:ilvl="6" w:tplc="C2362A2C">
      <w:start w:val="1"/>
      <w:numFmt w:val="bullet"/>
      <w:lvlText w:val=""/>
      <w:lvlJc w:val="left"/>
      <w:pPr>
        <w:ind w:left="5040" w:hanging="360"/>
      </w:pPr>
      <w:rPr>
        <w:rFonts w:ascii="Symbol" w:hAnsi="Symbol" w:hint="default"/>
      </w:rPr>
    </w:lvl>
    <w:lvl w:ilvl="7" w:tplc="630ADCF8">
      <w:start w:val="1"/>
      <w:numFmt w:val="bullet"/>
      <w:lvlText w:val="o"/>
      <w:lvlJc w:val="left"/>
      <w:pPr>
        <w:ind w:left="5760" w:hanging="360"/>
      </w:pPr>
      <w:rPr>
        <w:rFonts w:ascii="Courier New" w:hAnsi="Courier New" w:cs="Courier New" w:hint="default"/>
      </w:rPr>
    </w:lvl>
    <w:lvl w:ilvl="8" w:tplc="91F629D2">
      <w:start w:val="1"/>
      <w:numFmt w:val="bullet"/>
      <w:lvlText w:val=""/>
      <w:lvlJc w:val="left"/>
      <w:pPr>
        <w:ind w:left="648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77AED044">
      <w:start w:val="1"/>
      <w:numFmt w:val="decimal"/>
      <w:lvlText w:val="%1-"/>
      <w:lvlJc w:val="left"/>
      <w:pPr>
        <w:tabs>
          <w:tab w:val="num" w:pos="1128"/>
        </w:tabs>
        <w:ind w:left="1128" w:hanging="360"/>
      </w:pPr>
      <w:rPr>
        <w:rFonts w:hint="default"/>
      </w:rPr>
    </w:lvl>
    <w:lvl w:ilvl="1" w:tplc="7694972C" w:tentative="1">
      <w:start w:val="1"/>
      <w:numFmt w:val="lowerLetter"/>
      <w:lvlText w:val="%2."/>
      <w:lvlJc w:val="left"/>
      <w:pPr>
        <w:tabs>
          <w:tab w:val="num" w:pos="1848"/>
        </w:tabs>
        <w:ind w:left="1848" w:hanging="360"/>
      </w:pPr>
    </w:lvl>
    <w:lvl w:ilvl="2" w:tplc="027E083E" w:tentative="1">
      <w:start w:val="1"/>
      <w:numFmt w:val="lowerRoman"/>
      <w:lvlText w:val="%3."/>
      <w:lvlJc w:val="right"/>
      <w:pPr>
        <w:tabs>
          <w:tab w:val="num" w:pos="2568"/>
        </w:tabs>
        <w:ind w:left="2568" w:hanging="180"/>
      </w:pPr>
    </w:lvl>
    <w:lvl w:ilvl="3" w:tplc="B360D7F6" w:tentative="1">
      <w:start w:val="1"/>
      <w:numFmt w:val="decimal"/>
      <w:lvlText w:val="%4."/>
      <w:lvlJc w:val="left"/>
      <w:pPr>
        <w:tabs>
          <w:tab w:val="num" w:pos="3288"/>
        </w:tabs>
        <w:ind w:left="3288" w:hanging="360"/>
      </w:pPr>
    </w:lvl>
    <w:lvl w:ilvl="4" w:tplc="B0E4A3BA" w:tentative="1">
      <w:start w:val="1"/>
      <w:numFmt w:val="lowerLetter"/>
      <w:lvlText w:val="%5."/>
      <w:lvlJc w:val="left"/>
      <w:pPr>
        <w:tabs>
          <w:tab w:val="num" w:pos="4008"/>
        </w:tabs>
        <w:ind w:left="4008" w:hanging="360"/>
      </w:pPr>
    </w:lvl>
    <w:lvl w:ilvl="5" w:tplc="C82E21A4" w:tentative="1">
      <w:start w:val="1"/>
      <w:numFmt w:val="lowerRoman"/>
      <w:lvlText w:val="%6."/>
      <w:lvlJc w:val="right"/>
      <w:pPr>
        <w:tabs>
          <w:tab w:val="num" w:pos="4728"/>
        </w:tabs>
        <w:ind w:left="4728" w:hanging="180"/>
      </w:pPr>
    </w:lvl>
    <w:lvl w:ilvl="6" w:tplc="E11EC936" w:tentative="1">
      <w:start w:val="1"/>
      <w:numFmt w:val="decimal"/>
      <w:lvlText w:val="%7."/>
      <w:lvlJc w:val="left"/>
      <w:pPr>
        <w:tabs>
          <w:tab w:val="num" w:pos="5448"/>
        </w:tabs>
        <w:ind w:left="5448" w:hanging="360"/>
      </w:pPr>
    </w:lvl>
    <w:lvl w:ilvl="7" w:tplc="D99002B0" w:tentative="1">
      <w:start w:val="1"/>
      <w:numFmt w:val="lowerLetter"/>
      <w:lvlText w:val="%8."/>
      <w:lvlJc w:val="left"/>
      <w:pPr>
        <w:tabs>
          <w:tab w:val="num" w:pos="6168"/>
        </w:tabs>
        <w:ind w:left="6168" w:hanging="360"/>
      </w:pPr>
    </w:lvl>
    <w:lvl w:ilvl="8" w:tplc="5F6AF55C"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78756583"/>
    <w:multiLevelType w:val="hybridMultilevel"/>
    <w:tmpl w:val="0A025BA8"/>
    <w:lvl w:ilvl="0" w:tplc="E5FA4A5E">
      <w:start w:val="1"/>
      <w:numFmt w:val="lowerLetter"/>
      <w:lvlText w:val="%1)"/>
      <w:lvlJc w:val="left"/>
      <w:pPr>
        <w:ind w:left="720" w:hanging="360"/>
      </w:pPr>
    </w:lvl>
    <w:lvl w:ilvl="1" w:tplc="7ED2DEA2">
      <w:start w:val="1"/>
      <w:numFmt w:val="lowerLetter"/>
      <w:lvlText w:val="%2."/>
      <w:lvlJc w:val="left"/>
      <w:pPr>
        <w:ind w:left="1440" w:hanging="360"/>
      </w:pPr>
    </w:lvl>
    <w:lvl w:ilvl="2" w:tplc="7236E92A">
      <w:start w:val="1"/>
      <w:numFmt w:val="lowerRoman"/>
      <w:lvlText w:val="%3."/>
      <w:lvlJc w:val="right"/>
      <w:pPr>
        <w:ind w:left="2160" w:hanging="180"/>
      </w:pPr>
    </w:lvl>
    <w:lvl w:ilvl="3" w:tplc="753E6296">
      <w:start w:val="1"/>
      <w:numFmt w:val="decimal"/>
      <w:lvlText w:val="%4."/>
      <w:lvlJc w:val="left"/>
      <w:pPr>
        <w:ind w:left="2880" w:hanging="360"/>
      </w:pPr>
    </w:lvl>
    <w:lvl w:ilvl="4" w:tplc="9216C000">
      <w:start w:val="1"/>
      <w:numFmt w:val="lowerLetter"/>
      <w:lvlText w:val="%5."/>
      <w:lvlJc w:val="left"/>
      <w:pPr>
        <w:ind w:left="3600" w:hanging="360"/>
      </w:pPr>
    </w:lvl>
    <w:lvl w:ilvl="5" w:tplc="682CF892">
      <w:start w:val="1"/>
      <w:numFmt w:val="lowerRoman"/>
      <w:lvlText w:val="%6."/>
      <w:lvlJc w:val="right"/>
      <w:pPr>
        <w:ind w:left="4320" w:hanging="180"/>
      </w:pPr>
    </w:lvl>
    <w:lvl w:ilvl="6" w:tplc="A356CB3C">
      <w:start w:val="1"/>
      <w:numFmt w:val="decimal"/>
      <w:lvlText w:val="%7."/>
      <w:lvlJc w:val="left"/>
      <w:pPr>
        <w:ind w:left="5040" w:hanging="360"/>
      </w:pPr>
    </w:lvl>
    <w:lvl w:ilvl="7" w:tplc="52748CF8">
      <w:start w:val="1"/>
      <w:numFmt w:val="lowerLetter"/>
      <w:lvlText w:val="%8."/>
      <w:lvlJc w:val="left"/>
      <w:pPr>
        <w:ind w:left="5760" w:hanging="360"/>
      </w:pPr>
    </w:lvl>
    <w:lvl w:ilvl="8" w:tplc="6C5EC672">
      <w:start w:val="1"/>
      <w:numFmt w:val="lowerRoman"/>
      <w:lvlText w:val="%9."/>
      <w:lvlJc w:val="right"/>
      <w:pPr>
        <w:ind w:left="6480" w:hanging="180"/>
      </w:pPr>
    </w:lvl>
  </w:abstractNum>
  <w:abstractNum w:abstractNumId="10" w15:restartNumberingAfterBreak="0">
    <w:nsid w:val="78756584"/>
    <w:multiLevelType w:val="hybridMultilevel"/>
    <w:tmpl w:val="0A025BA8"/>
    <w:lvl w:ilvl="0" w:tplc="0FBCED0E">
      <w:start w:val="1"/>
      <w:numFmt w:val="lowerLetter"/>
      <w:lvlText w:val="%1)"/>
      <w:lvlJc w:val="left"/>
      <w:pPr>
        <w:ind w:left="720" w:hanging="360"/>
      </w:pPr>
    </w:lvl>
    <w:lvl w:ilvl="1" w:tplc="C792C434">
      <w:start w:val="1"/>
      <w:numFmt w:val="lowerLetter"/>
      <w:lvlText w:val="%2."/>
      <w:lvlJc w:val="left"/>
      <w:pPr>
        <w:ind w:left="1440" w:hanging="360"/>
      </w:pPr>
    </w:lvl>
    <w:lvl w:ilvl="2" w:tplc="80327F48">
      <w:start w:val="1"/>
      <w:numFmt w:val="lowerRoman"/>
      <w:lvlText w:val="%3."/>
      <w:lvlJc w:val="right"/>
      <w:pPr>
        <w:ind w:left="2160" w:hanging="180"/>
      </w:pPr>
    </w:lvl>
    <w:lvl w:ilvl="3" w:tplc="65F4A630">
      <w:start w:val="1"/>
      <w:numFmt w:val="decimal"/>
      <w:lvlText w:val="%4."/>
      <w:lvlJc w:val="left"/>
      <w:pPr>
        <w:ind w:left="2880" w:hanging="360"/>
      </w:pPr>
    </w:lvl>
    <w:lvl w:ilvl="4" w:tplc="F85A2FE2">
      <w:start w:val="1"/>
      <w:numFmt w:val="lowerLetter"/>
      <w:lvlText w:val="%5."/>
      <w:lvlJc w:val="left"/>
      <w:pPr>
        <w:ind w:left="3600" w:hanging="360"/>
      </w:pPr>
    </w:lvl>
    <w:lvl w:ilvl="5" w:tplc="4DB47C64">
      <w:start w:val="1"/>
      <w:numFmt w:val="lowerRoman"/>
      <w:lvlText w:val="%6."/>
      <w:lvlJc w:val="right"/>
      <w:pPr>
        <w:ind w:left="4320" w:hanging="180"/>
      </w:pPr>
    </w:lvl>
    <w:lvl w:ilvl="6" w:tplc="665C7712">
      <w:start w:val="1"/>
      <w:numFmt w:val="decimal"/>
      <w:lvlText w:val="%7."/>
      <w:lvlJc w:val="left"/>
      <w:pPr>
        <w:ind w:left="5040" w:hanging="360"/>
      </w:pPr>
    </w:lvl>
    <w:lvl w:ilvl="7" w:tplc="6AB63354">
      <w:start w:val="1"/>
      <w:numFmt w:val="lowerLetter"/>
      <w:lvlText w:val="%8."/>
      <w:lvlJc w:val="left"/>
      <w:pPr>
        <w:ind w:left="5760" w:hanging="360"/>
      </w:pPr>
    </w:lvl>
    <w:lvl w:ilvl="8" w:tplc="A34C2756">
      <w:start w:val="1"/>
      <w:numFmt w:val="lowerRoman"/>
      <w:lvlText w:val="%9."/>
      <w:lvlJc w:val="right"/>
      <w:pPr>
        <w:ind w:left="6480" w:hanging="180"/>
      </w:pPr>
    </w:lvl>
  </w:abstractNum>
  <w:abstractNum w:abstractNumId="11" w15:restartNumberingAfterBreak="0">
    <w:nsid w:val="78756585"/>
    <w:multiLevelType w:val="hybridMultilevel"/>
    <w:tmpl w:val="CE762F9E"/>
    <w:lvl w:ilvl="0" w:tplc="09D8F366">
      <w:start w:val="1"/>
      <w:numFmt w:val="bullet"/>
      <w:lvlText w:val="-"/>
      <w:lvlJc w:val="left"/>
      <w:pPr>
        <w:ind w:left="720" w:hanging="360"/>
      </w:pPr>
      <w:rPr>
        <w:rFonts w:ascii="Arial" w:eastAsia="Times New Roman" w:hAnsi="Arial" w:cs="Arial" w:hint="default"/>
      </w:rPr>
    </w:lvl>
    <w:lvl w:ilvl="1" w:tplc="5658E590">
      <w:start w:val="1"/>
      <w:numFmt w:val="bullet"/>
      <w:lvlText w:val="o"/>
      <w:lvlJc w:val="left"/>
      <w:pPr>
        <w:ind w:left="1440" w:hanging="360"/>
      </w:pPr>
      <w:rPr>
        <w:rFonts w:ascii="Courier New" w:hAnsi="Courier New" w:cs="Courier New" w:hint="default"/>
      </w:rPr>
    </w:lvl>
    <w:lvl w:ilvl="2" w:tplc="4202DD2E">
      <w:start w:val="1"/>
      <w:numFmt w:val="bullet"/>
      <w:lvlText w:val=""/>
      <w:lvlJc w:val="left"/>
      <w:pPr>
        <w:ind w:left="2160" w:hanging="360"/>
      </w:pPr>
      <w:rPr>
        <w:rFonts w:ascii="Wingdings" w:hAnsi="Wingdings" w:hint="default"/>
      </w:rPr>
    </w:lvl>
    <w:lvl w:ilvl="3" w:tplc="C1EAA126">
      <w:start w:val="1"/>
      <w:numFmt w:val="bullet"/>
      <w:lvlText w:val=""/>
      <w:lvlJc w:val="left"/>
      <w:pPr>
        <w:ind w:left="2880" w:hanging="360"/>
      </w:pPr>
      <w:rPr>
        <w:rFonts w:ascii="Symbol" w:hAnsi="Symbol" w:hint="default"/>
      </w:rPr>
    </w:lvl>
    <w:lvl w:ilvl="4" w:tplc="C4EC4E32">
      <w:start w:val="1"/>
      <w:numFmt w:val="bullet"/>
      <w:lvlText w:val="o"/>
      <w:lvlJc w:val="left"/>
      <w:pPr>
        <w:ind w:left="3600" w:hanging="360"/>
      </w:pPr>
      <w:rPr>
        <w:rFonts w:ascii="Courier New" w:hAnsi="Courier New" w:cs="Courier New" w:hint="default"/>
      </w:rPr>
    </w:lvl>
    <w:lvl w:ilvl="5" w:tplc="68D8AE7C">
      <w:start w:val="1"/>
      <w:numFmt w:val="bullet"/>
      <w:lvlText w:val=""/>
      <w:lvlJc w:val="left"/>
      <w:pPr>
        <w:ind w:left="4320" w:hanging="360"/>
      </w:pPr>
      <w:rPr>
        <w:rFonts w:ascii="Wingdings" w:hAnsi="Wingdings" w:hint="default"/>
      </w:rPr>
    </w:lvl>
    <w:lvl w:ilvl="6" w:tplc="3A5E7290">
      <w:start w:val="1"/>
      <w:numFmt w:val="bullet"/>
      <w:lvlText w:val=""/>
      <w:lvlJc w:val="left"/>
      <w:pPr>
        <w:ind w:left="5040" w:hanging="360"/>
      </w:pPr>
      <w:rPr>
        <w:rFonts w:ascii="Symbol" w:hAnsi="Symbol" w:hint="default"/>
      </w:rPr>
    </w:lvl>
    <w:lvl w:ilvl="7" w:tplc="61C40C36">
      <w:start w:val="1"/>
      <w:numFmt w:val="bullet"/>
      <w:lvlText w:val="o"/>
      <w:lvlJc w:val="left"/>
      <w:pPr>
        <w:ind w:left="5760" w:hanging="360"/>
      </w:pPr>
      <w:rPr>
        <w:rFonts w:ascii="Courier New" w:hAnsi="Courier New" w:cs="Courier New" w:hint="default"/>
      </w:rPr>
    </w:lvl>
    <w:lvl w:ilvl="8" w:tplc="BF6072C2">
      <w:start w:val="1"/>
      <w:numFmt w:val="bullet"/>
      <w:lvlText w:val=""/>
      <w:lvlJc w:val="left"/>
      <w:pPr>
        <w:ind w:left="6480" w:hanging="360"/>
      </w:pPr>
      <w:rPr>
        <w:rFonts w:ascii="Wingdings" w:hAnsi="Wingdings" w:hint="default"/>
      </w:rPr>
    </w:lvl>
  </w:abstractNum>
  <w:num w:numId="1" w16cid:durableId="1072507285">
    <w:abstractNumId w:val="3"/>
  </w:num>
  <w:num w:numId="2" w16cid:durableId="1785809615">
    <w:abstractNumId w:val="1"/>
  </w:num>
  <w:num w:numId="3" w16cid:durableId="167718722">
    <w:abstractNumId w:val="2"/>
  </w:num>
  <w:num w:numId="4" w16cid:durableId="432088679">
    <w:abstractNumId w:val="5"/>
  </w:num>
  <w:num w:numId="5" w16cid:durableId="422844051">
    <w:abstractNumId w:val="0"/>
  </w:num>
  <w:num w:numId="6" w16cid:durableId="1981038505">
    <w:abstractNumId w:val="6"/>
  </w:num>
  <w:num w:numId="7" w16cid:durableId="974599676">
    <w:abstractNumId w:val="8"/>
  </w:num>
  <w:num w:numId="8" w16cid:durableId="458258372">
    <w:abstractNumId w:val="7"/>
  </w:num>
  <w:num w:numId="9" w16cid:durableId="1181897682">
    <w:abstractNumId w:val="4"/>
  </w:num>
  <w:num w:numId="10" w16cid:durableId="14274556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80891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64986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1FD"/>
    <w:rsid w:val="004961FD"/>
    <w:rsid w:val="004C5A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E23BF"/>
  <w15:docId w15:val="{6D4A8B78-E77F-462B-8FCE-FF33F148C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customStyle="1" w:styleId="CarCar6CarCar">
    <w:name w:val="Car Car6 Car Car"/>
    <w:basedOn w:val="Normal"/>
    <w:rsid w:val="000C0E7B"/>
    <w:pPr>
      <w:adjustRightInd w:val="0"/>
      <w:jc w:val="both"/>
      <w:textAlignment w:val="baseline"/>
    </w:pPr>
    <w:rPr>
      <w:rFonts w:ascii="Times New Roman" w:hAnsi="Times New Roman" w:cs="Times New Roman"/>
      <w:sz w:val="24"/>
      <w:lang w:val="pl-PL" w:eastAsia="pl-PL"/>
    </w:rPr>
  </w:style>
  <w:style w:type="character" w:customStyle="1" w:styleId="EncabezadoCar">
    <w:name w:val="Encabezado Car"/>
    <w:link w:val="Encabezado"/>
    <w:rsid w:val="000C0E7B"/>
    <w:rPr>
      <w:rFonts w:ascii="Arial" w:hAnsi="Arial" w:cs="Arial"/>
      <w:szCs w:val="24"/>
      <w:lang w:val="ca-ES"/>
    </w:rPr>
  </w:style>
  <w:style w:type="paragraph" w:styleId="Textodeglobo">
    <w:name w:val="Balloon Text"/>
    <w:basedOn w:val="Normal"/>
    <w:link w:val="TextodegloboCar"/>
    <w:uiPriority w:val="99"/>
    <w:semiHidden/>
    <w:unhideWhenUsed/>
    <w:rsid w:val="000D1643"/>
    <w:rPr>
      <w:rFonts w:ascii="Tahoma" w:hAnsi="Tahoma" w:cs="Tahoma"/>
      <w:sz w:val="16"/>
      <w:szCs w:val="16"/>
    </w:rPr>
  </w:style>
  <w:style w:type="character" w:customStyle="1" w:styleId="TextodegloboCar">
    <w:name w:val="Texto de globo Car"/>
    <w:basedOn w:val="Fuentedeprrafopredeter"/>
    <w:link w:val="Textodeglobo"/>
    <w:uiPriority w:val="99"/>
    <w:semiHidden/>
    <w:rsid w:val="000D1643"/>
    <w:rPr>
      <w:rFonts w:ascii="Tahoma" w:hAnsi="Tahoma" w:cs="Tahoma"/>
      <w:sz w:val="16"/>
      <w:szCs w:val="16"/>
      <w:lang w:val="ca-ES"/>
    </w:rPr>
  </w:style>
  <w:style w:type="character" w:customStyle="1" w:styleId="PiedepginaCar">
    <w:name w:val="Pie de página Car"/>
    <w:basedOn w:val="Fuentedeprrafopredeter"/>
    <w:link w:val="Piedepgina"/>
    <w:uiPriority w:val="99"/>
    <w:rsid w:val="000D1643"/>
    <w:rPr>
      <w:rFonts w:ascii="Arial" w:hAnsi="Arial" w:cs="Arial"/>
      <w:szCs w:val="24"/>
      <w:lang w:val="ca-ES"/>
    </w:rPr>
  </w:style>
  <w:style w:type="character" w:styleId="Hipervnculo">
    <w:name w:val="Hyperlink"/>
    <w:basedOn w:val="Fuentedeprrafopredeter"/>
    <w:uiPriority w:val="99"/>
    <w:unhideWhenUsed/>
    <w:rsid w:val="000D1643"/>
    <w:rPr>
      <w:color w:val="0000FF" w:themeColor="hyperlink"/>
      <w:u w:val="single"/>
    </w:rPr>
  </w:style>
  <w:style w:type="character" w:styleId="Hipervnculovisitado">
    <w:name w:val="FollowedHyperlink"/>
    <w:basedOn w:val="Fuentedeprrafopredeter"/>
    <w:uiPriority w:val="99"/>
    <w:semiHidden/>
    <w:unhideWhenUsed/>
    <w:rsid w:val="00CF7D13"/>
    <w:rPr>
      <w:color w:val="800080" w:themeColor="followedHyperlink"/>
      <w:u w:val="single"/>
    </w:rPr>
  </w:style>
  <w:style w:type="table" w:styleId="Tablaconcuadrcula">
    <w:name w:val="Table Grid"/>
    <w:basedOn w:val="Tablanormal"/>
    <w:uiPriority w:val="59"/>
    <w:rsid w:val="000B5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AB43FE"/>
    <w:rPr>
      <w:rFonts w:ascii="Arial" w:hAnsi="Arial" w:cs="Arial"/>
      <w:szCs w:val="24"/>
      <w:lang w:val="ca-ES"/>
    </w:rPr>
  </w:style>
  <w:style w:type="paragraph" w:customStyle="1" w:styleId="Normal00">
    <w:name w:val="Normal_0_0"/>
    <w:qFormat/>
    <w:rsid w:val="00AB43FE"/>
    <w:rPr>
      <w:rFonts w:ascii="Arial" w:hAnsi="Arial" w:cs="Arial"/>
      <w:szCs w:val="24"/>
      <w:lang w:val="ca-ES"/>
    </w:rPr>
  </w:style>
  <w:style w:type="paragraph" w:styleId="Prrafodelista">
    <w:name w:val="List Paragraph"/>
    <w:basedOn w:val="Normal00"/>
    <w:uiPriority w:val="34"/>
    <w:qFormat/>
    <w:rsid w:val="00572F69"/>
    <w:pPr>
      <w:ind w:left="720"/>
      <w:contextualSpacing/>
    </w:pPr>
  </w:style>
  <w:style w:type="character" w:customStyle="1" w:styleId="Hyperlink0">
    <w:name w:val="Hyperlink_0"/>
    <w:basedOn w:val="Fuentedeprrafopredeter"/>
    <w:uiPriority w:val="99"/>
    <w:unhideWhenUsed/>
    <w:rsid w:val="00EA0506"/>
    <w:rPr>
      <w:rFonts w:ascii="Arial" w:hAnsi="Arial" w:cs="Arial"/>
      <w:color w:val="0000FF" w:themeColor="hyperlink"/>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osriu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9</TotalTime>
  <Pages>5</Pages>
  <Words>2384</Words>
  <Characters>12844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Pietat Perez</cp:lastModifiedBy>
  <cp:revision>8</cp:revision>
  <cp:lastPrinted>2009-02-03T06:32:00Z</cp:lastPrinted>
  <dcterms:created xsi:type="dcterms:W3CDTF">2022-04-07T13:32:00Z</dcterms:created>
  <dcterms:modified xsi:type="dcterms:W3CDTF">2024-03-08T11:48:00Z</dcterms:modified>
</cp:coreProperties>
</file>