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7BF53" w14:textId="77777777" w:rsidR="00DF6A9A" w:rsidRDefault="00DF6A9A" w:rsidP="003E5CA6">
      <w:pPr>
        <w:jc w:val="both"/>
        <w:rPr>
          <w:rFonts w:ascii="Arial" w:hAnsi="Arial" w:cs="Arial"/>
          <w:b/>
          <w:bCs/>
          <w:sz w:val="20"/>
          <w:szCs w:val="20"/>
        </w:rPr>
      </w:pPr>
    </w:p>
    <w:p w14:paraId="69A6A037" w14:textId="77777777" w:rsidR="00DF6A9A" w:rsidRDefault="00DF6A9A" w:rsidP="003E5CA6">
      <w:pPr>
        <w:jc w:val="both"/>
        <w:rPr>
          <w:rFonts w:ascii="Arial" w:hAnsi="Arial" w:cs="Arial"/>
          <w:b/>
          <w:bCs/>
          <w:sz w:val="20"/>
          <w:szCs w:val="20"/>
        </w:rPr>
      </w:pPr>
    </w:p>
    <w:p w14:paraId="0E3E2A95" w14:textId="6DD39922" w:rsidR="003E5CA6" w:rsidRPr="00DF6A9A" w:rsidRDefault="003E5CA6" w:rsidP="003E5CA6">
      <w:pPr>
        <w:jc w:val="both"/>
        <w:rPr>
          <w:rFonts w:ascii="Arial" w:hAnsi="Arial" w:cs="Arial"/>
          <w:b/>
          <w:bCs/>
          <w:sz w:val="20"/>
          <w:szCs w:val="20"/>
        </w:rPr>
      </w:pPr>
      <w:r w:rsidRPr="00DF6A9A">
        <w:rPr>
          <w:rFonts w:ascii="Arial" w:hAnsi="Arial" w:cs="Arial"/>
          <w:b/>
          <w:bCs/>
          <w:sz w:val="20"/>
          <w:szCs w:val="20"/>
        </w:rPr>
        <w:t>Sergi de Diego y Mas, secretario accidental del Ayuntamiento de Dosrius, comarca del Maresme,</w:t>
      </w:r>
    </w:p>
    <w:p w14:paraId="01F44F87" w14:textId="77777777" w:rsidR="003E5CA6" w:rsidRPr="003E5CA6" w:rsidRDefault="003E5CA6" w:rsidP="003E5CA6">
      <w:pPr>
        <w:jc w:val="both"/>
        <w:rPr>
          <w:rFonts w:ascii="Arial" w:hAnsi="Arial" w:cs="Arial"/>
          <w:sz w:val="20"/>
          <w:szCs w:val="20"/>
        </w:rPr>
      </w:pPr>
    </w:p>
    <w:p w14:paraId="149BA6C4" w14:textId="2172B23A" w:rsidR="003E5CA6" w:rsidRPr="00DF6A9A" w:rsidRDefault="003E5CA6" w:rsidP="003E5CA6">
      <w:pPr>
        <w:jc w:val="both"/>
        <w:rPr>
          <w:rFonts w:ascii="Arial" w:hAnsi="Arial" w:cs="Arial"/>
          <w:b/>
          <w:bCs/>
          <w:sz w:val="20"/>
          <w:szCs w:val="20"/>
        </w:rPr>
      </w:pPr>
      <w:r w:rsidRPr="00DF6A9A">
        <w:rPr>
          <w:rFonts w:ascii="Arial" w:hAnsi="Arial" w:cs="Arial"/>
          <w:b/>
          <w:bCs/>
          <w:sz w:val="20"/>
          <w:szCs w:val="20"/>
        </w:rPr>
        <w:t xml:space="preserve">C E R T </w:t>
      </w:r>
      <w:r w:rsidR="00DF6A9A" w:rsidRPr="00DF6A9A">
        <w:rPr>
          <w:rFonts w:ascii="Arial" w:hAnsi="Arial" w:cs="Arial"/>
          <w:b/>
          <w:bCs/>
          <w:sz w:val="20"/>
          <w:szCs w:val="20"/>
        </w:rPr>
        <w:t>I</w:t>
      </w:r>
      <w:r w:rsidRPr="00DF6A9A">
        <w:rPr>
          <w:rFonts w:ascii="Arial" w:hAnsi="Arial" w:cs="Arial"/>
          <w:b/>
          <w:bCs/>
          <w:sz w:val="20"/>
          <w:szCs w:val="20"/>
        </w:rPr>
        <w:t xml:space="preserve"> F </w:t>
      </w:r>
      <w:r w:rsidR="00DF6A9A" w:rsidRPr="00DF6A9A">
        <w:rPr>
          <w:rFonts w:ascii="Arial" w:hAnsi="Arial" w:cs="Arial"/>
          <w:b/>
          <w:bCs/>
          <w:sz w:val="20"/>
          <w:szCs w:val="20"/>
        </w:rPr>
        <w:t>I</w:t>
      </w:r>
      <w:r w:rsidRPr="00DF6A9A">
        <w:rPr>
          <w:rFonts w:ascii="Arial" w:hAnsi="Arial" w:cs="Arial"/>
          <w:b/>
          <w:bCs/>
          <w:sz w:val="20"/>
          <w:szCs w:val="20"/>
        </w:rPr>
        <w:t xml:space="preserve"> C O:</w:t>
      </w:r>
    </w:p>
    <w:p w14:paraId="325973F0" w14:textId="77777777" w:rsidR="003E5CA6" w:rsidRPr="003E5CA6" w:rsidRDefault="003E5CA6" w:rsidP="003E5CA6">
      <w:pPr>
        <w:jc w:val="both"/>
        <w:rPr>
          <w:rFonts w:ascii="Arial" w:hAnsi="Arial" w:cs="Arial"/>
          <w:sz w:val="20"/>
          <w:szCs w:val="20"/>
        </w:rPr>
      </w:pPr>
    </w:p>
    <w:p w14:paraId="2CC19AA7"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Que el Pleno municipal, en sesión ordinaria realizada el día 29 de febrero de 2024 aprobó el acuerdo que textualmente dice el siguiente:</w:t>
      </w:r>
    </w:p>
    <w:p w14:paraId="1A56B1B1" w14:textId="77777777" w:rsidR="003E5CA6" w:rsidRPr="00DF6A9A" w:rsidRDefault="003E5CA6" w:rsidP="003E5CA6">
      <w:pPr>
        <w:jc w:val="both"/>
        <w:rPr>
          <w:rFonts w:ascii="Arial" w:hAnsi="Arial" w:cs="Arial"/>
          <w:b/>
          <w:bCs/>
          <w:sz w:val="20"/>
          <w:szCs w:val="20"/>
        </w:rPr>
      </w:pPr>
    </w:p>
    <w:p w14:paraId="0AEB8F8C" w14:textId="71B73676" w:rsidR="003E5CA6" w:rsidRPr="00DF6A9A" w:rsidRDefault="003E5CA6" w:rsidP="003E5CA6">
      <w:pPr>
        <w:jc w:val="both"/>
        <w:rPr>
          <w:rFonts w:ascii="Arial" w:hAnsi="Arial" w:cs="Arial"/>
          <w:b/>
          <w:bCs/>
          <w:sz w:val="20"/>
          <w:szCs w:val="20"/>
        </w:rPr>
      </w:pPr>
      <w:r w:rsidRPr="00DF6A9A">
        <w:rPr>
          <w:rFonts w:ascii="Arial" w:hAnsi="Arial" w:cs="Arial"/>
          <w:b/>
          <w:bCs/>
          <w:sz w:val="20"/>
          <w:szCs w:val="20"/>
        </w:rPr>
        <w:t>“ASIGNACI</w:t>
      </w:r>
      <w:r w:rsidR="00DF6A9A">
        <w:rPr>
          <w:rFonts w:ascii="Arial" w:hAnsi="Arial" w:cs="Arial"/>
          <w:b/>
          <w:bCs/>
          <w:sz w:val="20"/>
          <w:szCs w:val="20"/>
        </w:rPr>
        <w:t>ONES</w:t>
      </w:r>
      <w:r w:rsidRPr="00DF6A9A">
        <w:rPr>
          <w:rFonts w:ascii="Arial" w:hAnsi="Arial" w:cs="Arial"/>
          <w:b/>
          <w:bCs/>
          <w:sz w:val="20"/>
          <w:szCs w:val="20"/>
        </w:rPr>
        <w:t xml:space="preserve"> GRUPOS MUNICIPALES</w:t>
      </w:r>
    </w:p>
    <w:p w14:paraId="09EEA2D6"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El pleno municipal, en sesión extraordinaria de fecha 04 de julio de 2023 aprobó el régimen de dedicación y de las retribuciones e indemnizaciones de los miembros de la corporación. El apartado cuarto de la mencionada moción establece con efectos 17 de junio de 2023 fecha de constitución del nuevo Ayuntamiento, una indemnización a favor de los diferentes grupos municipales y de carácter mensual, por gastos efectuados en el ejercicio de sus funciones y en los cuantías siguientes:</w:t>
      </w:r>
    </w:p>
    <w:p w14:paraId="22E9AF54" w14:textId="77777777" w:rsidR="003E5CA6" w:rsidRPr="003E5CA6" w:rsidRDefault="003E5CA6" w:rsidP="00DF6A9A">
      <w:pPr>
        <w:spacing w:after="0" w:line="240" w:lineRule="auto"/>
        <w:ind w:firstLine="709"/>
        <w:jc w:val="both"/>
        <w:rPr>
          <w:rFonts w:ascii="Arial" w:hAnsi="Arial" w:cs="Arial"/>
          <w:sz w:val="20"/>
          <w:szCs w:val="20"/>
        </w:rPr>
      </w:pPr>
      <w:r w:rsidRPr="003E5CA6">
        <w:rPr>
          <w:rFonts w:ascii="Arial" w:hAnsi="Arial" w:cs="Arial"/>
          <w:sz w:val="20"/>
          <w:szCs w:val="20"/>
        </w:rPr>
        <w:t>a) 16 euros mensuales por cada regidor electo</w:t>
      </w:r>
    </w:p>
    <w:p w14:paraId="79F7FD35" w14:textId="77777777" w:rsidR="003E5CA6" w:rsidRDefault="003E5CA6" w:rsidP="00DF6A9A">
      <w:pPr>
        <w:spacing w:after="0" w:line="240" w:lineRule="auto"/>
        <w:ind w:firstLine="709"/>
        <w:jc w:val="both"/>
        <w:rPr>
          <w:rFonts w:ascii="Arial" w:hAnsi="Arial" w:cs="Arial"/>
          <w:sz w:val="20"/>
          <w:szCs w:val="20"/>
        </w:rPr>
      </w:pPr>
      <w:r w:rsidRPr="003E5CA6">
        <w:rPr>
          <w:rFonts w:ascii="Arial" w:hAnsi="Arial" w:cs="Arial"/>
          <w:sz w:val="20"/>
          <w:szCs w:val="20"/>
        </w:rPr>
        <w:t>b) 50 euros mensuales para cada grupo municipal</w:t>
      </w:r>
    </w:p>
    <w:p w14:paraId="1B7E1EBA" w14:textId="77777777" w:rsidR="00DF6A9A" w:rsidRPr="003E5CA6" w:rsidRDefault="00DF6A9A" w:rsidP="00DF6A9A">
      <w:pPr>
        <w:spacing w:after="0" w:line="240" w:lineRule="auto"/>
        <w:ind w:firstLine="709"/>
        <w:jc w:val="both"/>
        <w:rPr>
          <w:rFonts w:ascii="Arial" w:hAnsi="Arial" w:cs="Arial"/>
          <w:sz w:val="20"/>
          <w:szCs w:val="20"/>
        </w:rPr>
      </w:pPr>
    </w:p>
    <w:p w14:paraId="39B9D656" w14:textId="48C7B819" w:rsidR="003E5CA6" w:rsidRPr="003E5CA6" w:rsidRDefault="003E5CA6" w:rsidP="003E5CA6">
      <w:pPr>
        <w:jc w:val="both"/>
        <w:rPr>
          <w:rFonts w:ascii="Arial" w:hAnsi="Arial" w:cs="Arial"/>
          <w:sz w:val="20"/>
          <w:szCs w:val="20"/>
        </w:rPr>
      </w:pPr>
      <w:r w:rsidRPr="003E5CA6">
        <w:rPr>
          <w:rFonts w:ascii="Arial" w:hAnsi="Arial" w:cs="Arial"/>
          <w:sz w:val="20"/>
          <w:szCs w:val="20"/>
        </w:rPr>
        <w:t xml:space="preserve">Previo a la adopción del presente acuerdo se ha propuesto aprobar un incremento de la asignación a los grupos municipales por la legislatura 2023/2027 con </w:t>
      </w:r>
      <w:r w:rsidR="00DF6A9A">
        <w:rPr>
          <w:rFonts w:ascii="Arial" w:hAnsi="Arial" w:cs="Arial"/>
          <w:sz w:val="20"/>
          <w:szCs w:val="20"/>
        </w:rPr>
        <w:t>los</w:t>
      </w:r>
      <w:r w:rsidRPr="003E5CA6">
        <w:rPr>
          <w:rFonts w:ascii="Arial" w:hAnsi="Arial" w:cs="Arial"/>
          <w:sz w:val="20"/>
          <w:szCs w:val="20"/>
        </w:rPr>
        <w:t xml:space="preserve"> siguientes importes:</w:t>
      </w:r>
    </w:p>
    <w:p w14:paraId="2960734A" w14:textId="77777777" w:rsidR="003E5CA6" w:rsidRPr="003E5CA6" w:rsidRDefault="003E5CA6" w:rsidP="00DF6A9A">
      <w:pPr>
        <w:spacing w:after="0" w:line="240" w:lineRule="auto"/>
        <w:jc w:val="both"/>
        <w:rPr>
          <w:rFonts w:ascii="Arial" w:hAnsi="Arial" w:cs="Arial"/>
          <w:sz w:val="20"/>
          <w:szCs w:val="20"/>
        </w:rPr>
      </w:pPr>
      <w:r w:rsidRPr="003E5CA6">
        <w:rPr>
          <w:rFonts w:ascii="Arial" w:hAnsi="Arial" w:cs="Arial"/>
          <w:sz w:val="20"/>
          <w:szCs w:val="20"/>
        </w:rPr>
        <w:t>a) 18,32 euros mensuales por cada regidor electo</w:t>
      </w:r>
    </w:p>
    <w:p w14:paraId="7433B3BF" w14:textId="77777777" w:rsidR="003E5CA6" w:rsidRDefault="003E5CA6" w:rsidP="00DF6A9A">
      <w:pPr>
        <w:spacing w:after="0" w:line="240" w:lineRule="auto"/>
        <w:jc w:val="both"/>
        <w:rPr>
          <w:rFonts w:ascii="Arial" w:hAnsi="Arial" w:cs="Arial"/>
          <w:sz w:val="20"/>
          <w:szCs w:val="20"/>
        </w:rPr>
      </w:pPr>
      <w:r w:rsidRPr="003E5CA6">
        <w:rPr>
          <w:rFonts w:ascii="Arial" w:hAnsi="Arial" w:cs="Arial"/>
          <w:sz w:val="20"/>
          <w:szCs w:val="20"/>
        </w:rPr>
        <w:t>b) 57,25 euros mensuales para cada grupo municipal</w:t>
      </w:r>
    </w:p>
    <w:p w14:paraId="08199114" w14:textId="77777777" w:rsidR="00DF6A9A" w:rsidRPr="003E5CA6" w:rsidRDefault="00DF6A9A" w:rsidP="00DF6A9A">
      <w:pPr>
        <w:spacing w:after="0" w:line="240" w:lineRule="auto"/>
        <w:jc w:val="both"/>
        <w:rPr>
          <w:rFonts w:ascii="Arial" w:hAnsi="Arial" w:cs="Arial"/>
          <w:sz w:val="20"/>
          <w:szCs w:val="20"/>
        </w:rPr>
      </w:pPr>
    </w:p>
    <w:p w14:paraId="7E83ACBB"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Estas retribuciones se aprueban en base al que dispone el artículo 73.3 de la ley 7/1985, de 2 de abril, reguladora de bases de Régimen Local (LLRBRL), la cual dispone que el Pleno municipal, con cargo a los presupuestos anuales podrá asignar a los grupos políticos municipales una dotación económica que tiene que tener un componente fijo, idéntico para todos los grupos y otra variable, en función del número de miembros de cada uno de ellos, dentro de los límites, si procede, de los establecidos en las leyes del presupuesto estatal y sin que se puedan destinar al pago de los salarios del personal de cualquier tipo al servicio de la corporación o a la adquisición de inmovilizado de carácter patrimonial. Los grupos políticos tendrán que llevar una contabilidad específica de la asignación, que estará disponible al Plenario de la Corporación, siempre que este lo soliciten.</w:t>
      </w:r>
    </w:p>
    <w:p w14:paraId="1C867600"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Tratándose esta asignación de un acto con contenido económico, se encuentra sujeto a control por parte de la intervención municipal y a remisión a la Base de datos Nacional de Subvenciones</w:t>
      </w:r>
    </w:p>
    <w:p w14:paraId="6D699F69"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El análisis de la naturaleza de los gastos y, por eso, la decisión de su remisión a las BDNS, corresponde al órgano responsable de la gestión de créditos. En cualquier caso, tratándose de entregas dinerarias sin contraprestación y en relación con lo dispuesto en el artículo 3.2 de la LGS (refiriéndose a las agencias y otras entidades de derecho público) y en la DA 16 (fundaciones públicas) y las modificaciones recogidas en el artículo 20.8 como consecuencia de la aprobación y entrada en vigor de la ley 15/2014, de 16 de septiembre, de racionalización del sector público y otras medidas de reforma administrativa, también tienen que ser comunicadas a la BDNS.</w:t>
      </w:r>
    </w:p>
    <w:p w14:paraId="08156EF1"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 xml:space="preserve">La documentación justificativa de la subvención tendrá que ponerse a disposición del plenario si este lo exige y librarla en todo caso a la intervención municipal. tiene que ser el propio Ayuntamiento quien en ejercicio de la potestad de autoorganización local fije los aspectos relativos a la justificación de las asignaciones, como por ejemplo la periodicidad de la justificación, siempre limitada a primeros de </w:t>
      </w:r>
      <w:r w:rsidRPr="003E5CA6">
        <w:rPr>
          <w:rFonts w:ascii="Arial" w:hAnsi="Arial" w:cs="Arial"/>
          <w:sz w:val="20"/>
          <w:szCs w:val="20"/>
        </w:rPr>
        <w:lastRenderedPageBreak/>
        <w:t>anualidad presupuestaria. En este sentido habrá que tener en cuenta que el año electoral, al finalizar la legislatura habría que realizar el cierre de la justificación de las asignaciones.</w:t>
      </w:r>
    </w:p>
    <w:p w14:paraId="394DC754" w14:textId="77777777" w:rsidR="003E5CA6" w:rsidRPr="003E5CA6" w:rsidRDefault="003E5CA6" w:rsidP="00DF6A9A">
      <w:pPr>
        <w:jc w:val="both"/>
        <w:rPr>
          <w:rFonts w:ascii="Arial" w:hAnsi="Arial" w:cs="Arial"/>
          <w:sz w:val="20"/>
          <w:szCs w:val="20"/>
        </w:rPr>
      </w:pPr>
      <w:r w:rsidRPr="003E5CA6">
        <w:rPr>
          <w:rFonts w:ascii="Arial" w:hAnsi="Arial" w:cs="Arial"/>
          <w:sz w:val="20"/>
          <w:szCs w:val="20"/>
        </w:rPr>
        <w:t>Dado que esta asignación, en virtud de su naturaleza está sujeta a justificación por parte de los receptores de las mismas, es pertinente regular determinados aspectos relativos a la documentación requerida y a las gasto elegibles como justificativas.</w:t>
      </w:r>
    </w:p>
    <w:p w14:paraId="77E4A8B2"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En virtud del que se ha expuesto, se procede a aprobar las estipulaciones que se propone que rijan la concesión de la ayuda y que se concreten en las siguientes:</w:t>
      </w:r>
    </w:p>
    <w:p w14:paraId="1A28A3EF"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PRIMERA.- IMPORTE DE LAS SUBVENCIONES</w:t>
      </w:r>
    </w:p>
    <w:tbl>
      <w:tblPr>
        <w:tblW w:w="8404" w:type="dxa"/>
        <w:tblInd w:w="80" w:type="dxa"/>
        <w:tblCellMar>
          <w:left w:w="70" w:type="dxa"/>
          <w:right w:w="70" w:type="dxa"/>
        </w:tblCellMar>
        <w:tblLook w:val="04A0" w:firstRow="1" w:lastRow="0" w:firstColumn="1" w:lastColumn="0" w:noHBand="0" w:noVBand="1"/>
      </w:tblPr>
      <w:tblGrid>
        <w:gridCol w:w="1252"/>
        <w:gridCol w:w="1155"/>
        <w:gridCol w:w="1155"/>
        <w:gridCol w:w="1341"/>
        <w:gridCol w:w="1341"/>
        <w:gridCol w:w="1155"/>
        <w:gridCol w:w="1155"/>
      </w:tblGrid>
      <w:tr w:rsidR="00DF6A9A" w14:paraId="71628054" w14:textId="77777777" w:rsidTr="00DF6A9A">
        <w:trPr>
          <w:trHeight w:val="765"/>
        </w:trPr>
        <w:tc>
          <w:tcPr>
            <w:tcW w:w="1204" w:type="dxa"/>
            <w:vMerge w:val="restart"/>
            <w:tcBorders>
              <w:top w:val="single" w:sz="8" w:space="0" w:color="auto"/>
              <w:left w:val="single" w:sz="8" w:space="0" w:color="auto"/>
              <w:bottom w:val="nil"/>
              <w:right w:val="single" w:sz="8" w:space="0" w:color="auto"/>
            </w:tcBorders>
            <w:shd w:val="clear" w:color="auto" w:fill="DAE9F8"/>
            <w:noWrap/>
            <w:vAlign w:val="center"/>
            <w:hideMark/>
          </w:tcPr>
          <w:p w14:paraId="58F0653B" w14:textId="4514010E" w:rsidR="00DF6A9A" w:rsidRDefault="00DF6A9A" w:rsidP="00061FFA">
            <w:pPr>
              <w:pStyle w:val="Normal00"/>
              <w:jc w:val="both"/>
              <w:rPr>
                <w:b/>
                <w:bCs/>
                <w:color w:val="000000"/>
                <w:szCs w:val="20"/>
                <w:lang w:val="es-ES"/>
              </w:rPr>
            </w:pPr>
            <w:r>
              <w:rPr>
                <w:b/>
                <w:bCs/>
                <w:color w:val="000000"/>
                <w:szCs w:val="20"/>
                <w:lang w:val="es-ES"/>
              </w:rPr>
              <w:t>GRUP</w:t>
            </w:r>
            <w:r>
              <w:rPr>
                <w:b/>
                <w:bCs/>
                <w:color w:val="000000"/>
                <w:szCs w:val="20"/>
                <w:lang w:val="es-ES"/>
              </w:rPr>
              <w:t>O</w:t>
            </w:r>
            <w:r>
              <w:rPr>
                <w:b/>
                <w:bCs/>
                <w:color w:val="000000"/>
                <w:szCs w:val="20"/>
                <w:lang w:val="es-ES"/>
              </w:rPr>
              <w:t xml:space="preserve"> MUNICIPAL</w:t>
            </w:r>
          </w:p>
        </w:tc>
        <w:tc>
          <w:tcPr>
            <w:tcW w:w="1155" w:type="dxa"/>
            <w:tcBorders>
              <w:top w:val="single" w:sz="8" w:space="0" w:color="auto"/>
              <w:left w:val="nil"/>
              <w:bottom w:val="nil"/>
              <w:right w:val="single" w:sz="8" w:space="0" w:color="auto"/>
            </w:tcBorders>
            <w:shd w:val="clear" w:color="auto" w:fill="DAE9F8"/>
            <w:vAlign w:val="center"/>
            <w:hideMark/>
          </w:tcPr>
          <w:p w14:paraId="196880EC" w14:textId="2B7945F6" w:rsidR="00DF6A9A" w:rsidRDefault="00DF6A9A" w:rsidP="00061FFA">
            <w:pPr>
              <w:pStyle w:val="Normal00"/>
              <w:jc w:val="both"/>
              <w:rPr>
                <w:b/>
                <w:bCs/>
                <w:color w:val="000000"/>
                <w:szCs w:val="20"/>
                <w:lang w:val="es-ES"/>
              </w:rPr>
            </w:pPr>
            <w:r>
              <w:rPr>
                <w:b/>
                <w:bCs/>
                <w:color w:val="000000"/>
                <w:szCs w:val="20"/>
                <w:lang w:val="es-ES"/>
              </w:rPr>
              <w:t>IMPORT</w:t>
            </w:r>
            <w:r>
              <w:rPr>
                <w:b/>
                <w:bCs/>
                <w:color w:val="000000"/>
                <w:szCs w:val="20"/>
                <w:lang w:val="es-ES"/>
              </w:rPr>
              <w:t>E</w:t>
            </w:r>
            <w:r>
              <w:rPr>
                <w:b/>
                <w:bCs/>
                <w:color w:val="000000"/>
                <w:szCs w:val="20"/>
                <w:lang w:val="es-ES"/>
              </w:rPr>
              <w:t xml:space="preserve"> MENSUAL</w:t>
            </w:r>
          </w:p>
        </w:tc>
        <w:tc>
          <w:tcPr>
            <w:tcW w:w="1155" w:type="dxa"/>
            <w:vMerge w:val="restart"/>
            <w:tcBorders>
              <w:top w:val="single" w:sz="8" w:space="0" w:color="auto"/>
              <w:left w:val="single" w:sz="8" w:space="0" w:color="auto"/>
              <w:bottom w:val="nil"/>
              <w:right w:val="single" w:sz="8" w:space="0" w:color="auto"/>
            </w:tcBorders>
            <w:shd w:val="clear" w:color="auto" w:fill="DAE9F8"/>
            <w:vAlign w:val="center"/>
            <w:hideMark/>
          </w:tcPr>
          <w:p w14:paraId="59269435" w14:textId="77777777" w:rsidR="00DF6A9A" w:rsidRDefault="00DF6A9A" w:rsidP="00061FFA">
            <w:pPr>
              <w:pStyle w:val="Normal00"/>
              <w:jc w:val="both"/>
              <w:rPr>
                <w:b/>
                <w:bCs/>
                <w:color w:val="000000"/>
                <w:szCs w:val="20"/>
                <w:lang w:val="es-ES"/>
              </w:rPr>
            </w:pPr>
            <w:r>
              <w:rPr>
                <w:b/>
                <w:bCs/>
                <w:color w:val="000000"/>
                <w:szCs w:val="20"/>
                <w:lang w:val="es-ES"/>
              </w:rPr>
              <w:t>TOTAL ANUAL</w:t>
            </w:r>
          </w:p>
        </w:tc>
        <w:tc>
          <w:tcPr>
            <w:tcW w:w="1290" w:type="dxa"/>
            <w:tcBorders>
              <w:top w:val="single" w:sz="8" w:space="0" w:color="auto"/>
              <w:left w:val="nil"/>
              <w:bottom w:val="nil"/>
              <w:right w:val="single" w:sz="8" w:space="0" w:color="auto"/>
            </w:tcBorders>
            <w:shd w:val="clear" w:color="auto" w:fill="DAE9F8"/>
            <w:vAlign w:val="center"/>
            <w:hideMark/>
          </w:tcPr>
          <w:p w14:paraId="3810911E" w14:textId="77777777" w:rsidR="00DF6A9A" w:rsidRDefault="00DF6A9A" w:rsidP="00061FFA">
            <w:pPr>
              <w:pStyle w:val="Normal00"/>
              <w:jc w:val="both"/>
              <w:rPr>
                <w:b/>
                <w:bCs/>
                <w:color w:val="000000"/>
                <w:szCs w:val="20"/>
                <w:lang w:val="es-ES"/>
              </w:rPr>
            </w:pPr>
            <w:r>
              <w:rPr>
                <w:b/>
                <w:bCs/>
                <w:color w:val="000000"/>
                <w:szCs w:val="20"/>
                <w:lang w:val="es-ES"/>
              </w:rPr>
              <w:t>NÚM DE</w:t>
            </w:r>
          </w:p>
        </w:tc>
        <w:tc>
          <w:tcPr>
            <w:tcW w:w="1290" w:type="dxa"/>
            <w:tcBorders>
              <w:top w:val="single" w:sz="8" w:space="0" w:color="auto"/>
              <w:left w:val="nil"/>
              <w:bottom w:val="nil"/>
              <w:right w:val="single" w:sz="8" w:space="0" w:color="auto"/>
            </w:tcBorders>
            <w:shd w:val="clear" w:color="auto" w:fill="DAE9F8"/>
            <w:vAlign w:val="center"/>
            <w:hideMark/>
          </w:tcPr>
          <w:p w14:paraId="6E9BF9E5" w14:textId="00544380" w:rsidR="00DF6A9A" w:rsidRDefault="00DF6A9A" w:rsidP="00061FFA">
            <w:pPr>
              <w:pStyle w:val="Normal00"/>
              <w:jc w:val="both"/>
              <w:rPr>
                <w:b/>
                <w:bCs/>
                <w:color w:val="000000"/>
                <w:szCs w:val="20"/>
                <w:lang w:val="es-ES"/>
              </w:rPr>
            </w:pPr>
            <w:r>
              <w:rPr>
                <w:b/>
                <w:bCs/>
                <w:color w:val="000000"/>
                <w:szCs w:val="20"/>
                <w:lang w:val="es-ES"/>
              </w:rPr>
              <w:t>IMPORT</w:t>
            </w:r>
            <w:r>
              <w:rPr>
                <w:b/>
                <w:bCs/>
                <w:color w:val="000000"/>
                <w:szCs w:val="20"/>
                <w:lang w:val="es-ES"/>
              </w:rPr>
              <w:t>E</w:t>
            </w:r>
            <w:r>
              <w:rPr>
                <w:b/>
                <w:bCs/>
                <w:color w:val="000000"/>
                <w:szCs w:val="20"/>
                <w:lang w:val="es-ES"/>
              </w:rPr>
              <w:t xml:space="preserve"> MENSUAL PER</w:t>
            </w:r>
          </w:p>
        </w:tc>
        <w:tc>
          <w:tcPr>
            <w:tcW w:w="1155" w:type="dxa"/>
            <w:vMerge w:val="restart"/>
            <w:tcBorders>
              <w:top w:val="single" w:sz="8" w:space="0" w:color="auto"/>
              <w:left w:val="single" w:sz="8" w:space="0" w:color="auto"/>
              <w:bottom w:val="nil"/>
              <w:right w:val="single" w:sz="8" w:space="0" w:color="auto"/>
            </w:tcBorders>
            <w:shd w:val="clear" w:color="auto" w:fill="DAE9F8"/>
            <w:vAlign w:val="center"/>
            <w:hideMark/>
          </w:tcPr>
          <w:p w14:paraId="70CEC9C3" w14:textId="77777777" w:rsidR="00DF6A9A" w:rsidRDefault="00DF6A9A" w:rsidP="00061FFA">
            <w:pPr>
              <w:pStyle w:val="Normal00"/>
              <w:jc w:val="both"/>
              <w:rPr>
                <w:b/>
                <w:bCs/>
                <w:color w:val="000000"/>
                <w:szCs w:val="20"/>
                <w:lang w:val="es-ES"/>
              </w:rPr>
            </w:pPr>
            <w:r>
              <w:rPr>
                <w:b/>
                <w:bCs/>
                <w:color w:val="000000"/>
                <w:szCs w:val="20"/>
                <w:lang w:val="es-ES"/>
              </w:rPr>
              <w:t>TOTAL ANUAL</w:t>
            </w:r>
          </w:p>
        </w:tc>
        <w:tc>
          <w:tcPr>
            <w:tcW w:w="1155" w:type="dxa"/>
            <w:tcBorders>
              <w:top w:val="single" w:sz="8" w:space="0" w:color="auto"/>
              <w:left w:val="nil"/>
              <w:bottom w:val="nil"/>
              <w:right w:val="single" w:sz="8" w:space="0" w:color="auto"/>
            </w:tcBorders>
            <w:shd w:val="clear" w:color="auto" w:fill="DAE9F8"/>
            <w:vAlign w:val="center"/>
            <w:hideMark/>
          </w:tcPr>
          <w:p w14:paraId="481F3C8B" w14:textId="77777777" w:rsidR="00DF6A9A" w:rsidRDefault="00DF6A9A" w:rsidP="00061FFA">
            <w:pPr>
              <w:pStyle w:val="Normal00"/>
              <w:jc w:val="both"/>
              <w:rPr>
                <w:b/>
                <w:bCs/>
                <w:color w:val="000000"/>
                <w:szCs w:val="20"/>
                <w:lang w:val="es-ES"/>
              </w:rPr>
            </w:pPr>
            <w:r>
              <w:rPr>
                <w:b/>
                <w:bCs/>
                <w:color w:val="000000"/>
                <w:szCs w:val="20"/>
                <w:lang w:val="es-ES"/>
              </w:rPr>
              <w:t>TOTAL ANUAL</w:t>
            </w:r>
          </w:p>
        </w:tc>
      </w:tr>
      <w:tr w:rsidR="00DF6A9A" w14:paraId="2850AEEC" w14:textId="77777777" w:rsidTr="00DF6A9A">
        <w:trPr>
          <w:trHeight w:val="300"/>
        </w:trPr>
        <w:tc>
          <w:tcPr>
            <w:tcW w:w="0" w:type="auto"/>
            <w:vMerge/>
            <w:tcBorders>
              <w:top w:val="single" w:sz="8" w:space="0" w:color="auto"/>
              <w:left w:val="single" w:sz="8" w:space="0" w:color="auto"/>
              <w:bottom w:val="nil"/>
              <w:right w:val="single" w:sz="8" w:space="0" w:color="auto"/>
            </w:tcBorders>
            <w:vAlign w:val="center"/>
            <w:hideMark/>
          </w:tcPr>
          <w:p w14:paraId="6AE1FC91" w14:textId="77777777" w:rsidR="00DF6A9A" w:rsidRDefault="00DF6A9A" w:rsidP="00061FFA">
            <w:pPr>
              <w:pStyle w:val="Normal00"/>
              <w:rPr>
                <w:b/>
                <w:bCs/>
                <w:color w:val="000000"/>
                <w:szCs w:val="20"/>
                <w:lang w:val="es-ES"/>
              </w:rPr>
            </w:pPr>
          </w:p>
        </w:tc>
        <w:tc>
          <w:tcPr>
            <w:tcW w:w="1155" w:type="dxa"/>
            <w:tcBorders>
              <w:top w:val="nil"/>
              <w:left w:val="nil"/>
              <w:bottom w:val="nil"/>
              <w:right w:val="single" w:sz="8" w:space="0" w:color="auto"/>
            </w:tcBorders>
            <w:shd w:val="clear" w:color="auto" w:fill="DAE9F8"/>
            <w:vAlign w:val="center"/>
            <w:hideMark/>
          </w:tcPr>
          <w:p w14:paraId="7AA32FCC" w14:textId="77777777" w:rsidR="00DF6A9A" w:rsidRDefault="00DF6A9A" w:rsidP="00061FFA">
            <w:pPr>
              <w:pStyle w:val="Normal00"/>
              <w:jc w:val="both"/>
              <w:rPr>
                <w:b/>
                <w:bCs/>
                <w:color w:val="000000"/>
                <w:szCs w:val="20"/>
                <w:lang w:val="es-ES"/>
              </w:rPr>
            </w:pPr>
            <w:r>
              <w:rPr>
                <w:b/>
                <w:bCs/>
                <w:color w:val="000000"/>
                <w:szCs w:val="20"/>
                <w:lang w:val="es-ES"/>
              </w:rPr>
              <w:t>GRUP</w:t>
            </w:r>
          </w:p>
        </w:tc>
        <w:tc>
          <w:tcPr>
            <w:tcW w:w="0" w:type="auto"/>
            <w:vMerge/>
            <w:tcBorders>
              <w:top w:val="single" w:sz="8" w:space="0" w:color="auto"/>
              <w:left w:val="single" w:sz="8" w:space="0" w:color="auto"/>
              <w:bottom w:val="nil"/>
              <w:right w:val="single" w:sz="8" w:space="0" w:color="auto"/>
            </w:tcBorders>
            <w:vAlign w:val="center"/>
            <w:hideMark/>
          </w:tcPr>
          <w:p w14:paraId="616D9F51" w14:textId="77777777" w:rsidR="00DF6A9A" w:rsidRDefault="00DF6A9A" w:rsidP="00061FFA">
            <w:pPr>
              <w:pStyle w:val="Normal00"/>
              <w:rPr>
                <w:b/>
                <w:bCs/>
                <w:color w:val="000000"/>
                <w:szCs w:val="20"/>
                <w:lang w:val="es-ES"/>
              </w:rPr>
            </w:pPr>
          </w:p>
        </w:tc>
        <w:tc>
          <w:tcPr>
            <w:tcW w:w="1290" w:type="dxa"/>
            <w:tcBorders>
              <w:top w:val="nil"/>
              <w:left w:val="nil"/>
              <w:bottom w:val="nil"/>
              <w:right w:val="single" w:sz="8" w:space="0" w:color="auto"/>
            </w:tcBorders>
            <w:shd w:val="clear" w:color="auto" w:fill="DAE9F8"/>
            <w:vAlign w:val="center"/>
            <w:hideMark/>
          </w:tcPr>
          <w:p w14:paraId="4585CA28" w14:textId="667DB9F8" w:rsidR="00DF6A9A" w:rsidRDefault="00DF6A9A" w:rsidP="00061FFA">
            <w:pPr>
              <w:pStyle w:val="Normal00"/>
              <w:jc w:val="both"/>
              <w:rPr>
                <w:b/>
                <w:bCs/>
                <w:color w:val="000000"/>
                <w:szCs w:val="20"/>
                <w:lang w:val="es-ES"/>
              </w:rPr>
            </w:pPr>
            <w:r>
              <w:rPr>
                <w:b/>
                <w:bCs/>
                <w:color w:val="000000"/>
                <w:szCs w:val="20"/>
                <w:lang w:val="es-ES"/>
              </w:rPr>
              <w:t>REGIDOR</w:t>
            </w:r>
            <w:r>
              <w:rPr>
                <w:b/>
                <w:bCs/>
                <w:color w:val="000000"/>
                <w:szCs w:val="20"/>
                <w:lang w:val="es-ES"/>
              </w:rPr>
              <w:t>E</w:t>
            </w:r>
            <w:r>
              <w:rPr>
                <w:b/>
                <w:bCs/>
                <w:color w:val="000000"/>
                <w:szCs w:val="20"/>
                <w:lang w:val="es-ES"/>
              </w:rPr>
              <w:t>S</w:t>
            </w:r>
          </w:p>
        </w:tc>
        <w:tc>
          <w:tcPr>
            <w:tcW w:w="1290" w:type="dxa"/>
            <w:tcBorders>
              <w:top w:val="nil"/>
              <w:left w:val="nil"/>
              <w:bottom w:val="nil"/>
              <w:right w:val="single" w:sz="8" w:space="0" w:color="auto"/>
            </w:tcBorders>
            <w:shd w:val="clear" w:color="auto" w:fill="DAE9F8"/>
            <w:vAlign w:val="center"/>
            <w:hideMark/>
          </w:tcPr>
          <w:p w14:paraId="38A9314E" w14:textId="77777777" w:rsidR="00DF6A9A" w:rsidRDefault="00DF6A9A" w:rsidP="00061FFA">
            <w:pPr>
              <w:pStyle w:val="Normal00"/>
              <w:jc w:val="both"/>
              <w:rPr>
                <w:b/>
                <w:bCs/>
                <w:color w:val="000000"/>
                <w:szCs w:val="20"/>
                <w:lang w:val="es-ES"/>
              </w:rPr>
            </w:pPr>
            <w:r>
              <w:rPr>
                <w:b/>
                <w:bCs/>
                <w:color w:val="000000"/>
                <w:szCs w:val="20"/>
                <w:lang w:val="es-ES"/>
              </w:rPr>
              <w:t>TOTAL</w:t>
            </w:r>
          </w:p>
        </w:tc>
        <w:tc>
          <w:tcPr>
            <w:tcW w:w="0" w:type="auto"/>
            <w:vMerge/>
            <w:tcBorders>
              <w:top w:val="single" w:sz="8" w:space="0" w:color="auto"/>
              <w:left w:val="single" w:sz="8" w:space="0" w:color="auto"/>
              <w:bottom w:val="nil"/>
              <w:right w:val="single" w:sz="8" w:space="0" w:color="auto"/>
            </w:tcBorders>
            <w:vAlign w:val="center"/>
            <w:hideMark/>
          </w:tcPr>
          <w:p w14:paraId="4DD54FD5" w14:textId="77777777" w:rsidR="00DF6A9A" w:rsidRDefault="00DF6A9A" w:rsidP="00061FFA">
            <w:pPr>
              <w:pStyle w:val="Normal00"/>
              <w:rPr>
                <w:b/>
                <w:bCs/>
                <w:color w:val="000000"/>
                <w:szCs w:val="20"/>
                <w:lang w:val="es-ES"/>
              </w:rPr>
            </w:pPr>
          </w:p>
        </w:tc>
        <w:tc>
          <w:tcPr>
            <w:tcW w:w="1155" w:type="dxa"/>
            <w:tcBorders>
              <w:top w:val="nil"/>
              <w:left w:val="nil"/>
              <w:bottom w:val="nil"/>
              <w:right w:val="single" w:sz="8" w:space="0" w:color="auto"/>
            </w:tcBorders>
            <w:shd w:val="clear" w:color="auto" w:fill="DAE9F8"/>
            <w:vAlign w:val="center"/>
            <w:hideMark/>
          </w:tcPr>
          <w:p w14:paraId="0B6477B2" w14:textId="77777777" w:rsidR="00DF6A9A" w:rsidRDefault="00DF6A9A" w:rsidP="00061FFA">
            <w:pPr>
              <w:pStyle w:val="Normal00"/>
              <w:jc w:val="both"/>
              <w:rPr>
                <w:b/>
                <w:bCs/>
                <w:color w:val="000000"/>
                <w:szCs w:val="20"/>
                <w:lang w:val="es-ES"/>
              </w:rPr>
            </w:pPr>
            <w:r>
              <w:rPr>
                <w:b/>
                <w:bCs/>
                <w:color w:val="000000"/>
                <w:szCs w:val="20"/>
                <w:lang w:val="es-ES"/>
              </w:rPr>
              <w:t xml:space="preserve"> </w:t>
            </w:r>
          </w:p>
        </w:tc>
      </w:tr>
      <w:tr w:rsidR="00DF6A9A" w14:paraId="36F3B0B1" w14:textId="77777777" w:rsidTr="00DF6A9A">
        <w:trPr>
          <w:trHeight w:val="300"/>
        </w:trPr>
        <w:tc>
          <w:tcPr>
            <w:tcW w:w="0" w:type="auto"/>
            <w:vMerge/>
            <w:tcBorders>
              <w:top w:val="single" w:sz="8" w:space="0" w:color="auto"/>
              <w:left w:val="single" w:sz="8" w:space="0" w:color="auto"/>
              <w:bottom w:val="nil"/>
              <w:right w:val="single" w:sz="8" w:space="0" w:color="auto"/>
            </w:tcBorders>
            <w:vAlign w:val="center"/>
            <w:hideMark/>
          </w:tcPr>
          <w:p w14:paraId="3A53639C" w14:textId="77777777" w:rsidR="00DF6A9A" w:rsidRDefault="00DF6A9A" w:rsidP="00061FFA">
            <w:pPr>
              <w:pStyle w:val="Normal00"/>
              <w:rPr>
                <w:b/>
                <w:bCs/>
                <w:color w:val="000000"/>
                <w:szCs w:val="20"/>
                <w:lang w:val="es-ES"/>
              </w:rPr>
            </w:pPr>
          </w:p>
        </w:tc>
        <w:tc>
          <w:tcPr>
            <w:tcW w:w="1155" w:type="dxa"/>
            <w:tcBorders>
              <w:top w:val="nil"/>
              <w:left w:val="nil"/>
              <w:bottom w:val="nil"/>
              <w:right w:val="single" w:sz="8" w:space="0" w:color="auto"/>
            </w:tcBorders>
            <w:shd w:val="clear" w:color="auto" w:fill="DAE9F8"/>
            <w:vAlign w:val="bottom"/>
            <w:hideMark/>
          </w:tcPr>
          <w:p w14:paraId="2C212347" w14:textId="77777777" w:rsidR="00DF6A9A" w:rsidRDefault="00DF6A9A" w:rsidP="00061FFA">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 </w:t>
            </w:r>
          </w:p>
        </w:tc>
        <w:tc>
          <w:tcPr>
            <w:tcW w:w="0" w:type="auto"/>
            <w:vMerge/>
            <w:tcBorders>
              <w:top w:val="single" w:sz="8" w:space="0" w:color="auto"/>
              <w:left w:val="single" w:sz="8" w:space="0" w:color="auto"/>
              <w:bottom w:val="nil"/>
              <w:right w:val="single" w:sz="8" w:space="0" w:color="auto"/>
            </w:tcBorders>
            <w:vAlign w:val="center"/>
            <w:hideMark/>
          </w:tcPr>
          <w:p w14:paraId="0E5318D6" w14:textId="77777777" w:rsidR="00DF6A9A" w:rsidRDefault="00DF6A9A" w:rsidP="00061FFA">
            <w:pPr>
              <w:pStyle w:val="Normal00"/>
              <w:rPr>
                <w:b/>
                <w:bCs/>
                <w:color w:val="000000"/>
                <w:szCs w:val="20"/>
                <w:lang w:val="es-ES"/>
              </w:rPr>
            </w:pPr>
          </w:p>
        </w:tc>
        <w:tc>
          <w:tcPr>
            <w:tcW w:w="1290" w:type="dxa"/>
            <w:tcBorders>
              <w:top w:val="nil"/>
              <w:left w:val="nil"/>
              <w:bottom w:val="nil"/>
              <w:right w:val="single" w:sz="8" w:space="0" w:color="auto"/>
            </w:tcBorders>
            <w:shd w:val="clear" w:color="auto" w:fill="DAE9F8"/>
            <w:vAlign w:val="bottom"/>
            <w:hideMark/>
          </w:tcPr>
          <w:p w14:paraId="24EC8C81" w14:textId="77777777" w:rsidR="00DF6A9A" w:rsidRDefault="00DF6A9A" w:rsidP="00061FFA">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 </w:t>
            </w:r>
          </w:p>
        </w:tc>
        <w:tc>
          <w:tcPr>
            <w:tcW w:w="1290" w:type="dxa"/>
            <w:tcBorders>
              <w:top w:val="nil"/>
              <w:left w:val="nil"/>
              <w:bottom w:val="nil"/>
              <w:right w:val="single" w:sz="8" w:space="0" w:color="auto"/>
            </w:tcBorders>
            <w:shd w:val="clear" w:color="auto" w:fill="DAE9F8"/>
            <w:vAlign w:val="center"/>
            <w:hideMark/>
          </w:tcPr>
          <w:p w14:paraId="21D704A3" w14:textId="3BAE4843" w:rsidR="00DF6A9A" w:rsidRDefault="00DF6A9A" w:rsidP="00061FFA">
            <w:pPr>
              <w:pStyle w:val="Normal00"/>
              <w:jc w:val="both"/>
              <w:rPr>
                <w:b/>
                <w:bCs/>
                <w:color w:val="000000"/>
                <w:szCs w:val="20"/>
                <w:lang w:val="es-ES"/>
              </w:rPr>
            </w:pPr>
            <w:r>
              <w:rPr>
                <w:b/>
                <w:bCs/>
                <w:color w:val="000000"/>
                <w:szCs w:val="20"/>
                <w:lang w:val="es-ES"/>
              </w:rPr>
              <w:t>REGIDOR</w:t>
            </w:r>
            <w:r>
              <w:rPr>
                <w:b/>
                <w:bCs/>
                <w:color w:val="000000"/>
                <w:szCs w:val="20"/>
                <w:lang w:val="es-ES"/>
              </w:rPr>
              <w:t>E</w:t>
            </w:r>
            <w:r>
              <w:rPr>
                <w:b/>
                <w:bCs/>
                <w:color w:val="000000"/>
                <w:szCs w:val="20"/>
                <w:lang w:val="es-ES"/>
              </w:rPr>
              <w:t>S</w:t>
            </w:r>
          </w:p>
        </w:tc>
        <w:tc>
          <w:tcPr>
            <w:tcW w:w="0" w:type="auto"/>
            <w:vMerge/>
            <w:tcBorders>
              <w:top w:val="single" w:sz="8" w:space="0" w:color="auto"/>
              <w:left w:val="single" w:sz="8" w:space="0" w:color="auto"/>
              <w:bottom w:val="nil"/>
              <w:right w:val="single" w:sz="8" w:space="0" w:color="auto"/>
            </w:tcBorders>
            <w:vAlign w:val="center"/>
            <w:hideMark/>
          </w:tcPr>
          <w:p w14:paraId="50D9978A" w14:textId="77777777" w:rsidR="00DF6A9A" w:rsidRDefault="00DF6A9A" w:rsidP="00061FFA">
            <w:pPr>
              <w:pStyle w:val="Normal00"/>
              <w:rPr>
                <w:b/>
                <w:bCs/>
                <w:color w:val="000000"/>
                <w:szCs w:val="20"/>
                <w:lang w:val="es-ES"/>
              </w:rPr>
            </w:pPr>
          </w:p>
        </w:tc>
        <w:tc>
          <w:tcPr>
            <w:tcW w:w="1155" w:type="dxa"/>
            <w:tcBorders>
              <w:top w:val="nil"/>
              <w:left w:val="nil"/>
              <w:bottom w:val="nil"/>
              <w:right w:val="single" w:sz="8" w:space="0" w:color="auto"/>
            </w:tcBorders>
            <w:shd w:val="clear" w:color="auto" w:fill="DAE9F8"/>
            <w:vAlign w:val="bottom"/>
            <w:hideMark/>
          </w:tcPr>
          <w:p w14:paraId="4697570F" w14:textId="77777777" w:rsidR="00DF6A9A" w:rsidRDefault="00DF6A9A" w:rsidP="00061FFA">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 </w:t>
            </w:r>
          </w:p>
        </w:tc>
      </w:tr>
      <w:tr w:rsidR="00DF6A9A" w14:paraId="0C4C3453" w14:textId="77777777" w:rsidTr="00DF6A9A">
        <w:trPr>
          <w:trHeight w:val="300"/>
        </w:trPr>
        <w:tc>
          <w:tcPr>
            <w:tcW w:w="1204" w:type="dxa"/>
            <w:tcBorders>
              <w:top w:val="single" w:sz="4" w:space="0" w:color="auto"/>
              <w:left w:val="single" w:sz="4" w:space="0" w:color="auto"/>
              <w:bottom w:val="single" w:sz="4" w:space="0" w:color="auto"/>
              <w:right w:val="single" w:sz="4" w:space="0" w:color="auto"/>
            </w:tcBorders>
            <w:noWrap/>
            <w:vAlign w:val="center"/>
            <w:hideMark/>
          </w:tcPr>
          <w:p w14:paraId="3DCE52C3" w14:textId="77777777" w:rsidR="00DF6A9A" w:rsidRDefault="00DF6A9A" w:rsidP="00061FFA">
            <w:pPr>
              <w:pStyle w:val="Normal00"/>
              <w:jc w:val="both"/>
              <w:rPr>
                <w:color w:val="000000"/>
                <w:szCs w:val="20"/>
                <w:lang w:val="es-ES"/>
              </w:rPr>
            </w:pPr>
            <w:r>
              <w:rPr>
                <w:color w:val="000000"/>
                <w:szCs w:val="20"/>
                <w:lang w:val="es-ES"/>
              </w:rPr>
              <w:t>PSC</w:t>
            </w:r>
          </w:p>
        </w:tc>
        <w:tc>
          <w:tcPr>
            <w:tcW w:w="1155" w:type="dxa"/>
            <w:tcBorders>
              <w:top w:val="single" w:sz="4" w:space="0" w:color="auto"/>
              <w:left w:val="nil"/>
              <w:bottom w:val="single" w:sz="4" w:space="0" w:color="auto"/>
              <w:right w:val="single" w:sz="4" w:space="0" w:color="auto"/>
            </w:tcBorders>
            <w:noWrap/>
            <w:vAlign w:val="center"/>
            <w:hideMark/>
          </w:tcPr>
          <w:p w14:paraId="2F49E23A" w14:textId="77777777" w:rsidR="00DF6A9A" w:rsidRDefault="00DF6A9A" w:rsidP="00061FFA">
            <w:pPr>
              <w:pStyle w:val="Normal00"/>
              <w:jc w:val="center"/>
              <w:rPr>
                <w:color w:val="000000"/>
                <w:szCs w:val="20"/>
                <w:lang w:val="es-ES"/>
              </w:rPr>
            </w:pPr>
            <w:r>
              <w:rPr>
                <w:color w:val="000000"/>
                <w:szCs w:val="20"/>
                <w:lang w:val="es-ES"/>
              </w:rPr>
              <w:t>57,25 €</w:t>
            </w:r>
          </w:p>
        </w:tc>
        <w:tc>
          <w:tcPr>
            <w:tcW w:w="1155" w:type="dxa"/>
            <w:tcBorders>
              <w:top w:val="single" w:sz="4" w:space="0" w:color="auto"/>
              <w:left w:val="nil"/>
              <w:bottom w:val="single" w:sz="4" w:space="0" w:color="auto"/>
              <w:right w:val="single" w:sz="4" w:space="0" w:color="auto"/>
            </w:tcBorders>
            <w:noWrap/>
            <w:vAlign w:val="center"/>
            <w:hideMark/>
          </w:tcPr>
          <w:p w14:paraId="40788750" w14:textId="77777777" w:rsidR="00DF6A9A" w:rsidRDefault="00DF6A9A" w:rsidP="00061FFA">
            <w:pPr>
              <w:pStyle w:val="Normal00"/>
              <w:jc w:val="center"/>
              <w:rPr>
                <w:color w:val="000000"/>
                <w:szCs w:val="20"/>
                <w:lang w:val="es-ES"/>
              </w:rPr>
            </w:pPr>
            <w:r>
              <w:rPr>
                <w:color w:val="000000"/>
                <w:szCs w:val="20"/>
                <w:lang w:val="es-ES"/>
              </w:rPr>
              <w:t>687 €</w:t>
            </w:r>
          </w:p>
        </w:tc>
        <w:tc>
          <w:tcPr>
            <w:tcW w:w="1290" w:type="dxa"/>
            <w:tcBorders>
              <w:top w:val="single" w:sz="4" w:space="0" w:color="auto"/>
              <w:left w:val="nil"/>
              <w:bottom w:val="single" w:sz="4" w:space="0" w:color="auto"/>
              <w:right w:val="single" w:sz="4" w:space="0" w:color="auto"/>
            </w:tcBorders>
            <w:noWrap/>
            <w:vAlign w:val="center"/>
            <w:hideMark/>
          </w:tcPr>
          <w:p w14:paraId="6AEBE366" w14:textId="77777777" w:rsidR="00DF6A9A" w:rsidRDefault="00DF6A9A" w:rsidP="00061FFA">
            <w:pPr>
              <w:pStyle w:val="Normal00"/>
              <w:jc w:val="center"/>
              <w:rPr>
                <w:color w:val="000000"/>
                <w:szCs w:val="20"/>
                <w:lang w:val="es-ES"/>
              </w:rPr>
            </w:pPr>
            <w:r>
              <w:rPr>
                <w:color w:val="000000"/>
                <w:szCs w:val="20"/>
                <w:lang w:val="es-ES"/>
              </w:rPr>
              <w:t>5</w:t>
            </w:r>
          </w:p>
        </w:tc>
        <w:tc>
          <w:tcPr>
            <w:tcW w:w="1290" w:type="dxa"/>
            <w:tcBorders>
              <w:top w:val="single" w:sz="4" w:space="0" w:color="auto"/>
              <w:left w:val="nil"/>
              <w:bottom w:val="single" w:sz="4" w:space="0" w:color="auto"/>
              <w:right w:val="single" w:sz="4" w:space="0" w:color="auto"/>
            </w:tcBorders>
            <w:noWrap/>
            <w:vAlign w:val="center"/>
            <w:hideMark/>
          </w:tcPr>
          <w:p w14:paraId="767FAA00" w14:textId="77777777" w:rsidR="00DF6A9A" w:rsidRDefault="00DF6A9A" w:rsidP="00061FFA">
            <w:pPr>
              <w:pStyle w:val="Normal00"/>
              <w:jc w:val="center"/>
              <w:rPr>
                <w:color w:val="000000"/>
                <w:szCs w:val="20"/>
                <w:lang w:val="es-ES"/>
              </w:rPr>
            </w:pPr>
            <w:r>
              <w:rPr>
                <w:color w:val="000000"/>
                <w:szCs w:val="20"/>
                <w:lang w:val="es-ES"/>
              </w:rPr>
              <w:t>18,32</w:t>
            </w:r>
          </w:p>
        </w:tc>
        <w:tc>
          <w:tcPr>
            <w:tcW w:w="1155" w:type="dxa"/>
            <w:tcBorders>
              <w:top w:val="single" w:sz="4" w:space="0" w:color="auto"/>
              <w:left w:val="nil"/>
              <w:bottom w:val="single" w:sz="4" w:space="0" w:color="auto"/>
              <w:right w:val="single" w:sz="4" w:space="0" w:color="auto"/>
            </w:tcBorders>
            <w:noWrap/>
            <w:vAlign w:val="center"/>
            <w:hideMark/>
          </w:tcPr>
          <w:p w14:paraId="1AA9BC36"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1099,2</w:t>
            </w:r>
          </w:p>
        </w:tc>
        <w:tc>
          <w:tcPr>
            <w:tcW w:w="1155" w:type="dxa"/>
            <w:tcBorders>
              <w:top w:val="single" w:sz="4" w:space="0" w:color="auto"/>
              <w:left w:val="nil"/>
              <w:bottom w:val="single" w:sz="4" w:space="0" w:color="auto"/>
              <w:right w:val="single" w:sz="4" w:space="0" w:color="auto"/>
            </w:tcBorders>
            <w:noWrap/>
            <w:vAlign w:val="center"/>
            <w:hideMark/>
          </w:tcPr>
          <w:p w14:paraId="7CA620FB"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1.786 €</w:t>
            </w:r>
          </w:p>
        </w:tc>
      </w:tr>
      <w:tr w:rsidR="00DF6A9A" w14:paraId="647063CF" w14:textId="77777777" w:rsidTr="00DF6A9A">
        <w:trPr>
          <w:trHeight w:val="300"/>
        </w:trPr>
        <w:tc>
          <w:tcPr>
            <w:tcW w:w="1204" w:type="dxa"/>
            <w:tcBorders>
              <w:top w:val="nil"/>
              <w:left w:val="single" w:sz="4" w:space="0" w:color="auto"/>
              <w:bottom w:val="single" w:sz="4" w:space="0" w:color="auto"/>
              <w:right w:val="single" w:sz="4" w:space="0" w:color="auto"/>
            </w:tcBorders>
            <w:noWrap/>
            <w:vAlign w:val="center"/>
            <w:hideMark/>
          </w:tcPr>
          <w:p w14:paraId="6280006F" w14:textId="77777777" w:rsidR="00DF6A9A" w:rsidRDefault="00DF6A9A" w:rsidP="00061FFA">
            <w:pPr>
              <w:pStyle w:val="Normal00"/>
              <w:jc w:val="both"/>
              <w:rPr>
                <w:color w:val="000000"/>
                <w:szCs w:val="20"/>
                <w:lang w:val="es-ES"/>
              </w:rPr>
            </w:pPr>
            <w:r>
              <w:rPr>
                <w:color w:val="000000"/>
                <w:szCs w:val="20"/>
                <w:lang w:val="es-ES"/>
              </w:rPr>
              <w:t>JuntsxCat</w:t>
            </w:r>
          </w:p>
        </w:tc>
        <w:tc>
          <w:tcPr>
            <w:tcW w:w="1155" w:type="dxa"/>
            <w:tcBorders>
              <w:top w:val="nil"/>
              <w:left w:val="nil"/>
              <w:bottom w:val="single" w:sz="4" w:space="0" w:color="auto"/>
              <w:right w:val="single" w:sz="4" w:space="0" w:color="auto"/>
            </w:tcBorders>
            <w:noWrap/>
            <w:vAlign w:val="center"/>
            <w:hideMark/>
          </w:tcPr>
          <w:p w14:paraId="639D8993" w14:textId="77777777" w:rsidR="00DF6A9A" w:rsidRDefault="00DF6A9A" w:rsidP="00061FFA">
            <w:pPr>
              <w:pStyle w:val="Normal00"/>
              <w:jc w:val="center"/>
              <w:rPr>
                <w:color w:val="000000"/>
                <w:szCs w:val="20"/>
                <w:lang w:val="es-ES"/>
              </w:rPr>
            </w:pPr>
            <w:r>
              <w:rPr>
                <w:color w:val="000000"/>
                <w:szCs w:val="20"/>
                <w:lang w:val="es-ES"/>
              </w:rPr>
              <w:t>57,25 €</w:t>
            </w:r>
          </w:p>
        </w:tc>
        <w:tc>
          <w:tcPr>
            <w:tcW w:w="1155" w:type="dxa"/>
            <w:tcBorders>
              <w:top w:val="nil"/>
              <w:left w:val="nil"/>
              <w:bottom w:val="single" w:sz="4" w:space="0" w:color="auto"/>
              <w:right w:val="single" w:sz="4" w:space="0" w:color="auto"/>
            </w:tcBorders>
            <w:noWrap/>
            <w:vAlign w:val="center"/>
            <w:hideMark/>
          </w:tcPr>
          <w:p w14:paraId="2DB3B1C8" w14:textId="77777777" w:rsidR="00DF6A9A" w:rsidRDefault="00DF6A9A" w:rsidP="00061FFA">
            <w:pPr>
              <w:pStyle w:val="Normal00"/>
              <w:jc w:val="center"/>
              <w:rPr>
                <w:color w:val="000000"/>
                <w:szCs w:val="20"/>
                <w:lang w:val="es-ES"/>
              </w:rPr>
            </w:pPr>
            <w:r>
              <w:rPr>
                <w:color w:val="000000"/>
                <w:szCs w:val="20"/>
                <w:lang w:val="es-ES"/>
              </w:rPr>
              <w:t>687 €</w:t>
            </w:r>
          </w:p>
        </w:tc>
        <w:tc>
          <w:tcPr>
            <w:tcW w:w="1290" w:type="dxa"/>
            <w:tcBorders>
              <w:top w:val="nil"/>
              <w:left w:val="nil"/>
              <w:bottom w:val="single" w:sz="4" w:space="0" w:color="auto"/>
              <w:right w:val="single" w:sz="4" w:space="0" w:color="auto"/>
            </w:tcBorders>
            <w:noWrap/>
            <w:vAlign w:val="center"/>
            <w:hideMark/>
          </w:tcPr>
          <w:p w14:paraId="61B81647" w14:textId="77777777" w:rsidR="00DF6A9A" w:rsidRDefault="00DF6A9A" w:rsidP="00061FFA">
            <w:pPr>
              <w:pStyle w:val="Normal00"/>
              <w:jc w:val="center"/>
              <w:rPr>
                <w:color w:val="000000"/>
                <w:szCs w:val="20"/>
                <w:lang w:val="es-ES"/>
              </w:rPr>
            </w:pPr>
            <w:r>
              <w:rPr>
                <w:color w:val="000000"/>
                <w:szCs w:val="20"/>
                <w:lang w:val="es-ES"/>
              </w:rPr>
              <w:t>2</w:t>
            </w:r>
          </w:p>
        </w:tc>
        <w:tc>
          <w:tcPr>
            <w:tcW w:w="1290" w:type="dxa"/>
            <w:tcBorders>
              <w:top w:val="nil"/>
              <w:left w:val="nil"/>
              <w:bottom w:val="single" w:sz="4" w:space="0" w:color="auto"/>
              <w:right w:val="single" w:sz="4" w:space="0" w:color="auto"/>
            </w:tcBorders>
            <w:noWrap/>
            <w:vAlign w:val="center"/>
            <w:hideMark/>
          </w:tcPr>
          <w:p w14:paraId="6E3B8CB7" w14:textId="77777777" w:rsidR="00DF6A9A" w:rsidRDefault="00DF6A9A" w:rsidP="00061FFA">
            <w:pPr>
              <w:pStyle w:val="Normal00"/>
              <w:jc w:val="center"/>
              <w:rPr>
                <w:color w:val="000000"/>
                <w:szCs w:val="20"/>
                <w:lang w:val="es-ES"/>
              </w:rPr>
            </w:pPr>
            <w:r>
              <w:rPr>
                <w:color w:val="000000"/>
                <w:szCs w:val="20"/>
                <w:lang w:val="es-ES"/>
              </w:rPr>
              <w:t>18,32</w:t>
            </w:r>
          </w:p>
        </w:tc>
        <w:tc>
          <w:tcPr>
            <w:tcW w:w="1155" w:type="dxa"/>
            <w:tcBorders>
              <w:top w:val="nil"/>
              <w:left w:val="nil"/>
              <w:bottom w:val="single" w:sz="4" w:space="0" w:color="auto"/>
              <w:right w:val="single" w:sz="4" w:space="0" w:color="auto"/>
            </w:tcBorders>
            <w:noWrap/>
            <w:vAlign w:val="center"/>
            <w:hideMark/>
          </w:tcPr>
          <w:p w14:paraId="7D922A09"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439,68</w:t>
            </w:r>
          </w:p>
        </w:tc>
        <w:tc>
          <w:tcPr>
            <w:tcW w:w="1155" w:type="dxa"/>
            <w:tcBorders>
              <w:top w:val="nil"/>
              <w:left w:val="nil"/>
              <w:bottom w:val="single" w:sz="4" w:space="0" w:color="auto"/>
              <w:right w:val="single" w:sz="4" w:space="0" w:color="auto"/>
            </w:tcBorders>
            <w:noWrap/>
            <w:vAlign w:val="center"/>
            <w:hideMark/>
          </w:tcPr>
          <w:p w14:paraId="6B63884A"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1.127 €</w:t>
            </w:r>
          </w:p>
        </w:tc>
      </w:tr>
      <w:tr w:rsidR="00DF6A9A" w14:paraId="71EAB0AA" w14:textId="77777777" w:rsidTr="00DF6A9A">
        <w:trPr>
          <w:trHeight w:val="300"/>
        </w:trPr>
        <w:tc>
          <w:tcPr>
            <w:tcW w:w="1204" w:type="dxa"/>
            <w:tcBorders>
              <w:top w:val="nil"/>
              <w:left w:val="single" w:sz="4" w:space="0" w:color="auto"/>
              <w:bottom w:val="single" w:sz="4" w:space="0" w:color="auto"/>
              <w:right w:val="single" w:sz="4" w:space="0" w:color="auto"/>
            </w:tcBorders>
            <w:noWrap/>
            <w:vAlign w:val="bottom"/>
            <w:hideMark/>
          </w:tcPr>
          <w:p w14:paraId="46B1EFD0" w14:textId="77777777" w:rsidR="00DF6A9A" w:rsidRDefault="00DF6A9A" w:rsidP="00061FFA">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ERC</w:t>
            </w:r>
          </w:p>
        </w:tc>
        <w:tc>
          <w:tcPr>
            <w:tcW w:w="1155" w:type="dxa"/>
            <w:tcBorders>
              <w:top w:val="nil"/>
              <w:left w:val="nil"/>
              <w:bottom w:val="single" w:sz="4" w:space="0" w:color="auto"/>
              <w:right w:val="single" w:sz="4" w:space="0" w:color="auto"/>
            </w:tcBorders>
            <w:noWrap/>
            <w:vAlign w:val="center"/>
            <w:hideMark/>
          </w:tcPr>
          <w:p w14:paraId="3349E2D1" w14:textId="77777777" w:rsidR="00DF6A9A" w:rsidRDefault="00DF6A9A" w:rsidP="00061FFA">
            <w:pPr>
              <w:pStyle w:val="Normal00"/>
              <w:jc w:val="center"/>
              <w:rPr>
                <w:color w:val="000000"/>
                <w:szCs w:val="20"/>
                <w:lang w:val="es-ES"/>
              </w:rPr>
            </w:pPr>
            <w:r>
              <w:rPr>
                <w:color w:val="000000"/>
                <w:szCs w:val="20"/>
                <w:lang w:val="es-ES"/>
              </w:rPr>
              <w:t>57,25 €</w:t>
            </w:r>
          </w:p>
        </w:tc>
        <w:tc>
          <w:tcPr>
            <w:tcW w:w="1155" w:type="dxa"/>
            <w:tcBorders>
              <w:top w:val="nil"/>
              <w:left w:val="nil"/>
              <w:bottom w:val="single" w:sz="4" w:space="0" w:color="auto"/>
              <w:right w:val="single" w:sz="4" w:space="0" w:color="auto"/>
            </w:tcBorders>
            <w:noWrap/>
            <w:vAlign w:val="center"/>
            <w:hideMark/>
          </w:tcPr>
          <w:p w14:paraId="348F471D" w14:textId="77777777" w:rsidR="00DF6A9A" w:rsidRDefault="00DF6A9A" w:rsidP="00061FFA">
            <w:pPr>
              <w:pStyle w:val="Normal00"/>
              <w:jc w:val="center"/>
              <w:rPr>
                <w:color w:val="000000"/>
                <w:szCs w:val="20"/>
                <w:lang w:val="es-ES"/>
              </w:rPr>
            </w:pPr>
            <w:r>
              <w:rPr>
                <w:color w:val="000000"/>
                <w:szCs w:val="20"/>
                <w:lang w:val="es-ES"/>
              </w:rPr>
              <w:t>687 €</w:t>
            </w:r>
          </w:p>
        </w:tc>
        <w:tc>
          <w:tcPr>
            <w:tcW w:w="1290" w:type="dxa"/>
            <w:tcBorders>
              <w:top w:val="nil"/>
              <w:left w:val="nil"/>
              <w:bottom w:val="single" w:sz="4" w:space="0" w:color="auto"/>
              <w:right w:val="single" w:sz="4" w:space="0" w:color="auto"/>
            </w:tcBorders>
            <w:noWrap/>
            <w:vAlign w:val="center"/>
            <w:hideMark/>
          </w:tcPr>
          <w:p w14:paraId="77A7FF8B"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3</w:t>
            </w:r>
          </w:p>
        </w:tc>
        <w:tc>
          <w:tcPr>
            <w:tcW w:w="1290" w:type="dxa"/>
            <w:tcBorders>
              <w:top w:val="nil"/>
              <w:left w:val="nil"/>
              <w:bottom w:val="single" w:sz="4" w:space="0" w:color="auto"/>
              <w:right w:val="single" w:sz="4" w:space="0" w:color="auto"/>
            </w:tcBorders>
            <w:noWrap/>
            <w:vAlign w:val="center"/>
            <w:hideMark/>
          </w:tcPr>
          <w:p w14:paraId="030379CD" w14:textId="77777777" w:rsidR="00DF6A9A" w:rsidRDefault="00DF6A9A" w:rsidP="00061FFA">
            <w:pPr>
              <w:pStyle w:val="Normal00"/>
              <w:jc w:val="center"/>
              <w:rPr>
                <w:color w:val="000000"/>
                <w:szCs w:val="20"/>
                <w:lang w:val="es-ES"/>
              </w:rPr>
            </w:pPr>
            <w:r>
              <w:rPr>
                <w:color w:val="000000"/>
                <w:szCs w:val="20"/>
                <w:lang w:val="es-ES"/>
              </w:rPr>
              <w:t>18,32</w:t>
            </w:r>
          </w:p>
        </w:tc>
        <w:tc>
          <w:tcPr>
            <w:tcW w:w="1155" w:type="dxa"/>
            <w:tcBorders>
              <w:top w:val="nil"/>
              <w:left w:val="nil"/>
              <w:bottom w:val="single" w:sz="4" w:space="0" w:color="auto"/>
              <w:right w:val="single" w:sz="4" w:space="0" w:color="auto"/>
            </w:tcBorders>
            <w:noWrap/>
            <w:vAlign w:val="center"/>
            <w:hideMark/>
          </w:tcPr>
          <w:p w14:paraId="37645C27"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659,52</w:t>
            </w:r>
          </w:p>
        </w:tc>
        <w:tc>
          <w:tcPr>
            <w:tcW w:w="1155" w:type="dxa"/>
            <w:tcBorders>
              <w:top w:val="nil"/>
              <w:left w:val="nil"/>
              <w:bottom w:val="single" w:sz="4" w:space="0" w:color="auto"/>
              <w:right w:val="single" w:sz="4" w:space="0" w:color="auto"/>
            </w:tcBorders>
            <w:noWrap/>
            <w:vAlign w:val="center"/>
            <w:hideMark/>
          </w:tcPr>
          <w:p w14:paraId="2030243B"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1.347 €</w:t>
            </w:r>
          </w:p>
        </w:tc>
      </w:tr>
      <w:tr w:rsidR="00DF6A9A" w14:paraId="07C3CB34" w14:textId="77777777" w:rsidTr="00DF6A9A">
        <w:trPr>
          <w:trHeight w:val="300"/>
        </w:trPr>
        <w:tc>
          <w:tcPr>
            <w:tcW w:w="1204" w:type="dxa"/>
            <w:tcBorders>
              <w:top w:val="nil"/>
              <w:left w:val="single" w:sz="4" w:space="0" w:color="auto"/>
              <w:bottom w:val="single" w:sz="4" w:space="0" w:color="auto"/>
              <w:right w:val="single" w:sz="4" w:space="0" w:color="auto"/>
            </w:tcBorders>
            <w:noWrap/>
            <w:vAlign w:val="bottom"/>
            <w:hideMark/>
          </w:tcPr>
          <w:p w14:paraId="538863AA" w14:textId="77777777" w:rsidR="00DF6A9A" w:rsidRDefault="00DF6A9A" w:rsidP="00061FFA">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SDP</w:t>
            </w:r>
          </w:p>
        </w:tc>
        <w:tc>
          <w:tcPr>
            <w:tcW w:w="1155" w:type="dxa"/>
            <w:tcBorders>
              <w:top w:val="nil"/>
              <w:left w:val="nil"/>
              <w:bottom w:val="single" w:sz="4" w:space="0" w:color="auto"/>
              <w:right w:val="single" w:sz="4" w:space="0" w:color="auto"/>
            </w:tcBorders>
            <w:noWrap/>
            <w:vAlign w:val="center"/>
            <w:hideMark/>
          </w:tcPr>
          <w:p w14:paraId="32645EFA" w14:textId="77777777" w:rsidR="00DF6A9A" w:rsidRDefault="00DF6A9A" w:rsidP="00061FFA">
            <w:pPr>
              <w:pStyle w:val="Normal00"/>
              <w:jc w:val="center"/>
              <w:rPr>
                <w:color w:val="000000"/>
                <w:szCs w:val="20"/>
                <w:lang w:val="es-ES"/>
              </w:rPr>
            </w:pPr>
            <w:r>
              <w:rPr>
                <w:color w:val="000000"/>
                <w:szCs w:val="20"/>
                <w:lang w:val="es-ES"/>
              </w:rPr>
              <w:t>57,25 €</w:t>
            </w:r>
          </w:p>
        </w:tc>
        <w:tc>
          <w:tcPr>
            <w:tcW w:w="1155" w:type="dxa"/>
            <w:tcBorders>
              <w:top w:val="nil"/>
              <w:left w:val="nil"/>
              <w:bottom w:val="single" w:sz="4" w:space="0" w:color="auto"/>
              <w:right w:val="single" w:sz="4" w:space="0" w:color="auto"/>
            </w:tcBorders>
            <w:noWrap/>
            <w:vAlign w:val="center"/>
            <w:hideMark/>
          </w:tcPr>
          <w:p w14:paraId="4F9C7E14" w14:textId="77777777" w:rsidR="00DF6A9A" w:rsidRDefault="00DF6A9A" w:rsidP="00061FFA">
            <w:pPr>
              <w:pStyle w:val="Normal00"/>
              <w:jc w:val="center"/>
              <w:rPr>
                <w:color w:val="000000"/>
                <w:szCs w:val="20"/>
                <w:lang w:val="es-ES"/>
              </w:rPr>
            </w:pPr>
            <w:r>
              <w:rPr>
                <w:color w:val="000000"/>
                <w:szCs w:val="20"/>
                <w:lang w:val="es-ES"/>
              </w:rPr>
              <w:t>687 €</w:t>
            </w:r>
          </w:p>
        </w:tc>
        <w:tc>
          <w:tcPr>
            <w:tcW w:w="1290" w:type="dxa"/>
            <w:tcBorders>
              <w:top w:val="nil"/>
              <w:left w:val="nil"/>
              <w:bottom w:val="single" w:sz="4" w:space="0" w:color="auto"/>
              <w:right w:val="single" w:sz="4" w:space="0" w:color="auto"/>
            </w:tcBorders>
            <w:noWrap/>
            <w:vAlign w:val="center"/>
            <w:hideMark/>
          </w:tcPr>
          <w:p w14:paraId="419D9643"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w:t>
            </w:r>
          </w:p>
        </w:tc>
        <w:tc>
          <w:tcPr>
            <w:tcW w:w="1290" w:type="dxa"/>
            <w:tcBorders>
              <w:top w:val="nil"/>
              <w:left w:val="nil"/>
              <w:bottom w:val="single" w:sz="4" w:space="0" w:color="auto"/>
              <w:right w:val="single" w:sz="4" w:space="0" w:color="auto"/>
            </w:tcBorders>
            <w:noWrap/>
            <w:vAlign w:val="center"/>
            <w:hideMark/>
          </w:tcPr>
          <w:p w14:paraId="559A6FBD" w14:textId="77777777" w:rsidR="00DF6A9A" w:rsidRDefault="00DF6A9A" w:rsidP="00061FFA">
            <w:pPr>
              <w:pStyle w:val="Normal00"/>
              <w:jc w:val="center"/>
              <w:rPr>
                <w:color w:val="000000"/>
                <w:szCs w:val="20"/>
                <w:lang w:val="es-ES"/>
              </w:rPr>
            </w:pPr>
            <w:r>
              <w:rPr>
                <w:color w:val="000000"/>
                <w:szCs w:val="20"/>
                <w:lang w:val="es-ES"/>
              </w:rPr>
              <w:t>18,32</w:t>
            </w:r>
          </w:p>
        </w:tc>
        <w:tc>
          <w:tcPr>
            <w:tcW w:w="1155" w:type="dxa"/>
            <w:tcBorders>
              <w:top w:val="nil"/>
              <w:left w:val="nil"/>
              <w:bottom w:val="single" w:sz="4" w:space="0" w:color="auto"/>
              <w:right w:val="single" w:sz="4" w:space="0" w:color="auto"/>
            </w:tcBorders>
            <w:noWrap/>
            <w:vAlign w:val="center"/>
            <w:hideMark/>
          </w:tcPr>
          <w:p w14:paraId="20BD98FA"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219,84</w:t>
            </w:r>
          </w:p>
        </w:tc>
        <w:tc>
          <w:tcPr>
            <w:tcW w:w="1155" w:type="dxa"/>
            <w:tcBorders>
              <w:top w:val="nil"/>
              <w:left w:val="nil"/>
              <w:bottom w:val="single" w:sz="4" w:space="0" w:color="auto"/>
              <w:right w:val="single" w:sz="4" w:space="0" w:color="auto"/>
            </w:tcBorders>
            <w:noWrap/>
            <w:vAlign w:val="center"/>
            <w:hideMark/>
          </w:tcPr>
          <w:p w14:paraId="24A27734"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907 €</w:t>
            </w:r>
          </w:p>
        </w:tc>
      </w:tr>
      <w:tr w:rsidR="00DF6A9A" w14:paraId="36FB8F55" w14:textId="77777777" w:rsidTr="00DF6A9A">
        <w:trPr>
          <w:trHeight w:val="300"/>
        </w:trPr>
        <w:tc>
          <w:tcPr>
            <w:tcW w:w="1204" w:type="dxa"/>
            <w:tcBorders>
              <w:top w:val="nil"/>
              <w:left w:val="single" w:sz="4" w:space="0" w:color="auto"/>
              <w:bottom w:val="single" w:sz="4" w:space="0" w:color="auto"/>
              <w:right w:val="single" w:sz="4" w:space="0" w:color="auto"/>
            </w:tcBorders>
            <w:noWrap/>
            <w:vAlign w:val="bottom"/>
            <w:hideMark/>
          </w:tcPr>
          <w:p w14:paraId="7D573E0A" w14:textId="77777777" w:rsidR="00DF6A9A" w:rsidRDefault="00DF6A9A" w:rsidP="00061FFA">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La Pac</w:t>
            </w:r>
          </w:p>
        </w:tc>
        <w:tc>
          <w:tcPr>
            <w:tcW w:w="1155" w:type="dxa"/>
            <w:tcBorders>
              <w:top w:val="nil"/>
              <w:left w:val="nil"/>
              <w:bottom w:val="single" w:sz="4" w:space="0" w:color="auto"/>
              <w:right w:val="single" w:sz="4" w:space="0" w:color="auto"/>
            </w:tcBorders>
            <w:noWrap/>
            <w:vAlign w:val="center"/>
            <w:hideMark/>
          </w:tcPr>
          <w:p w14:paraId="16F3EFA9" w14:textId="77777777" w:rsidR="00DF6A9A" w:rsidRDefault="00DF6A9A" w:rsidP="00061FFA">
            <w:pPr>
              <w:pStyle w:val="Normal00"/>
              <w:jc w:val="center"/>
              <w:rPr>
                <w:color w:val="000000"/>
                <w:szCs w:val="20"/>
                <w:lang w:val="es-ES"/>
              </w:rPr>
            </w:pPr>
            <w:r>
              <w:rPr>
                <w:color w:val="000000"/>
                <w:szCs w:val="20"/>
                <w:lang w:val="es-ES"/>
              </w:rPr>
              <w:t>57,25 €</w:t>
            </w:r>
          </w:p>
        </w:tc>
        <w:tc>
          <w:tcPr>
            <w:tcW w:w="1155" w:type="dxa"/>
            <w:tcBorders>
              <w:top w:val="nil"/>
              <w:left w:val="nil"/>
              <w:bottom w:val="single" w:sz="4" w:space="0" w:color="auto"/>
              <w:right w:val="single" w:sz="4" w:space="0" w:color="auto"/>
            </w:tcBorders>
            <w:noWrap/>
            <w:vAlign w:val="center"/>
            <w:hideMark/>
          </w:tcPr>
          <w:p w14:paraId="273DDAC5" w14:textId="77777777" w:rsidR="00DF6A9A" w:rsidRDefault="00DF6A9A" w:rsidP="00061FFA">
            <w:pPr>
              <w:pStyle w:val="Normal00"/>
              <w:jc w:val="center"/>
              <w:rPr>
                <w:color w:val="000000"/>
                <w:szCs w:val="20"/>
                <w:lang w:val="es-ES"/>
              </w:rPr>
            </w:pPr>
            <w:r>
              <w:rPr>
                <w:color w:val="000000"/>
                <w:szCs w:val="20"/>
                <w:lang w:val="es-ES"/>
              </w:rPr>
              <w:t>687 €</w:t>
            </w:r>
          </w:p>
        </w:tc>
        <w:tc>
          <w:tcPr>
            <w:tcW w:w="1290" w:type="dxa"/>
            <w:tcBorders>
              <w:top w:val="nil"/>
              <w:left w:val="nil"/>
              <w:bottom w:val="single" w:sz="4" w:space="0" w:color="auto"/>
              <w:right w:val="single" w:sz="4" w:space="0" w:color="auto"/>
            </w:tcBorders>
            <w:noWrap/>
            <w:vAlign w:val="center"/>
            <w:hideMark/>
          </w:tcPr>
          <w:p w14:paraId="0AFE9023"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w:t>
            </w:r>
          </w:p>
        </w:tc>
        <w:tc>
          <w:tcPr>
            <w:tcW w:w="1290" w:type="dxa"/>
            <w:tcBorders>
              <w:top w:val="nil"/>
              <w:left w:val="nil"/>
              <w:bottom w:val="single" w:sz="4" w:space="0" w:color="auto"/>
              <w:right w:val="single" w:sz="4" w:space="0" w:color="auto"/>
            </w:tcBorders>
            <w:noWrap/>
            <w:vAlign w:val="center"/>
            <w:hideMark/>
          </w:tcPr>
          <w:p w14:paraId="62EC36A6" w14:textId="77777777" w:rsidR="00DF6A9A" w:rsidRDefault="00DF6A9A" w:rsidP="00061FFA">
            <w:pPr>
              <w:pStyle w:val="Normal00"/>
              <w:jc w:val="center"/>
              <w:rPr>
                <w:color w:val="000000"/>
                <w:szCs w:val="20"/>
                <w:lang w:val="es-ES"/>
              </w:rPr>
            </w:pPr>
            <w:r>
              <w:rPr>
                <w:color w:val="000000"/>
                <w:szCs w:val="20"/>
                <w:lang w:val="es-ES"/>
              </w:rPr>
              <w:t>18,32</w:t>
            </w:r>
          </w:p>
        </w:tc>
        <w:tc>
          <w:tcPr>
            <w:tcW w:w="1155" w:type="dxa"/>
            <w:tcBorders>
              <w:top w:val="nil"/>
              <w:left w:val="nil"/>
              <w:bottom w:val="single" w:sz="4" w:space="0" w:color="auto"/>
              <w:right w:val="single" w:sz="4" w:space="0" w:color="auto"/>
            </w:tcBorders>
            <w:noWrap/>
            <w:vAlign w:val="center"/>
            <w:hideMark/>
          </w:tcPr>
          <w:p w14:paraId="1AF97764"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219,84</w:t>
            </w:r>
          </w:p>
        </w:tc>
        <w:tc>
          <w:tcPr>
            <w:tcW w:w="1155" w:type="dxa"/>
            <w:tcBorders>
              <w:top w:val="nil"/>
              <w:left w:val="nil"/>
              <w:bottom w:val="single" w:sz="4" w:space="0" w:color="auto"/>
              <w:right w:val="single" w:sz="4" w:space="0" w:color="auto"/>
            </w:tcBorders>
            <w:noWrap/>
            <w:vAlign w:val="center"/>
            <w:hideMark/>
          </w:tcPr>
          <w:p w14:paraId="6F65FF2F"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907 €</w:t>
            </w:r>
          </w:p>
        </w:tc>
      </w:tr>
      <w:tr w:rsidR="00DF6A9A" w14:paraId="661B6C3B" w14:textId="77777777" w:rsidTr="00DF6A9A">
        <w:trPr>
          <w:trHeight w:val="300"/>
        </w:trPr>
        <w:tc>
          <w:tcPr>
            <w:tcW w:w="1204" w:type="dxa"/>
            <w:tcBorders>
              <w:top w:val="nil"/>
              <w:left w:val="single" w:sz="4" w:space="0" w:color="auto"/>
              <w:bottom w:val="single" w:sz="4" w:space="0" w:color="auto"/>
              <w:right w:val="single" w:sz="4" w:space="0" w:color="auto"/>
            </w:tcBorders>
            <w:noWrap/>
            <w:vAlign w:val="bottom"/>
            <w:hideMark/>
          </w:tcPr>
          <w:p w14:paraId="6BB68106" w14:textId="77777777" w:rsidR="00DF6A9A" w:rsidRDefault="00DF6A9A" w:rsidP="00061FFA">
            <w:pPr>
              <w:pStyle w:val="Normal00"/>
              <w:rPr>
                <w:rFonts w:ascii="Aptos Narrow" w:hAnsi="Aptos Narrow" w:cs="Times New Roman"/>
                <w:color w:val="000000"/>
                <w:sz w:val="22"/>
                <w:szCs w:val="22"/>
                <w:lang w:val="es-ES"/>
              </w:rPr>
            </w:pPr>
            <w:r>
              <w:rPr>
                <w:rFonts w:ascii="Aptos Narrow" w:hAnsi="Aptos Narrow" w:cs="Times New Roman"/>
                <w:color w:val="000000"/>
                <w:sz w:val="22"/>
                <w:szCs w:val="22"/>
                <w:lang w:val="es-ES"/>
              </w:rPr>
              <w:t>PP</w:t>
            </w:r>
          </w:p>
        </w:tc>
        <w:tc>
          <w:tcPr>
            <w:tcW w:w="1155" w:type="dxa"/>
            <w:tcBorders>
              <w:top w:val="nil"/>
              <w:left w:val="nil"/>
              <w:bottom w:val="single" w:sz="4" w:space="0" w:color="auto"/>
              <w:right w:val="single" w:sz="4" w:space="0" w:color="auto"/>
            </w:tcBorders>
            <w:noWrap/>
            <w:vAlign w:val="center"/>
            <w:hideMark/>
          </w:tcPr>
          <w:p w14:paraId="5380B884" w14:textId="77777777" w:rsidR="00DF6A9A" w:rsidRDefault="00DF6A9A" w:rsidP="00061FFA">
            <w:pPr>
              <w:pStyle w:val="Normal00"/>
              <w:jc w:val="center"/>
              <w:rPr>
                <w:color w:val="000000"/>
                <w:szCs w:val="20"/>
                <w:lang w:val="es-ES"/>
              </w:rPr>
            </w:pPr>
            <w:r>
              <w:rPr>
                <w:color w:val="000000"/>
                <w:szCs w:val="20"/>
                <w:lang w:val="es-ES"/>
              </w:rPr>
              <w:t>57,25 €</w:t>
            </w:r>
          </w:p>
        </w:tc>
        <w:tc>
          <w:tcPr>
            <w:tcW w:w="1155" w:type="dxa"/>
            <w:tcBorders>
              <w:top w:val="nil"/>
              <w:left w:val="nil"/>
              <w:bottom w:val="single" w:sz="4" w:space="0" w:color="auto"/>
              <w:right w:val="single" w:sz="4" w:space="0" w:color="auto"/>
            </w:tcBorders>
            <w:noWrap/>
            <w:vAlign w:val="center"/>
            <w:hideMark/>
          </w:tcPr>
          <w:p w14:paraId="0C338B2E" w14:textId="77777777" w:rsidR="00DF6A9A" w:rsidRDefault="00DF6A9A" w:rsidP="00061FFA">
            <w:pPr>
              <w:pStyle w:val="Normal00"/>
              <w:jc w:val="center"/>
              <w:rPr>
                <w:color w:val="000000"/>
                <w:szCs w:val="20"/>
                <w:lang w:val="es-ES"/>
              </w:rPr>
            </w:pPr>
            <w:r>
              <w:rPr>
                <w:color w:val="000000"/>
                <w:szCs w:val="20"/>
                <w:lang w:val="es-ES"/>
              </w:rPr>
              <w:t>687 €</w:t>
            </w:r>
          </w:p>
        </w:tc>
        <w:tc>
          <w:tcPr>
            <w:tcW w:w="1290" w:type="dxa"/>
            <w:tcBorders>
              <w:top w:val="nil"/>
              <w:left w:val="nil"/>
              <w:bottom w:val="single" w:sz="4" w:space="0" w:color="auto"/>
              <w:right w:val="single" w:sz="4" w:space="0" w:color="auto"/>
            </w:tcBorders>
            <w:noWrap/>
            <w:vAlign w:val="center"/>
            <w:hideMark/>
          </w:tcPr>
          <w:p w14:paraId="306F146A"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1</w:t>
            </w:r>
          </w:p>
        </w:tc>
        <w:tc>
          <w:tcPr>
            <w:tcW w:w="1290" w:type="dxa"/>
            <w:tcBorders>
              <w:top w:val="nil"/>
              <w:left w:val="nil"/>
              <w:bottom w:val="single" w:sz="4" w:space="0" w:color="auto"/>
              <w:right w:val="single" w:sz="4" w:space="0" w:color="auto"/>
            </w:tcBorders>
            <w:noWrap/>
            <w:vAlign w:val="center"/>
            <w:hideMark/>
          </w:tcPr>
          <w:p w14:paraId="306F02E5" w14:textId="77777777" w:rsidR="00DF6A9A" w:rsidRDefault="00DF6A9A" w:rsidP="00061FFA">
            <w:pPr>
              <w:pStyle w:val="Normal00"/>
              <w:jc w:val="center"/>
              <w:rPr>
                <w:color w:val="000000"/>
                <w:szCs w:val="20"/>
                <w:lang w:val="es-ES"/>
              </w:rPr>
            </w:pPr>
            <w:r>
              <w:rPr>
                <w:color w:val="000000"/>
                <w:szCs w:val="20"/>
                <w:lang w:val="es-ES"/>
              </w:rPr>
              <w:t>18,32</w:t>
            </w:r>
          </w:p>
        </w:tc>
        <w:tc>
          <w:tcPr>
            <w:tcW w:w="1155" w:type="dxa"/>
            <w:tcBorders>
              <w:top w:val="nil"/>
              <w:left w:val="nil"/>
              <w:bottom w:val="single" w:sz="4" w:space="0" w:color="auto"/>
              <w:right w:val="single" w:sz="4" w:space="0" w:color="auto"/>
            </w:tcBorders>
            <w:noWrap/>
            <w:vAlign w:val="center"/>
            <w:hideMark/>
          </w:tcPr>
          <w:p w14:paraId="2DCEE39C"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219,84</w:t>
            </w:r>
          </w:p>
        </w:tc>
        <w:tc>
          <w:tcPr>
            <w:tcW w:w="1155" w:type="dxa"/>
            <w:tcBorders>
              <w:top w:val="nil"/>
              <w:left w:val="nil"/>
              <w:bottom w:val="single" w:sz="4" w:space="0" w:color="auto"/>
              <w:right w:val="single" w:sz="4" w:space="0" w:color="auto"/>
            </w:tcBorders>
            <w:noWrap/>
            <w:vAlign w:val="center"/>
            <w:hideMark/>
          </w:tcPr>
          <w:p w14:paraId="74FE9808" w14:textId="77777777" w:rsidR="00DF6A9A" w:rsidRDefault="00DF6A9A" w:rsidP="00061FFA">
            <w:pPr>
              <w:pStyle w:val="Normal00"/>
              <w:jc w:val="center"/>
              <w:rPr>
                <w:rFonts w:ascii="Aptos Narrow" w:hAnsi="Aptos Narrow" w:cs="Times New Roman"/>
                <w:color w:val="000000"/>
                <w:sz w:val="22"/>
                <w:szCs w:val="22"/>
                <w:lang w:val="es-ES"/>
              </w:rPr>
            </w:pPr>
            <w:r>
              <w:rPr>
                <w:rFonts w:ascii="Aptos Narrow" w:hAnsi="Aptos Narrow" w:cs="Times New Roman"/>
                <w:color w:val="000000"/>
                <w:sz w:val="22"/>
                <w:szCs w:val="22"/>
                <w:lang w:val="es-ES"/>
              </w:rPr>
              <w:t>907 €</w:t>
            </w:r>
          </w:p>
        </w:tc>
      </w:tr>
    </w:tbl>
    <w:p w14:paraId="2D4C6603" w14:textId="77777777" w:rsidR="00DF6A9A" w:rsidRDefault="00DF6A9A" w:rsidP="003E5CA6">
      <w:pPr>
        <w:jc w:val="both"/>
        <w:rPr>
          <w:rFonts w:ascii="Arial" w:hAnsi="Arial" w:cs="Arial"/>
          <w:sz w:val="20"/>
          <w:szCs w:val="20"/>
        </w:rPr>
      </w:pPr>
    </w:p>
    <w:p w14:paraId="595B6CFA" w14:textId="57DF51A7" w:rsidR="003E5CA6" w:rsidRPr="003E5CA6" w:rsidRDefault="003E5CA6" w:rsidP="003E5CA6">
      <w:pPr>
        <w:jc w:val="both"/>
        <w:rPr>
          <w:rFonts w:ascii="Arial" w:hAnsi="Arial" w:cs="Arial"/>
          <w:sz w:val="20"/>
          <w:szCs w:val="20"/>
        </w:rPr>
      </w:pPr>
      <w:r w:rsidRPr="003E5CA6">
        <w:rPr>
          <w:rFonts w:ascii="Arial" w:hAnsi="Arial" w:cs="Arial"/>
          <w:sz w:val="20"/>
          <w:szCs w:val="20"/>
        </w:rPr>
        <w:t>La concesión de esta subvención se enmarca aquello que establece el artículo 22.2.a) de la Ley 38/2003, de 17 de noviembre, General de Subvenciones, en los artículos del 39 a 41 de las bases de ejecución del presupuesto municipal y a la ordenanza general de subvenciones de Dosrius.</w:t>
      </w:r>
    </w:p>
    <w:p w14:paraId="2370A0BE"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De acuerdo con el que dispone el artículo 28 del Reglamento Orgánico Municipal del ayuntamiento de Dosrius, los regidores que durante el mandato decidan separarse o sean expulsados del grupo formado por la candidatura con que concurrieron a las elecciones, no podrán formar nuevo grupo municipal ni integrarse en otro grupo ya constituido, ni formar parte del Grupo mixto, y quedarán como regidores no adscrito.</w:t>
      </w:r>
    </w:p>
    <w:p w14:paraId="32D35E68"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Esto supondrá la pérdida del derecho a las asignaciones del Grupo Municipal y mantendrán solo las asignaciones de la parte fija por regidor electo.</w:t>
      </w:r>
    </w:p>
    <w:p w14:paraId="71D99D43"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SEGUNDA. - OBJETO</w:t>
      </w:r>
    </w:p>
    <w:p w14:paraId="4472F93E"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Es objeto de este acuerdo la regulación de una subvención, prevista nominativamente en el Presupuesto de 2024 del Ayuntamiento de Dosrius a favor de los grupos municipales, para la financiación de los gastos realizados en el ejercicio de sus funciones.</w:t>
      </w:r>
    </w:p>
    <w:p w14:paraId="09D09A91"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TERCERA. - COMPATIBILIDAD</w:t>
      </w:r>
    </w:p>
    <w:p w14:paraId="22C65464"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Esta subvención es compatible con la percepción otras subvenciones, ayudas, ingresos o recursos para la misma finalidad, procedente otras Administraciones o entes públicos o privado. Aun así el importe total de las subvenciones recibidas para la misma finalidad no podrá superar el coste total del proyecto/actividad a desarrollar.</w:t>
      </w:r>
    </w:p>
    <w:p w14:paraId="2DA03E25" w14:textId="30B6789F" w:rsidR="003E5CA6" w:rsidRPr="003E5CA6" w:rsidRDefault="003E5CA6" w:rsidP="003E5CA6">
      <w:pPr>
        <w:jc w:val="both"/>
        <w:rPr>
          <w:rFonts w:ascii="Arial" w:hAnsi="Arial" w:cs="Arial"/>
          <w:sz w:val="20"/>
          <w:szCs w:val="20"/>
        </w:rPr>
      </w:pPr>
      <w:r w:rsidRPr="003E5CA6">
        <w:rPr>
          <w:rFonts w:ascii="Arial" w:hAnsi="Arial" w:cs="Arial"/>
          <w:sz w:val="20"/>
          <w:szCs w:val="20"/>
        </w:rPr>
        <w:t>CUARTA.</w:t>
      </w:r>
      <w:r w:rsidR="00DF6A9A">
        <w:rPr>
          <w:rFonts w:ascii="Arial" w:hAnsi="Arial" w:cs="Arial"/>
          <w:sz w:val="20"/>
          <w:szCs w:val="20"/>
        </w:rPr>
        <w:t xml:space="preserve"> </w:t>
      </w:r>
      <w:r w:rsidRPr="003E5CA6">
        <w:rPr>
          <w:rFonts w:ascii="Arial" w:hAnsi="Arial" w:cs="Arial"/>
          <w:sz w:val="20"/>
          <w:szCs w:val="20"/>
        </w:rPr>
        <w:t>-</w:t>
      </w:r>
      <w:r w:rsidR="00DF6A9A">
        <w:rPr>
          <w:rFonts w:ascii="Arial" w:hAnsi="Arial" w:cs="Arial"/>
          <w:sz w:val="20"/>
          <w:szCs w:val="20"/>
        </w:rPr>
        <w:t xml:space="preserve"> </w:t>
      </w:r>
      <w:r w:rsidRPr="003E5CA6">
        <w:rPr>
          <w:rFonts w:ascii="Arial" w:hAnsi="Arial" w:cs="Arial"/>
          <w:sz w:val="20"/>
          <w:szCs w:val="20"/>
        </w:rPr>
        <w:t xml:space="preserve"> ACEPTACIÓN DE LA SUBVENCIÓN</w:t>
      </w:r>
    </w:p>
    <w:p w14:paraId="777CE5A8"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Se entenderá aceptada la subvención si transcurrido un mes desde la notificación no se manifiesta oposición por parte del beneficiario.</w:t>
      </w:r>
    </w:p>
    <w:p w14:paraId="660F817B" w14:textId="77777777" w:rsidR="00DF6A9A" w:rsidRDefault="00DF6A9A" w:rsidP="003E5CA6">
      <w:pPr>
        <w:jc w:val="both"/>
        <w:rPr>
          <w:rFonts w:ascii="Arial" w:hAnsi="Arial" w:cs="Arial"/>
          <w:sz w:val="20"/>
          <w:szCs w:val="20"/>
        </w:rPr>
      </w:pPr>
    </w:p>
    <w:p w14:paraId="6DA89693" w14:textId="77777777" w:rsidR="00DF6A9A" w:rsidRDefault="00DF6A9A" w:rsidP="003E5CA6">
      <w:pPr>
        <w:jc w:val="both"/>
        <w:rPr>
          <w:rFonts w:ascii="Arial" w:hAnsi="Arial" w:cs="Arial"/>
          <w:sz w:val="20"/>
          <w:szCs w:val="20"/>
        </w:rPr>
      </w:pPr>
    </w:p>
    <w:p w14:paraId="0D836488" w14:textId="7BE725F8" w:rsidR="003E5CA6" w:rsidRPr="003E5CA6" w:rsidRDefault="003E5CA6" w:rsidP="003E5CA6">
      <w:pPr>
        <w:jc w:val="both"/>
        <w:rPr>
          <w:rFonts w:ascii="Arial" w:hAnsi="Arial" w:cs="Arial"/>
          <w:sz w:val="20"/>
          <w:szCs w:val="20"/>
        </w:rPr>
      </w:pPr>
      <w:r w:rsidRPr="003E5CA6">
        <w:rPr>
          <w:rFonts w:ascii="Arial" w:hAnsi="Arial" w:cs="Arial"/>
          <w:sz w:val="20"/>
          <w:szCs w:val="20"/>
        </w:rPr>
        <w:t>QUINTA. - ACTUACIÓN SUBVENCIONADA Y PLAZO DE REALIZACIÓN</w:t>
      </w:r>
    </w:p>
    <w:p w14:paraId="04B46AAF" w14:textId="73AAC741" w:rsidR="003E5CA6" w:rsidRPr="003E5CA6" w:rsidRDefault="003E5CA6" w:rsidP="003E5CA6">
      <w:pPr>
        <w:jc w:val="both"/>
        <w:rPr>
          <w:rFonts w:ascii="Arial" w:hAnsi="Arial" w:cs="Arial"/>
          <w:sz w:val="20"/>
          <w:szCs w:val="20"/>
        </w:rPr>
      </w:pPr>
      <w:r w:rsidRPr="003E5CA6">
        <w:rPr>
          <w:rFonts w:ascii="Arial" w:hAnsi="Arial" w:cs="Arial"/>
          <w:sz w:val="20"/>
          <w:szCs w:val="20"/>
        </w:rPr>
        <w:t>Serán gastos justificable</w:t>
      </w:r>
      <w:r w:rsidR="00DF6A9A">
        <w:rPr>
          <w:rFonts w:ascii="Arial" w:hAnsi="Arial" w:cs="Arial"/>
          <w:sz w:val="20"/>
          <w:szCs w:val="20"/>
        </w:rPr>
        <w:t>s</w:t>
      </w:r>
      <w:r w:rsidRPr="003E5CA6">
        <w:rPr>
          <w:rFonts w:ascii="Arial" w:hAnsi="Arial" w:cs="Arial"/>
          <w:sz w:val="20"/>
          <w:szCs w:val="20"/>
        </w:rPr>
        <w:t xml:space="preserve"> aquellas que respondan a las propias de funcionamiento del grupo municipal en su actividad corporativa municipal, con los límites establecidos en el artículo 73.3 de la Ley reguladora de Bases de Régimen Local, que prohíbe explícitamente las remuneraciones del personal de cualquier tipo al servicio de la corporación y la adquisición de activos de carácter patrimonial.</w:t>
      </w:r>
    </w:p>
    <w:p w14:paraId="186D74AC" w14:textId="5DCB9053" w:rsidR="003E5CA6" w:rsidRPr="003E5CA6" w:rsidRDefault="003E5CA6" w:rsidP="003E5CA6">
      <w:pPr>
        <w:jc w:val="both"/>
        <w:rPr>
          <w:rFonts w:ascii="Arial" w:hAnsi="Arial" w:cs="Arial"/>
          <w:sz w:val="20"/>
          <w:szCs w:val="20"/>
        </w:rPr>
      </w:pPr>
      <w:r w:rsidRPr="003E5CA6">
        <w:rPr>
          <w:rFonts w:ascii="Arial" w:hAnsi="Arial" w:cs="Arial"/>
          <w:sz w:val="20"/>
          <w:szCs w:val="20"/>
        </w:rPr>
        <w:t>Los gastos que se considerarán elegibles a los efectos de la</w:t>
      </w:r>
      <w:r w:rsidR="00DF6A9A">
        <w:rPr>
          <w:rFonts w:ascii="Arial" w:hAnsi="Arial" w:cs="Arial"/>
          <w:sz w:val="20"/>
          <w:szCs w:val="20"/>
        </w:rPr>
        <w:t>s</w:t>
      </w:r>
      <w:r w:rsidRPr="003E5CA6">
        <w:rPr>
          <w:rFonts w:ascii="Arial" w:hAnsi="Arial" w:cs="Arial"/>
          <w:sz w:val="20"/>
          <w:szCs w:val="20"/>
        </w:rPr>
        <w:t xml:space="preserve"> justificaciones de las aportaciones a Grupos Municipales serán las que se detallan a continuación:</w:t>
      </w:r>
    </w:p>
    <w:p w14:paraId="3A21ADB2"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Gastos de arrendamiento de local para uso del Grupo Municipal ( en ningún caso se considerarán elegibles gastos de alquiler de local del Partido Político)</w:t>
      </w:r>
    </w:p>
    <w:p w14:paraId="39115CE2"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Gastos de material de oficina (los ordenadores, impresoras y resto de maquinaria que tienen consideración de inversión con una vida útil superior en un año restarán excluidos)</w:t>
      </w:r>
    </w:p>
    <w:p w14:paraId="6A250E0F"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Gastos de inserción de publicidad del Grupo Municipal a nivel del propio municipio</w:t>
      </w:r>
    </w:p>
    <w:p w14:paraId="2A994BFD"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Gastadas de edición de boletines informativos, trípticos etc.. y gastos de distribución de los mismos</w:t>
      </w:r>
    </w:p>
    <w:p w14:paraId="5604EA06"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Gastadas por asistencia jurídica al Grupo Municipal en cuestiones relacionadas exprés y exclusivamente con su actividad en el municipio</w:t>
      </w:r>
    </w:p>
    <w:p w14:paraId="1592BC1A"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Gastadas de suscripción a revistas especializadas o a bases de datos relacionadas con su tarea municipal</w:t>
      </w:r>
    </w:p>
    <w:p w14:paraId="3946F5B5"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Gastos vinculados a actas y celebraciones relacionadas con la promoción del Grupo en el municipio, celebraciones de efemérides, reuniones con asociaciones, vecinos o celebración de conferencias (cáterin, ponencias...)</w:t>
      </w:r>
    </w:p>
    <w:p w14:paraId="724CE66F"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Gastos de asistencia de los regidores a cursos de formación, jornadas o sesiones de perfeccionamiento (justificando de pago de la inscripción)</w:t>
      </w:r>
    </w:p>
    <w:p w14:paraId="0B312DAF"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Gastos de locomoción. Únicamente se aceptarán los gastos de locomoción que se pueda relacionar de manera directa con asistencia a reuniones, actas, formaciones fuera del municipio, que puedan ser justificadas y comprobadas documentalmente y que tengan relación directa deducible de la documentación presentada, con su tarea a nivel municipal, y únicamente, por la parte que corresponda a la distancia del desplazamiento, que se tendrá que declarar y se calculará la precio de kilometraje que abona la administración y que se determina por orden Ministerial, que actualmente se concreta en 0,26 euros/kilómetro.</w:t>
      </w:r>
    </w:p>
    <w:p w14:paraId="78B241B3"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Gastos de mantenimiento de las cuentas bancarias donde se ingresa la asignación del grupo</w:t>
      </w:r>
    </w:p>
    <w:p w14:paraId="698F79E5" w14:textId="77777777" w:rsidR="003E5CA6" w:rsidRPr="003E5CA6" w:rsidRDefault="003E5CA6" w:rsidP="00DF6A9A">
      <w:pPr>
        <w:ind w:left="708"/>
        <w:jc w:val="both"/>
        <w:rPr>
          <w:rFonts w:ascii="Arial" w:hAnsi="Arial" w:cs="Arial"/>
          <w:sz w:val="20"/>
          <w:szCs w:val="20"/>
        </w:rPr>
      </w:pPr>
      <w:r w:rsidRPr="003E5CA6">
        <w:rPr>
          <w:rFonts w:ascii="Arial" w:hAnsi="Arial" w:cs="Arial"/>
          <w:sz w:val="20"/>
          <w:szCs w:val="20"/>
        </w:rPr>
        <w:t>- Aportaciones del Grupo Municipal al partido político, siempre que estas tengan lugar dentro del periodo de ejecución de las dependidas, se haga por acuerdo del grupo municipal y se certifique por parte del partido que los fondos no se han destinado a remuneraciones de ningún tipo ni a la adquisición de activos de carácter patrimonial</w:t>
      </w:r>
    </w:p>
    <w:p w14:paraId="4044286C"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Se establece como plazo de ejecución de la actividad el que va desde el 1 de enero de 2024 hasta 31 de diciembre de 2024</w:t>
      </w:r>
    </w:p>
    <w:p w14:paraId="11CF9619"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SEXTA. - OBLIGACIONES DEL BENEFICIARIO</w:t>
      </w:r>
    </w:p>
    <w:p w14:paraId="63BDEEE8"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Constituyen obligaciones del beneficiario, el cumplimiento del cual tendrá que acreditar:</w:t>
      </w:r>
    </w:p>
    <w:p w14:paraId="08833278"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lastRenderedPageBreak/>
        <w:t>a) No estar incursa en prohibición para la obtención de la condición de beneficiario del artículo 13 de la Ley 38/2003, de 17 de noviembre, General de Subvenciones, y estar al corriente de sus obligaciones fiscales con el Ayuntamiento.</w:t>
      </w:r>
    </w:p>
    <w:p w14:paraId="2C33E68F"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b) Estar al corriente en el cumplimiento de sus obligaciones tributarias y frente a la Seguridad Social.</w:t>
      </w:r>
    </w:p>
    <w:p w14:paraId="5E20C1EE"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c) Comunicar en el Ayuntamiento de Dosrius la obtención otras subvenciones o ayudas finalistas que financien las mismas actividades subvencionadas.</w:t>
      </w:r>
    </w:p>
    <w:p w14:paraId="29BCBA54"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d) Someterse a las actuaciones de comprobación y seguimiento de la actividad y de control financiero que pudieran realizar los diferentes servicios del Ayuntamiento.</w:t>
      </w:r>
    </w:p>
    <w:p w14:paraId="4844ED73"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 Los documentos de cualquier tipo justificativos de la aplicación de los fondos recibidos, se tendrán que conservar por un periodo no inferior a los 6 años, contadores desde la finalización del plazo de presentación de justificaciones.</w:t>
      </w:r>
    </w:p>
    <w:p w14:paraId="175632D1"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SÉPTIMA. - FORMA DE PAGO</w:t>
      </w:r>
    </w:p>
    <w:p w14:paraId="60E82DD4"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El pago de la subvención se realizará en pagos mensuales, de acuerdo con el acuerdo del Pleno da fecha 04 de julio de 2023, en el cual se aprueba la moción de alcaldía de establecimiento del régimen de dedicación y de las retribuciones e indemnizaciones de los miembros de la corporación.</w:t>
      </w:r>
    </w:p>
    <w:p w14:paraId="4632F6CE"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OCTAVA. - ÓRGANO GESTOR</w:t>
      </w:r>
    </w:p>
    <w:p w14:paraId="2C33200B"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Tiene la condición de órgano gestor de esta subvención la intervención municipal del Ayuntamiento de Dosrius</w:t>
      </w:r>
    </w:p>
    <w:p w14:paraId="40610C5B"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Todo trámite relacionado con esta subvención se gestionará a través del mencionado órgano gestor.</w:t>
      </w:r>
    </w:p>
    <w:p w14:paraId="6623C809"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NOVENA.- JUSTIFICACIÓN.</w:t>
      </w:r>
    </w:p>
    <w:p w14:paraId="05BDFE54"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En el plazo máximo de tres meses desde la fecha de finalización del periodo de ejecución y se tendrá que presentar al órgano gestor la cuenta justificativa de los gastos que comprenderá la siguiente documentación:</w:t>
      </w:r>
    </w:p>
    <w:p w14:paraId="64D2960F"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1. Memoria justificativa subscrita por el beneficiario o su representante indicativa de las actividades desarrolladas, del cumplimiento de las condiciones impuestas y de los resultados obtenidos.</w:t>
      </w:r>
    </w:p>
    <w:p w14:paraId="7DD3AA77"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2. Relación subscrita por el beneficiario o su representante expresiva de la totalidad de los gastos derivados de la actividad, debidamente desglosados y detallados, y a la cual se acompañará relación de originales o copia de las facturas y gastos por importe igual o superior al de la subvención otorgada. Las copias de los justificantes o gastos solo serán admisibles cuando hayan sido debidamente cotejadas por funcionario adscrito al área o servicio gestor de la subvención, previo examen y estampillado del original.</w:t>
      </w:r>
    </w:p>
    <w:p w14:paraId="3C3FA273"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3. Declaración subscrita por el beneficiario o su representante relativa a la inexistencia otras subvenciones o ayudas que hayan obtenido para la misma finalidad o, si procede, mención exprés de los otros ingresos o ayudas que hayan financiado la actividad, con indicación de importe o procedencia.</w:t>
      </w:r>
    </w:p>
    <w:p w14:paraId="7047DC22"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Los modelos para la justificación se pueden encontrar en la web del Ayuntamiento de Dosrius, www.dosrius.cat.</w:t>
      </w:r>
    </w:p>
    <w:p w14:paraId="0FD4F3B3" w14:textId="5C3278A2" w:rsidR="003E5CA6" w:rsidRPr="003E5CA6" w:rsidRDefault="003E5CA6" w:rsidP="003E5CA6">
      <w:pPr>
        <w:jc w:val="both"/>
        <w:rPr>
          <w:rFonts w:ascii="Arial" w:hAnsi="Arial" w:cs="Arial"/>
          <w:sz w:val="20"/>
          <w:szCs w:val="20"/>
        </w:rPr>
      </w:pPr>
      <w:r w:rsidRPr="003E5CA6">
        <w:rPr>
          <w:rFonts w:ascii="Arial" w:hAnsi="Arial" w:cs="Arial"/>
          <w:sz w:val="20"/>
          <w:szCs w:val="20"/>
        </w:rPr>
        <w:t>D</w:t>
      </w:r>
      <w:r w:rsidR="00DF6A9A">
        <w:rPr>
          <w:rFonts w:ascii="Arial" w:hAnsi="Arial" w:cs="Arial"/>
          <w:sz w:val="20"/>
          <w:szCs w:val="20"/>
        </w:rPr>
        <w:t>É</w:t>
      </w:r>
      <w:r w:rsidRPr="003E5CA6">
        <w:rPr>
          <w:rFonts w:ascii="Arial" w:hAnsi="Arial" w:cs="Arial"/>
          <w:sz w:val="20"/>
          <w:szCs w:val="20"/>
        </w:rPr>
        <w:t>C</w:t>
      </w:r>
      <w:r w:rsidR="00DF6A9A">
        <w:rPr>
          <w:rFonts w:ascii="Arial" w:hAnsi="Arial" w:cs="Arial"/>
          <w:sz w:val="20"/>
          <w:szCs w:val="20"/>
        </w:rPr>
        <w:t>IMA</w:t>
      </w:r>
      <w:r w:rsidRPr="003E5CA6">
        <w:rPr>
          <w:rFonts w:ascii="Arial" w:hAnsi="Arial" w:cs="Arial"/>
          <w:sz w:val="20"/>
          <w:szCs w:val="20"/>
        </w:rPr>
        <w:t>. – INFRACCIONES.</w:t>
      </w:r>
    </w:p>
    <w:p w14:paraId="7795CA81"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Procederá el reintegro de la subvención conforme al dispuesto en el Título II de la Ley 38/2003, de 17 de noviembre, General de Subvenciones, la ordenanza general de subvenciones de Dosrius y el artículo 30 de las bases de ejecución del presupuesto municipal que textualmente dice:</w:t>
      </w:r>
    </w:p>
    <w:p w14:paraId="4886A4B5"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1. Constituyen infracciones administrativas en materia de subvenciones y ayudas públicas las siguientes conductas, cuando en ellas intervengan el luto, culpa o simple negligencia:</w:t>
      </w:r>
    </w:p>
    <w:p w14:paraId="706998AE"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lastRenderedPageBreak/>
        <w:t>a) La obtención de una ayuda o subvención falseando las condiciones requeridas para su concesión u ocultando las que lo hubieran impedido o limitado.</w:t>
      </w:r>
    </w:p>
    <w:p w14:paraId="1E133EC1"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b) La no aplicación de las cantidades recibidas a las finalidades por las que la subvención fue concedida, siempre que no se haya procedido a su devolución sin requerimiento previo.</w:t>
      </w:r>
    </w:p>
    <w:p w14:paraId="635B292F"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c) El incumplimiento, por razones imputables al beneficiario de las obligaciones asumidas como consecuencia de la concesión de la subvención.</w:t>
      </w:r>
    </w:p>
    <w:p w14:paraId="3B47DD52"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d) La falta de justificación, en su caso, del uso dado a los fondos recibidos.</w:t>
      </w:r>
    </w:p>
    <w:p w14:paraId="4F02662F"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2. Serán responsables de las infracciones los beneficiarios que realizan las conductas tipificadas.</w:t>
      </w:r>
    </w:p>
    <w:p w14:paraId="2A16F949"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3. Las infracciones se sancionarán con multa hasta el triple de la cantidad indebidamente obtenida, aplicada o no debidamente justificada. La multa será independiente de la obligación de reintegro.</w:t>
      </w:r>
    </w:p>
    <w:p w14:paraId="4E6621B0"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UNDÉCIMA. - DURACIÓN DEL CONVENIO.</w:t>
      </w:r>
    </w:p>
    <w:p w14:paraId="3F27314F"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El presente acuerdo tendrá efectos desde el 1 de enero de 2024 y se prolongará su vigencia hasta que se haya realizado la actividad subvencionada y haya sido justificado su financiación.</w:t>
      </w:r>
    </w:p>
    <w:p w14:paraId="5D9B6B67"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El anterior es sin perjuicio de los procedimientos de reintegro o sancionadores que pudiera haber lugar, y de las obligaciones que incumban al beneficiario, así como del deber de conservación de documentos que le impone la vigente legislación.</w:t>
      </w:r>
    </w:p>
    <w:p w14:paraId="2E74481A" w14:textId="74AC6A45" w:rsidR="003E5CA6" w:rsidRPr="003E5CA6" w:rsidRDefault="003E5CA6" w:rsidP="003E5CA6">
      <w:pPr>
        <w:jc w:val="both"/>
        <w:rPr>
          <w:rFonts w:ascii="Arial" w:hAnsi="Arial" w:cs="Arial"/>
          <w:sz w:val="20"/>
          <w:szCs w:val="20"/>
        </w:rPr>
      </w:pPr>
      <w:r w:rsidRPr="003E5CA6">
        <w:rPr>
          <w:rFonts w:ascii="Arial" w:hAnsi="Arial" w:cs="Arial"/>
          <w:sz w:val="20"/>
          <w:szCs w:val="20"/>
        </w:rPr>
        <w:t>D</w:t>
      </w:r>
      <w:r w:rsidR="00DF6A9A">
        <w:rPr>
          <w:rFonts w:ascii="Arial" w:hAnsi="Arial" w:cs="Arial"/>
          <w:sz w:val="20"/>
          <w:szCs w:val="20"/>
        </w:rPr>
        <w:t>UODÉCIMA.</w:t>
      </w:r>
      <w:r w:rsidRPr="003E5CA6">
        <w:rPr>
          <w:rFonts w:ascii="Arial" w:hAnsi="Arial" w:cs="Arial"/>
          <w:sz w:val="20"/>
          <w:szCs w:val="20"/>
        </w:rPr>
        <w:t>- NATURALEZA DEL ACUERDO Y LEGISLACIÓN APLICABLE.</w:t>
      </w:r>
    </w:p>
    <w:p w14:paraId="3DFEE6AF"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Este acuerdo tiene naturaleza jurídico-administrativa.</w:t>
      </w:r>
    </w:p>
    <w:p w14:paraId="76E4AE39"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En el no previsto en este convenio será de aplicación la Ley 38/2003, de 17 de noviembre, General de Subvenciones y su Reglamento, aprobado por Real Decreto 887/2006, de 21 de julio, la ordenanza general de subvenciones aprobada por el Ayuntamiento en fecha 24 de diciembre de 2009 y vigente hasta su modificación o derogación, las bases de ejecución de presupuesto municipal y el resto de legislación de Régimen Local reguladora de subvenciones públicas y de procedimiento administrativo.</w:t>
      </w:r>
    </w:p>
    <w:p w14:paraId="3DFCBB11"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Las cuestiones litigiosas que surjan en aplicación del presente convenio serán resueltas en vía administrativa por el órgano competente y, si procede, ante la jurisdicción contencioso-administrativa.</w:t>
      </w:r>
    </w:p>
    <w:p w14:paraId="23A1467B"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t>Por todo esto, se propone la adopción de los siguientes acuerdos:</w:t>
      </w:r>
    </w:p>
    <w:p w14:paraId="7D19A536" w14:textId="77777777" w:rsidR="003E5CA6" w:rsidRPr="003E5CA6" w:rsidRDefault="003E5CA6" w:rsidP="003E5CA6">
      <w:pPr>
        <w:jc w:val="both"/>
        <w:rPr>
          <w:rFonts w:ascii="Arial" w:hAnsi="Arial" w:cs="Arial"/>
          <w:sz w:val="20"/>
          <w:szCs w:val="20"/>
        </w:rPr>
      </w:pPr>
      <w:r w:rsidRPr="00DF6A9A">
        <w:rPr>
          <w:rFonts w:ascii="Arial" w:hAnsi="Arial" w:cs="Arial"/>
          <w:b/>
          <w:bCs/>
          <w:sz w:val="20"/>
          <w:szCs w:val="20"/>
        </w:rPr>
        <w:t>Primero</w:t>
      </w:r>
      <w:r w:rsidRPr="003E5CA6">
        <w:rPr>
          <w:rFonts w:ascii="Arial" w:hAnsi="Arial" w:cs="Arial"/>
          <w:sz w:val="20"/>
          <w:szCs w:val="20"/>
        </w:rPr>
        <w:t>.- APROBAR las estipulaciones que tienen que regir el acuerdo de otorgamiento de subvención a los grupos políticos municipales para la anualidad 2024</w:t>
      </w:r>
    </w:p>
    <w:p w14:paraId="5BE40239" w14:textId="77777777" w:rsidR="003E5CA6" w:rsidRPr="003E5CA6" w:rsidRDefault="003E5CA6" w:rsidP="003E5CA6">
      <w:pPr>
        <w:jc w:val="both"/>
        <w:rPr>
          <w:rFonts w:ascii="Arial" w:hAnsi="Arial" w:cs="Arial"/>
          <w:sz w:val="20"/>
          <w:szCs w:val="20"/>
        </w:rPr>
      </w:pPr>
      <w:r w:rsidRPr="00DF6A9A">
        <w:rPr>
          <w:rFonts w:ascii="Arial" w:hAnsi="Arial" w:cs="Arial"/>
          <w:b/>
          <w:bCs/>
          <w:sz w:val="20"/>
          <w:szCs w:val="20"/>
        </w:rPr>
        <w:t>Segundo</w:t>
      </w:r>
      <w:r w:rsidRPr="003E5CA6">
        <w:rPr>
          <w:rFonts w:ascii="Arial" w:hAnsi="Arial" w:cs="Arial"/>
          <w:sz w:val="20"/>
          <w:szCs w:val="20"/>
        </w:rPr>
        <w:t>.- CONDICIONAR la aprobación de los importes asignados a cada grupo y regidor a la previa aprobación por el Pleno del incremento del importe de las asignaciones para la legislatura 2023-2027</w:t>
      </w:r>
    </w:p>
    <w:p w14:paraId="55363D6A" w14:textId="77777777" w:rsidR="003E5CA6" w:rsidRPr="003E5CA6" w:rsidRDefault="003E5CA6" w:rsidP="003E5CA6">
      <w:pPr>
        <w:jc w:val="both"/>
        <w:rPr>
          <w:rFonts w:ascii="Arial" w:hAnsi="Arial" w:cs="Arial"/>
          <w:sz w:val="20"/>
          <w:szCs w:val="20"/>
        </w:rPr>
      </w:pPr>
      <w:r w:rsidRPr="00DF6A9A">
        <w:rPr>
          <w:rFonts w:ascii="Arial" w:hAnsi="Arial" w:cs="Arial"/>
          <w:b/>
          <w:bCs/>
          <w:sz w:val="20"/>
          <w:szCs w:val="20"/>
        </w:rPr>
        <w:t>Tercero</w:t>
      </w:r>
      <w:r w:rsidRPr="003E5CA6">
        <w:rPr>
          <w:rFonts w:ascii="Arial" w:hAnsi="Arial" w:cs="Arial"/>
          <w:sz w:val="20"/>
          <w:szCs w:val="20"/>
        </w:rPr>
        <w:t>.- NOTIFICAR esta resolución a los grupos políticos municipales y a la intervención para que tramite su comunicación a la Base de datos Nacional de Subvenciones, de acuerdo con la normativa vigente.”</w:t>
      </w:r>
    </w:p>
    <w:tbl>
      <w:tblPr>
        <w:tblStyle w:val="Tablaconcuadrcula"/>
        <w:tblW w:w="9842" w:type="dxa"/>
        <w:tblLook w:val="04A0" w:firstRow="1" w:lastRow="0" w:firstColumn="1" w:lastColumn="0" w:noHBand="0" w:noVBand="1"/>
      </w:tblPr>
      <w:tblGrid>
        <w:gridCol w:w="3466"/>
        <w:gridCol w:w="6376"/>
      </w:tblGrid>
      <w:tr w:rsidR="00DF6A9A" w:rsidRPr="000B519D" w14:paraId="26947C74" w14:textId="77777777" w:rsidTr="00061FFA">
        <w:tc>
          <w:tcPr>
            <w:tcW w:w="3466" w:type="dxa"/>
            <w:tcBorders>
              <w:top w:val="single" w:sz="4" w:space="0" w:color="auto"/>
              <w:left w:val="single" w:sz="4" w:space="0" w:color="auto"/>
              <w:bottom w:val="single" w:sz="4" w:space="0" w:color="auto"/>
              <w:right w:val="single" w:sz="4" w:space="0" w:color="auto"/>
            </w:tcBorders>
            <w:hideMark/>
          </w:tcPr>
          <w:p w14:paraId="4372DF8D" w14:textId="566E1ADE" w:rsidR="00DF6A9A" w:rsidRPr="00DF6A9A" w:rsidRDefault="00DF6A9A" w:rsidP="00061FFA">
            <w:pPr>
              <w:pStyle w:val="Encabezado"/>
              <w:tabs>
                <w:tab w:val="left" w:pos="708"/>
              </w:tabs>
              <w:jc w:val="both"/>
              <w:outlineLvl w:val="0"/>
              <w:rPr>
                <w:rFonts w:ascii="Arial" w:hAnsi="Arial" w:cs="Arial"/>
                <w:bCs/>
                <w:iCs/>
              </w:rPr>
            </w:pPr>
            <w:r w:rsidRPr="00DF6A9A">
              <w:rPr>
                <w:rFonts w:ascii="Arial" w:hAnsi="Arial" w:cs="Arial"/>
                <w:bCs/>
                <w:iCs/>
              </w:rPr>
              <w:t>Resulta</w:t>
            </w:r>
            <w:r w:rsidRPr="00DF6A9A">
              <w:rPr>
                <w:rFonts w:ascii="Arial" w:hAnsi="Arial" w:cs="Arial"/>
                <w:bCs/>
                <w:iCs/>
              </w:rPr>
              <w:t>do</w:t>
            </w:r>
            <w:r w:rsidRPr="00DF6A9A">
              <w:rPr>
                <w:rFonts w:ascii="Arial" w:hAnsi="Arial" w:cs="Arial"/>
                <w:bCs/>
                <w:iCs/>
              </w:rPr>
              <w:t xml:space="preserve"> de la votació</w:t>
            </w:r>
            <w:r w:rsidRPr="00DF6A9A">
              <w:rPr>
                <w:rFonts w:ascii="Arial" w:hAnsi="Arial" w:cs="Arial"/>
                <w:bCs/>
                <w:iCs/>
              </w:rPr>
              <w:t>n</w:t>
            </w:r>
          </w:p>
        </w:tc>
        <w:tc>
          <w:tcPr>
            <w:tcW w:w="6376" w:type="dxa"/>
            <w:tcBorders>
              <w:top w:val="single" w:sz="4" w:space="0" w:color="auto"/>
              <w:left w:val="single" w:sz="4" w:space="0" w:color="auto"/>
              <w:bottom w:val="single" w:sz="4" w:space="0" w:color="auto"/>
              <w:right w:val="single" w:sz="4" w:space="0" w:color="auto"/>
            </w:tcBorders>
          </w:tcPr>
          <w:p w14:paraId="28F6FEAA" w14:textId="60C4C863" w:rsidR="00DF6A9A" w:rsidRPr="00DF6A9A" w:rsidRDefault="00DF6A9A" w:rsidP="00061FFA">
            <w:pPr>
              <w:pStyle w:val="Encabezado"/>
              <w:tabs>
                <w:tab w:val="left" w:pos="708"/>
              </w:tabs>
              <w:jc w:val="both"/>
              <w:outlineLvl w:val="0"/>
              <w:rPr>
                <w:rFonts w:ascii="Arial" w:hAnsi="Arial" w:cs="Arial"/>
                <w:bCs/>
                <w:iCs/>
              </w:rPr>
            </w:pPr>
            <w:r w:rsidRPr="00DF6A9A">
              <w:rPr>
                <w:rFonts w:ascii="Arial" w:hAnsi="Arial" w:cs="Arial"/>
                <w:bCs/>
                <w:iCs/>
              </w:rPr>
              <w:t>ma</w:t>
            </w:r>
            <w:r w:rsidRPr="00DF6A9A">
              <w:rPr>
                <w:rFonts w:ascii="Arial" w:hAnsi="Arial" w:cs="Arial"/>
                <w:bCs/>
                <w:iCs/>
              </w:rPr>
              <w:t>y</w:t>
            </w:r>
            <w:r w:rsidRPr="00DF6A9A">
              <w:rPr>
                <w:rFonts w:ascii="Arial" w:hAnsi="Arial" w:cs="Arial"/>
                <w:bCs/>
                <w:iCs/>
              </w:rPr>
              <w:t>oria absoluta</w:t>
            </w:r>
          </w:p>
        </w:tc>
      </w:tr>
      <w:tr w:rsidR="00DF6A9A" w:rsidRPr="000B519D" w14:paraId="7138E4B6" w14:textId="77777777" w:rsidTr="00061FFA">
        <w:tc>
          <w:tcPr>
            <w:tcW w:w="3466" w:type="dxa"/>
            <w:tcBorders>
              <w:top w:val="single" w:sz="4" w:space="0" w:color="auto"/>
              <w:left w:val="single" w:sz="4" w:space="0" w:color="auto"/>
              <w:bottom w:val="single" w:sz="4" w:space="0" w:color="auto"/>
              <w:right w:val="single" w:sz="4" w:space="0" w:color="auto"/>
            </w:tcBorders>
            <w:hideMark/>
          </w:tcPr>
          <w:p w14:paraId="29772690" w14:textId="0EF7D67D" w:rsidR="00DF6A9A" w:rsidRPr="00DF6A9A" w:rsidRDefault="00DF6A9A" w:rsidP="00061FFA">
            <w:pPr>
              <w:pStyle w:val="Encabezado"/>
              <w:tabs>
                <w:tab w:val="left" w:pos="708"/>
              </w:tabs>
              <w:jc w:val="both"/>
              <w:outlineLvl w:val="0"/>
              <w:rPr>
                <w:rFonts w:ascii="Arial" w:hAnsi="Arial" w:cs="Arial"/>
                <w:bCs/>
                <w:iCs/>
              </w:rPr>
            </w:pPr>
            <w:r w:rsidRPr="00DF6A9A">
              <w:rPr>
                <w:rFonts w:ascii="Arial" w:hAnsi="Arial" w:cs="Arial"/>
                <w:bCs/>
                <w:iCs/>
              </w:rPr>
              <w:t>Detall</w:t>
            </w:r>
            <w:r w:rsidRPr="00DF6A9A">
              <w:rPr>
                <w:rFonts w:ascii="Arial" w:hAnsi="Arial" w:cs="Arial"/>
                <w:bCs/>
                <w:iCs/>
              </w:rPr>
              <w:t>e</w:t>
            </w:r>
            <w:r w:rsidRPr="00DF6A9A">
              <w:rPr>
                <w:rFonts w:ascii="Arial" w:hAnsi="Arial" w:cs="Arial"/>
                <w:bCs/>
                <w:iCs/>
              </w:rPr>
              <w:t xml:space="preserve"> de la votació</w:t>
            </w:r>
            <w:r w:rsidRPr="00DF6A9A">
              <w:rPr>
                <w:rFonts w:ascii="Arial" w:hAnsi="Arial" w:cs="Arial"/>
                <w:bCs/>
                <w:iCs/>
              </w:rPr>
              <w:t>n</w:t>
            </w:r>
          </w:p>
        </w:tc>
        <w:tc>
          <w:tcPr>
            <w:tcW w:w="6376" w:type="dxa"/>
            <w:tcBorders>
              <w:top w:val="single" w:sz="4" w:space="0" w:color="auto"/>
              <w:left w:val="single" w:sz="4" w:space="0" w:color="auto"/>
              <w:bottom w:val="single" w:sz="4" w:space="0" w:color="auto"/>
              <w:right w:val="single" w:sz="4" w:space="0" w:color="auto"/>
            </w:tcBorders>
            <w:hideMark/>
          </w:tcPr>
          <w:p w14:paraId="5B0F3389" w14:textId="39DF8730" w:rsidR="00DF6A9A" w:rsidRPr="00DF6A9A" w:rsidRDefault="00DF6A9A" w:rsidP="00061FFA">
            <w:pPr>
              <w:pStyle w:val="Encabezado"/>
              <w:tabs>
                <w:tab w:val="left" w:pos="708"/>
              </w:tabs>
              <w:jc w:val="both"/>
              <w:outlineLvl w:val="0"/>
              <w:rPr>
                <w:rFonts w:ascii="Arial" w:hAnsi="Arial" w:cs="Arial"/>
                <w:bCs/>
                <w:iCs/>
              </w:rPr>
            </w:pPr>
            <w:r w:rsidRPr="00DF6A9A">
              <w:rPr>
                <w:rFonts w:ascii="Arial" w:hAnsi="Arial" w:cs="Arial"/>
                <w:bCs/>
                <w:iCs/>
              </w:rPr>
              <w:t xml:space="preserve">Se </w:t>
            </w:r>
            <w:r w:rsidRPr="00DF6A9A">
              <w:rPr>
                <w:rFonts w:ascii="Arial" w:hAnsi="Arial" w:cs="Arial"/>
                <w:bCs/>
                <w:iCs/>
              </w:rPr>
              <w:t>apr</w:t>
            </w:r>
            <w:r w:rsidRPr="00DF6A9A">
              <w:rPr>
                <w:rFonts w:ascii="Arial" w:hAnsi="Arial" w:cs="Arial"/>
                <w:bCs/>
                <w:iCs/>
              </w:rPr>
              <w:t>ueba</w:t>
            </w:r>
            <w:r w:rsidRPr="00DF6A9A">
              <w:rPr>
                <w:rFonts w:ascii="Arial" w:hAnsi="Arial" w:cs="Arial"/>
                <w:bCs/>
                <w:iCs/>
              </w:rPr>
              <w:t xml:space="preserve"> p</w:t>
            </w:r>
            <w:r w:rsidRPr="00DF6A9A">
              <w:rPr>
                <w:rFonts w:ascii="Arial" w:hAnsi="Arial" w:cs="Arial"/>
                <w:bCs/>
                <w:iCs/>
              </w:rPr>
              <w:t>o</w:t>
            </w:r>
            <w:r w:rsidRPr="00DF6A9A">
              <w:rPr>
                <w:rFonts w:ascii="Arial" w:hAnsi="Arial" w:cs="Arial"/>
                <w:bCs/>
                <w:iCs/>
              </w:rPr>
              <w:t>r 7 vot</w:t>
            </w:r>
            <w:r w:rsidRPr="00DF6A9A">
              <w:rPr>
                <w:rFonts w:ascii="Arial" w:hAnsi="Arial" w:cs="Arial"/>
                <w:bCs/>
                <w:iCs/>
              </w:rPr>
              <w:t>o</w:t>
            </w:r>
            <w:r w:rsidRPr="00DF6A9A">
              <w:rPr>
                <w:rFonts w:ascii="Arial" w:hAnsi="Arial" w:cs="Arial"/>
                <w:bCs/>
                <w:iCs/>
              </w:rPr>
              <w:t>s a favor manifesta</w:t>
            </w:r>
            <w:r w:rsidRPr="00DF6A9A">
              <w:rPr>
                <w:rFonts w:ascii="Arial" w:hAnsi="Arial" w:cs="Arial"/>
                <w:bCs/>
                <w:iCs/>
              </w:rPr>
              <w:t>dos</w:t>
            </w:r>
            <w:r w:rsidRPr="00DF6A9A">
              <w:rPr>
                <w:rFonts w:ascii="Arial" w:hAnsi="Arial" w:cs="Arial"/>
                <w:bCs/>
                <w:iCs/>
              </w:rPr>
              <w:t xml:space="preserve"> p</w:t>
            </w:r>
            <w:r w:rsidRPr="00DF6A9A">
              <w:rPr>
                <w:rFonts w:ascii="Arial" w:hAnsi="Arial" w:cs="Arial"/>
                <w:bCs/>
                <w:iCs/>
              </w:rPr>
              <w:t>or los</w:t>
            </w:r>
            <w:r w:rsidRPr="00DF6A9A">
              <w:rPr>
                <w:rFonts w:ascii="Arial" w:hAnsi="Arial" w:cs="Arial"/>
                <w:bCs/>
                <w:iCs/>
              </w:rPr>
              <w:t xml:space="preserve"> grup</w:t>
            </w:r>
            <w:r w:rsidRPr="00DF6A9A">
              <w:rPr>
                <w:rFonts w:ascii="Arial" w:hAnsi="Arial" w:cs="Arial"/>
                <w:bCs/>
                <w:iCs/>
              </w:rPr>
              <w:t>o</w:t>
            </w:r>
            <w:r w:rsidRPr="00DF6A9A">
              <w:rPr>
                <w:rFonts w:ascii="Arial" w:hAnsi="Arial" w:cs="Arial"/>
                <w:bCs/>
                <w:iCs/>
              </w:rPr>
              <w:t>s municipal</w:t>
            </w:r>
            <w:r w:rsidRPr="00DF6A9A">
              <w:rPr>
                <w:rFonts w:ascii="Arial" w:hAnsi="Arial" w:cs="Arial"/>
                <w:bCs/>
                <w:iCs/>
              </w:rPr>
              <w:t>e</w:t>
            </w:r>
            <w:r w:rsidRPr="00DF6A9A">
              <w:rPr>
                <w:rFonts w:ascii="Arial" w:hAnsi="Arial" w:cs="Arial"/>
                <w:bCs/>
                <w:iCs/>
              </w:rPr>
              <w:t xml:space="preserve">s del PSC, JxCAT </w:t>
            </w:r>
            <w:r w:rsidRPr="00DF6A9A">
              <w:rPr>
                <w:rFonts w:ascii="Arial" w:hAnsi="Arial" w:cs="Arial"/>
                <w:bCs/>
                <w:iCs/>
              </w:rPr>
              <w:t>y</w:t>
            </w:r>
            <w:r w:rsidRPr="00DF6A9A">
              <w:rPr>
                <w:rFonts w:ascii="Arial" w:hAnsi="Arial" w:cs="Arial"/>
                <w:bCs/>
                <w:iCs/>
              </w:rPr>
              <w:t xml:space="preserve"> el regidor no adscrit</w:t>
            </w:r>
            <w:r w:rsidRPr="00DF6A9A">
              <w:rPr>
                <w:rFonts w:ascii="Arial" w:hAnsi="Arial" w:cs="Arial"/>
                <w:bCs/>
                <w:iCs/>
              </w:rPr>
              <w:t>o</w:t>
            </w:r>
            <w:r w:rsidRPr="00DF6A9A">
              <w:rPr>
                <w:rFonts w:ascii="Arial" w:hAnsi="Arial" w:cs="Arial"/>
                <w:bCs/>
                <w:iCs/>
              </w:rPr>
              <w:t xml:space="preserve"> Pedro Martínez Rigote </w:t>
            </w:r>
            <w:r w:rsidRPr="00DF6A9A">
              <w:rPr>
                <w:rFonts w:ascii="Arial" w:hAnsi="Arial" w:cs="Arial"/>
                <w:bCs/>
                <w:iCs/>
              </w:rPr>
              <w:t>y</w:t>
            </w:r>
            <w:r w:rsidRPr="00DF6A9A">
              <w:rPr>
                <w:rFonts w:ascii="Arial" w:hAnsi="Arial" w:cs="Arial"/>
                <w:bCs/>
                <w:iCs/>
              </w:rPr>
              <w:t xml:space="preserve"> 5 vot</w:t>
            </w:r>
            <w:r w:rsidRPr="00DF6A9A">
              <w:rPr>
                <w:rFonts w:ascii="Arial" w:hAnsi="Arial" w:cs="Arial"/>
                <w:bCs/>
                <w:iCs/>
              </w:rPr>
              <w:t>o</w:t>
            </w:r>
            <w:r w:rsidRPr="00DF6A9A">
              <w:rPr>
                <w:rFonts w:ascii="Arial" w:hAnsi="Arial" w:cs="Arial"/>
                <w:bCs/>
                <w:iCs/>
              </w:rPr>
              <w:t>s en contra manifesta</w:t>
            </w:r>
            <w:r w:rsidRPr="00DF6A9A">
              <w:rPr>
                <w:rFonts w:ascii="Arial" w:hAnsi="Arial" w:cs="Arial"/>
                <w:bCs/>
                <w:iCs/>
              </w:rPr>
              <w:t>dos</w:t>
            </w:r>
            <w:r w:rsidRPr="00DF6A9A">
              <w:rPr>
                <w:rFonts w:ascii="Arial" w:hAnsi="Arial" w:cs="Arial"/>
                <w:bCs/>
                <w:iCs/>
              </w:rPr>
              <w:t xml:space="preserve"> p</w:t>
            </w:r>
            <w:r w:rsidRPr="00DF6A9A">
              <w:rPr>
                <w:rFonts w:ascii="Arial" w:hAnsi="Arial" w:cs="Arial"/>
                <w:bCs/>
                <w:iCs/>
              </w:rPr>
              <w:t>or los</w:t>
            </w:r>
            <w:r w:rsidRPr="00DF6A9A">
              <w:rPr>
                <w:rFonts w:ascii="Arial" w:hAnsi="Arial" w:cs="Arial"/>
                <w:bCs/>
                <w:iCs/>
              </w:rPr>
              <w:t xml:space="preserve"> grup</w:t>
            </w:r>
            <w:r w:rsidRPr="00DF6A9A">
              <w:rPr>
                <w:rFonts w:ascii="Arial" w:hAnsi="Arial" w:cs="Arial"/>
                <w:bCs/>
                <w:iCs/>
              </w:rPr>
              <w:t>o</w:t>
            </w:r>
            <w:r w:rsidRPr="00DF6A9A">
              <w:rPr>
                <w:rFonts w:ascii="Arial" w:hAnsi="Arial" w:cs="Arial"/>
                <w:bCs/>
                <w:iCs/>
              </w:rPr>
              <w:t>s municpal</w:t>
            </w:r>
            <w:r w:rsidRPr="00DF6A9A">
              <w:rPr>
                <w:rFonts w:ascii="Arial" w:hAnsi="Arial" w:cs="Arial"/>
                <w:bCs/>
                <w:iCs/>
              </w:rPr>
              <w:t>e</w:t>
            </w:r>
            <w:r w:rsidRPr="00DF6A9A">
              <w:rPr>
                <w:rFonts w:ascii="Arial" w:hAnsi="Arial" w:cs="Arial"/>
                <w:bCs/>
                <w:iCs/>
              </w:rPr>
              <w:t>s d'ERC, LAPAC i SDP</w:t>
            </w:r>
          </w:p>
        </w:tc>
      </w:tr>
    </w:tbl>
    <w:p w14:paraId="1CDEFD40" w14:textId="77777777" w:rsidR="003E5CA6" w:rsidRPr="003E5CA6" w:rsidRDefault="003E5CA6" w:rsidP="003E5CA6">
      <w:pPr>
        <w:jc w:val="both"/>
        <w:rPr>
          <w:rFonts w:ascii="Arial" w:hAnsi="Arial" w:cs="Arial"/>
          <w:sz w:val="20"/>
          <w:szCs w:val="20"/>
        </w:rPr>
      </w:pPr>
    </w:p>
    <w:p w14:paraId="5A282F05" w14:textId="77777777" w:rsidR="003E5CA6" w:rsidRPr="003E5CA6" w:rsidRDefault="003E5CA6" w:rsidP="003E5CA6">
      <w:pPr>
        <w:jc w:val="both"/>
        <w:rPr>
          <w:rFonts w:ascii="Arial" w:hAnsi="Arial" w:cs="Arial"/>
          <w:sz w:val="20"/>
          <w:szCs w:val="20"/>
        </w:rPr>
      </w:pPr>
    </w:p>
    <w:p w14:paraId="52A0BA11" w14:textId="77777777" w:rsidR="003E5CA6" w:rsidRPr="003E5CA6" w:rsidRDefault="003E5CA6" w:rsidP="003E5CA6">
      <w:pPr>
        <w:jc w:val="both"/>
        <w:rPr>
          <w:rFonts w:ascii="Arial" w:hAnsi="Arial" w:cs="Arial"/>
          <w:sz w:val="20"/>
          <w:szCs w:val="20"/>
        </w:rPr>
      </w:pPr>
    </w:p>
    <w:p w14:paraId="7B0F038D" w14:textId="77777777" w:rsidR="003E5CA6" w:rsidRPr="003E5CA6" w:rsidRDefault="003E5CA6" w:rsidP="003E5CA6">
      <w:pPr>
        <w:jc w:val="both"/>
        <w:rPr>
          <w:rFonts w:ascii="Arial" w:hAnsi="Arial" w:cs="Arial"/>
          <w:sz w:val="20"/>
          <w:szCs w:val="20"/>
        </w:rPr>
      </w:pPr>
      <w:r w:rsidRPr="003E5CA6">
        <w:rPr>
          <w:rFonts w:ascii="Arial" w:hAnsi="Arial" w:cs="Arial"/>
          <w:sz w:val="20"/>
          <w:szCs w:val="20"/>
        </w:rPr>
        <w:lastRenderedPageBreak/>
        <w:t>El acuerdo que precede consta en el borrador del acta de la sesión expresada, certificándose con las salvetats del artículo 206 del ROFRJ de las Entidades Locales y a reserva del que resulte de la aprobación del acta correspondiente.</w:t>
      </w:r>
    </w:p>
    <w:p w14:paraId="0A082F36" w14:textId="77777777" w:rsidR="003E5CA6" w:rsidRPr="003E5CA6" w:rsidRDefault="003E5CA6" w:rsidP="003E5CA6">
      <w:pPr>
        <w:jc w:val="both"/>
        <w:rPr>
          <w:rFonts w:ascii="Arial" w:hAnsi="Arial" w:cs="Arial"/>
          <w:sz w:val="20"/>
          <w:szCs w:val="20"/>
        </w:rPr>
      </w:pPr>
    </w:p>
    <w:p w14:paraId="7707EF2C" w14:textId="45377305" w:rsidR="003E5CA6" w:rsidRPr="003E5CA6" w:rsidRDefault="003E5CA6" w:rsidP="003E5CA6">
      <w:pPr>
        <w:jc w:val="both"/>
        <w:rPr>
          <w:rFonts w:ascii="Arial" w:hAnsi="Arial" w:cs="Arial"/>
          <w:sz w:val="20"/>
          <w:szCs w:val="20"/>
        </w:rPr>
      </w:pPr>
      <w:r w:rsidRPr="003E5CA6">
        <w:rPr>
          <w:rFonts w:ascii="Arial" w:hAnsi="Arial" w:cs="Arial"/>
          <w:sz w:val="20"/>
          <w:szCs w:val="20"/>
        </w:rPr>
        <w:t xml:space="preserve">Y para que así conste expido este certificado, de orden y con el visto bueno del </w:t>
      </w:r>
      <w:r w:rsidR="00DF6A9A">
        <w:rPr>
          <w:rFonts w:ascii="Arial" w:hAnsi="Arial" w:cs="Arial"/>
          <w:sz w:val="20"/>
          <w:szCs w:val="20"/>
        </w:rPr>
        <w:t>la alcaldesa</w:t>
      </w:r>
    </w:p>
    <w:p w14:paraId="1C498740" w14:textId="0A8C8380" w:rsidR="00B91BAD" w:rsidRPr="003E5CA6" w:rsidRDefault="003E5CA6" w:rsidP="003E5CA6">
      <w:pPr>
        <w:jc w:val="both"/>
        <w:rPr>
          <w:rFonts w:ascii="Arial" w:hAnsi="Arial" w:cs="Arial"/>
          <w:sz w:val="20"/>
          <w:szCs w:val="20"/>
        </w:rPr>
      </w:pPr>
      <w:r w:rsidRPr="003E5CA6">
        <w:rPr>
          <w:rFonts w:ascii="Arial" w:hAnsi="Arial" w:cs="Arial"/>
          <w:sz w:val="20"/>
          <w:szCs w:val="20"/>
        </w:rPr>
        <w:t xml:space="preserve"> </w:t>
      </w:r>
    </w:p>
    <w:sectPr w:rsidR="00B91BAD" w:rsidRPr="003E5CA6" w:rsidSect="00DF6A9A">
      <w:headerReference w:type="default" r:id="rId6"/>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289C8" w14:textId="77777777" w:rsidR="00DF6A9A" w:rsidRDefault="00DF6A9A" w:rsidP="00DF6A9A">
      <w:pPr>
        <w:spacing w:after="0" w:line="240" w:lineRule="auto"/>
      </w:pPr>
      <w:r>
        <w:separator/>
      </w:r>
    </w:p>
  </w:endnote>
  <w:endnote w:type="continuationSeparator" w:id="0">
    <w:p w14:paraId="0022C7A8" w14:textId="77777777" w:rsidR="00DF6A9A" w:rsidRDefault="00DF6A9A" w:rsidP="00DF6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46A99" w14:textId="77777777" w:rsidR="00DF6A9A" w:rsidRDefault="00DF6A9A" w:rsidP="00DF6A9A">
      <w:pPr>
        <w:spacing w:after="0" w:line="240" w:lineRule="auto"/>
      </w:pPr>
      <w:r>
        <w:separator/>
      </w:r>
    </w:p>
  </w:footnote>
  <w:footnote w:type="continuationSeparator" w:id="0">
    <w:p w14:paraId="6CD0DD70" w14:textId="77777777" w:rsidR="00DF6A9A" w:rsidRDefault="00DF6A9A" w:rsidP="00DF6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4594D" w14:textId="3A2801A0" w:rsidR="00DF6A9A" w:rsidRDefault="00DF6A9A">
    <w:pPr>
      <w:pStyle w:val="Encabezado"/>
    </w:pPr>
    <w:r>
      <w:rPr>
        <w:noProof/>
        <w:lang w:eastAsia="ca-ES"/>
      </w:rPr>
      <w:drawing>
        <wp:inline distT="0" distB="0" distL="0" distR="0" wp14:anchorId="2BD31DC9" wp14:editId="5D2A6682">
          <wp:extent cx="1682115" cy="903605"/>
          <wp:effectExtent l="0" t="0" r="0" b="0"/>
          <wp:docPr id="676370793" name="Imagen 676370793"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CA6"/>
    <w:rsid w:val="003E5CA6"/>
    <w:rsid w:val="00B91BAD"/>
    <w:rsid w:val="00C11966"/>
    <w:rsid w:val="00DF6A9A"/>
    <w:rsid w:val="00FF6A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4CC2B"/>
  <w15:chartTrackingRefBased/>
  <w15:docId w15:val="{56311CB7-E5BC-4B15-A454-DB18D09B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5C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E5C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E5CA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E5CA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E5CA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E5CA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E5CA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E5CA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E5CA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5CA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E5CA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E5CA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E5CA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E5CA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E5CA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E5CA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E5CA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E5CA6"/>
    <w:rPr>
      <w:rFonts w:eastAsiaTheme="majorEastAsia" w:cstheme="majorBidi"/>
      <w:color w:val="272727" w:themeColor="text1" w:themeTint="D8"/>
    </w:rPr>
  </w:style>
  <w:style w:type="paragraph" w:styleId="Ttulo">
    <w:name w:val="Title"/>
    <w:basedOn w:val="Normal"/>
    <w:next w:val="Normal"/>
    <w:link w:val="TtuloCar"/>
    <w:uiPriority w:val="10"/>
    <w:qFormat/>
    <w:rsid w:val="003E5C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E5C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E5CA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E5CA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E5CA6"/>
    <w:pPr>
      <w:spacing w:before="160"/>
      <w:jc w:val="center"/>
    </w:pPr>
    <w:rPr>
      <w:i/>
      <w:iCs/>
      <w:color w:val="404040" w:themeColor="text1" w:themeTint="BF"/>
    </w:rPr>
  </w:style>
  <w:style w:type="character" w:customStyle="1" w:styleId="CitaCar">
    <w:name w:val="Cita Car"/>
    <w:basedOn w:val="Fuentedeprrafopredeter"/>
    <w:link w:val="Cita"/>
    <w:uiPriority w:val="29"/>
    <w:rsid w:val="003E5CA6"/>
    <w:rPr>
      <w:i/>
      <w:iCs/>
      <w:color w:val="404040" w:themeColor="text1" w:themeTint="BF"/>
    </w:rPr>
  </w:style>
  <w:style w:type="paragraph" w:styleId="Prrafodelista">
    <w:name w:val="List Paragraph"/>
    <w:basedOn w:val="Normal"/>
    <w:uiPriority w:val="34"/>
    <w:qFormat/>
    <w:rsid w:val="003E5CA6"/>
    <w:pPr>
      <w:ind w:left="720"/>
      <w:contextualSpacing/>
    </w:pPr>
  </w:style>
  <w:style w:type="character" w:styleId="nfasisintenso">
    <w:name w:val="Intense Emphasis"/>
    <w:basedOn w:val="Fuentedeprrafopredeter"/>
    <w:uiPriority w:val="21"/>
    <w:qFormat/>
    <w:rsid w:val="003E5CA6"/>
    <w:rPr>
      <w:i/>
      <w:iCs/>
      <w:color w:val="0F4761" w:themeColor="accent1" w:themeShade="BF"/>
    </w:rPr>
  </w:style>
  <w:style w:type="paragraph" w:styleId="Citadestacada">
    <w:name w:val="Intense Quote"/>
    <w:basedOn w:val="Normal"/>
    <w:next w:val="Normal"/>
    <w:link w:val="CitadestacadaCar"/>
    <w:uiPriority w:val="30"/>
    <w:qFormat/>
    <w:rsid w:val="003E5C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E5CA6"/>
    <w:rPr>
      <w:i/>
      <w:iCs/>
      <w:color w:val="0F4761" w:themeColor="accent1" w:themeShade="BF"/>
    </w:rPr>
  </w:style>
  <w:style w:type="character" w:styleId="Referenciaintensa">
    <w:name w:val="Intense Reference"/>
    <w:basedOn w:val="Fuentedeprrafopredeter"/>
    <w:uiPriority w:val="32"/>
    <w:qFormat/>
    <w:rsid w:val="003E5CA6"/>
    <w:rPr>
      <w:b/>
      <w:bCs/>
      <w:smallCaps/>
      <w:color w:val="0F4761" w:themeColor="accent1" w:themeShade="BF"/>
      <w:spacing w:val="5"/>
    </w:rPr>
  </w:style>
  <w:style w:type="paragraph" w:styleId="Encabezado">
    <w:name w:val="header"/>
    <w:basedOn w:val="Normal"/>
    <w:link w:val="EncabezadoCar"/>
    <w:unhideWhenUsed/>
    <w:rsid w:val="00DF6A9A"/>
    <w:pPr>
      <w:tabs>
        <w:tab w:val="center" w:pos="4252"/>
        <w:tab w:val="right" w:pos="8504"/>
      </w:tabs>
      <w:spacing w:after="0" w:line="240" w:lineRule="auto"/>
    </w:pPr>
  </w:style>
  <w:style w:type="character" w:customStyle="1" w:styleId="EncabezadoCar">
    <w:name w:val="Encabezado Car"/>
    <w:basedOn w:val="Fuentedeprrafopredeter"/>
    <w:link w:val="Encabezado"/>
    <w:rsid w:val="00DF6A9A"/>
  </w:style>
  <w:style w:type="paragraph" w:styleId="Piedepgina">
    <w:name w:val="footer"/>
    <w:basedOn w:val="Normal"/>
    <w:link w:val="PiedepginaCar"/>
    <w:uiPriority w:val="99"/>
    <w:unhideWhenUsed/>
    <w:rsid w:val="00DF6A9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F6A9A"/>
  </w:style>
  <w:style w:type="paragraph" w:customStyle="1" w:styleId="Normal00">
    <w:name w:val="Normal_0_0"/>
    <w:qFormat/>
    <w:rsid w:val="00DF6A9A"/>
    <w:pPr>
      <w:spacing w:after="0" w:line="240" w:lineRule="auto"/>
    </w:pPr>
    <w:rPr>
      <w:rFonts w:ascii="Arial" w:eastAsia="Times New Roman" w:hAnsi="Arial" w:cs="Arial"/>
      <w:kern w:val="0"/>
      <w:sz w:val="20"/>
      <w:szCs w:val="24"/>
      <w:lang w:val="ca-ES" w:eastAsia="es-ES"/>
      <w14:ligatures w14:val="none"/>
    </w:rPr>
  </w:style>
  <w:style w:type="table" w:styleId="Tablaconcuadrcula">
    <w:name w:val="Table Grid"/>
    <w:basedOn w:val="Tablanormal"/>
    <w:uiPriority w:val="59"/>
    <w:rsid w:val="00DF6A9A"/>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961075">
      <w:bodyDiv w:val="1"/>
      <w:marLeft w:val="0"/>
      <w:marRight w:val="0"/>
      <w:marTop w:val="0"/>
      <w:marBottom w:val="0"/>
      <w:divBdr>
        <w:top w:val="none" w:sz="0" w:space="0" w:color="auto"/>
        <w:left w:val="none" w:sz="0" w:space="0" w:color="auto"/>
        <w:bottom w:val="none" w:sz="0" w:space="0" w:color="auto"/>
        <w:right w:val="none" w:sz="0" w:space="0" w:color="auto"/>
      </w:divBdr>
      <w:divsChild>
        <w:div w:id="1921518650">
          <w:marLeft w:val="-225"/>
          <w:marRight w:val="-225"/>
          <w:marTop w:val="0"/>
          <w:marBottom w:val="225"/>
          <w:divBdr>
            <w:top w:val="none" w:sz="0" w:space="0" w:color="auto"/>
            <w:left w:val="none" w:sz="0" w:space="0" w:color="auto"/>
            <w:bottom w:val="none" w:sz="0" w:space="0" w:color="auto"/>
            <w:right w:val="none" w:sz="0" w:space="0" w:color="auto"/>
          </w:divBdr>
          <w:divsChild>
            <w:div w:id="362093072">
              <w:marLeft w:val="0"/>
              <w:marRight w:val="0"/>
              <w:marTop w:val="0"/>
              <w:marBottom w:val="0"/>
              <w:divBdr>
                <w:top w:val="none" w:sz="0" w:space="0" w:color="auto"/>
                <w:left w:val="none" w:sz="0" w:space="0" w:color="auto"/>
                <w:bottom w:val="none" w:sz="0" w:space="0" w:color="auto"/>
                <w:right w:val="none" w:sz="0" w:space="0" w:color="auto"/>
              </w:divBdr>
              <w:divsChild>
                <w:div w:id="182577961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740909432">
          <w:marLeft w:val="0"/>
          <w:marRight w:val="0"/>
          <w:marTop w:val="225"/>
          <w:marBottom w:val="225"/>
          <w:divBdr>
            <w:top w:val="none" w:sz="0" w:space="0" w:color="auto"/>
            <w:left w:val="none" w:sz="0" w:space="0" w:color="auto"/>
            <w:bottom w:val="none" w:sz="0" w:space="0" w:color="auto"/>
            <w:right w:val="none" w:sz="0" w:space="0" w:color="auto"/>
          </w:divBdr>
          <w:divsChild>
            <w:div w:id="220794979">
              <w:marLeft w:val="-225"/>
              <w:marRight w:val="-225"/>
              <w:marTop w:val="0"/>
              <w:marBottom w:val="0"/>
              <w:divBdr>
                <w:top w:val="none" w:sz="0" w:space="0" w:color="auto"/>
                <w:left w:val="none" w:sz="0" w:space="0" w:color="auto"/>
                <w:bottom w:val="none" w:sz="0" w:space="0" w:color="auto"/>
                <w:right w:val="none" w:sz="0" w:space="0" w:color="auto"/>
              </w:divBdr>
              <w:divsChild>
                <w:div w:id="591476800">
                  <w:marLeft w:val="2000"/>
                  <w:marRight w:val="0"/>
                  <w:marTop w:val="0"/>
                  <w:marBottom w:val="0"/>
                  <w:divBdr>
                    <w:top w:val="none" w:sz="0" w:space="0" w:color="auto"/>
                    <w:left w:val="none" w:sz="0" w:space="0" w:color="auto"/>
                    <w:bottom w:val="none" w:sz="0" w:space="0" w:color="auto"/>
                    <w:right w:val="none" w:sz="0" w:space="0" w:color="auto"/>
                  </w:divBdr>
                </w:div>
                <w:div w:id="4154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2412</Words>
  <Characters>13267</Characters>
  <Application>Microsoft Office Word</Application>
  <DocSecurity>0</DocSecurity>
  <Lines>110</Lines>
  <Paragraphs>31</Paragraphs>
  <ScaleCrop>false</ScaleCrop>
  <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Oltra Giol</dc:creator>
  <cp:keywords/>
  <dc:description/>
  <cp:lastModifiedBy>Lidia Oltra Giol</cp:lastModifiedBy>
  <cp:revision>2</cp:revision>
  <dcterms:created xsi:type="dcterms:W3CDTF">2025-01-12T11:27:00Z</dcterms:created>
  <dcterms:modified xsi:type="dcterms:W3CDTF">2025-01-12T11:39:00Z</dcterms:modified>
</cp:coreProperties>
</file>