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20785" w:rsidRDefault="00F20785" w:rsidP="00F20785">
      <w:pPr>
        <w:jc w:val="both"/>
        <w:rPr>
          <w:rFonts w:ascii="Arteixo Sans" w:hAnsi="Arteixo Sans"/>
          <w:b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“Extracto da convocatoria</w:t>
      </w:r>
      <w:r w:rsidR="00C261EB">
        <w:rPr>
          <w:rFonts w:ascii="Arteixo Sans" w:hAnsi="Arteixo Sans"/>
          <w:b/>
          <w:sz w:val="24"/>
          <w:szCs w:val="24"/>
        </w:rPr>
        <w:t xml:space="preserve"> anticipada</w:t>
      </w:r>
      <w:r w:rsidR="00781512">
        <w:rPr>
          <w:rFonts w:ascii="Arteixo Sans" w:hAnsi="Arteixo Sans"/>
          <w:b/>
          <w:sz w:val="24"/>
          <w:szCs w:val="24"/>
        </w:rPr>
        <w:t xml:space="preserve"> para o ano 2025</w:t>
      </w:r>
      <w:r w:rsidRPr="00F20785">
        <w:rPr>
          <w:rFonts w:ascii="Arteixo Sans" w:hAnsi="Arteixo Sans"/>
          <w:b/>
          <w:sz w:val="24"/>
          <w:szCs w:val="24"/>
        </w:rPr>
        <w:t xml:space="preserve"> das subvencións para Asociacións de</w:t>
      </w:r>
      <w:r w:rsidR="00C261EB">
        <w:rPr>
          <w:rFonts w:ascii="Arteixo Sans" w:hAnsi="Arteixo Sans"/>
          <w:b/>
          <w:sz w:val="24"/>
          <w:szCs w:val="24"/>
        </w:rPr>
        <w:t xml:space="preserve"> </w:t>
      </w:r>
      <w:r w:rsidRPr="00F20785">
        <w:rPr>
          <w:rFonts w:ascii="Arteixo Sans" w:hAnsi="Arteixo Sans"/>
          <w:b/>
          <w:sz w:val="24"/>
          <w:szCs w:val="24"/>
        </w:rPr>
        <w:t>Veciños destinadas para o Fomento da Convivencia do Concello de Arteixo.</w:t>
      </w:r>
    </w:p>
    <w:p w:rsidR="00AE33D1" w:rsidRPr="00F20785" w:rsidRDefault="00AE33D1" w:rsidP="00F20785">
      <w:pPr>
        <w:jc w:val="both"/>
        <w:rPr>
          <w:rFonts w:ascii="Arteixo Sans" w:hAnsi="Arteixo Sans"/>
          <w:b/>
          <w:sz w:val="24"/>
          <w:szCs w:val="24"/>
        </w:rPr>
      </w:pPr>
    </w:p>
    <w:p w:rsidR="00F20785" w:rsidRPr="00F20785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Obxecto.-</w:t>
      </w:r>
      <w:r w:rsidRPr="00F20785">
        <w:rPr>
          <w:rFonts w:ascii="Arteixo Sans" w:hAnsi="Arteixo Sans"/>
          <w:sz w:val="24"/>
          <w:szCs w:val="24"/>
        </w:rPr>
        <w:t xml:space="preserve"> </w:t>
      </w:r>
      <w:r w:rsidR="00AE33D1">
        <w:rPr>
          <w:rFonts w:ascii="Arteixo Sans" w:hAnsi="Arteixo Sans"/>
          <w:sz w:val="24"/>
          <w:szCs w:val="24"/>
        </w:rPr>
        <w:t xml:space="preserve">establecer de forma anticipada , </w:t>
      </w:r>
      <w:r w:rsidRPr="00F20785">
        <w:rPr>
          <w:rFonts w:ascii="Arteixo Sans" w:hAnsi="Arteixo Sans"/>
          <w:sz w:val="24"/>
          <w:szCs w:val="24"/>
        </w:rPr>
        <w:t>a concesión, en réxime de</w:t>
      </w:r>
      <w:r w:rsidR="00AE33D1">
        <w:rPr>
          <w:rFonts w:ascii="Arteixo Sans" w:hAnsi="Arteixo Sans"/>
          <w:sz w:val="24"/>
          <w:szCs w:val="24"/>
        </w:rPr>
        <w:t xml:space="preserve"> publicidade, </w:t>
      </w:r>
      <w:proofErr w:type="spellStart"/>
      <w:r w:rsidR="00AE33D1">
        <w:rPr>
          <w:rFonts w:ascii="Arteixo Sans" w:hAnsi="Arteixo Sans"/>
          <w:sz w:val="24"/>
          <w:szCs w:val="24"/>
        </w:rPr>
        <w:t>obxetividade</w:t>
      </w:r>
      <w:proofErr w:type="spellEnd"/>
      <w:r w:rsidR="00AE33D1">
        <w:rPr>
          <w:rFonts w:ascii="Arteixo Sans" w:hAnsi="Arteixo Sans"/>
          <w:sz w:val="24"/>
          <w:szCs w:val="24"/>
        </w:rPr>
        <w:t xml:space="preserve"> e  concorrencia competitiva, </w:t>
      </w:r>
      <w:r w:rsidRPr="00F20785">
        <w:rPr>
          <w:rFonts w:ascii="Arteixo Sans" w:hAnsi="Arteixo Sans"/>
          <w:sz w:val="24"/>
          <w:szCs w:val="24"/>
        </w:rPr>
        <w:t xml:space="preserve"> axudas económicas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ás Asociacións de Veciños constituídas como tales, e con ámbito de actuación no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Concello de Arteixo, co fin de colaborar co tecido asociativo municipal para o fomento de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participación da cidadanía para o desenvolvemento de actividades de ocio e programas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de participación e dinamización de interese xeral para a veciñanza, a través dos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seguintes programas:</w:t>
      </w:r>
    </w:p>
    <w:p w:rsidR="00F20785" w:rsidRPr="00F20785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sz w:val="24"/>
          <w:szCs w:val="24"/>
        </w:rPr>
        <w:t>Bloque 1.- Programas e actividades que favorezan a participación entre a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veciñanza</w:t>
      </w:r>
      <w:r w:rsidR="00AE33D1">
        <w:rPr>
          <w:rFonts w:ascii="Arteixo Sans" w:hAnsi="Arteixo Sans"/>
          <w:sz w:val="24"/>
          <w:szCs w:val="24"/>
        </w:rPr>
        <w:t>.</w:t>
      </w:r>
    </w:p>
    <w:p w:rsidR="00F20785" w:rsidRPr="00F20785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sz w:val="24"/>
          <w:szCs w:val="24"/>
        </w:rPr>
        <w:t>Bloque 2.- Formación:</w:t>
      </w:r>
      <w:r w:rsidR="00AE33D1" w:rsidRPr="00AE33D1">
        <w:t xml:space="preserve"> </w:t>
      </w:r>
      <w:r w:rsidR="00AE33D1" w:rsidRPr="00AE33D1">
        <w:rPr>
          <w:rFonts w:ascii="Arteixo Sans" w:hAnsi="Arteixo Sans"/>
          <w:sz w:val="24"/>
          <w:szCs w:val="24"/>
        </w:rPr>
        <w:t>Obradoiros, cursos, charlas, coloquios, conferencias, saídas e excursións que fomenten a convivencia entre a veciñanza</w:t>
      </w:r>
      <w:r w:rsidR="00AE33D1">
        <w:rPr>
          <w:rFonts w:ascii="Arteixo Sans" w:hAnsi="Arteixo Sans"/>
          <w:sz w:val="24"/>
          <w:szCs w:val="24"/>
        </w:rPr>
        <w:t>.</w:t>
      </w:r>
    </w:p>
    <w:p w:rsidR="00F20785" w:rsidRPr="00F20785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Beneficiarios/as.-</w:t>
      </w:r>
      <w:r w:rsidRPr="00F20785">
        <w:rPr>
          <w:rFonts w:ascii="Arteixo Sans" w:hAnsi="Arteixo Sans"/>
          <w:sz w:val="24"/>
          <w:szCs w:val="24"/>
        </w:rPr>
        <w:t xml:space="preserve"> Poderán ser beneficiarios de estas subvencións, as Asociacións de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Veciños legalmente constituídas ou agrupacións de varias Asociacións de Veciños, que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realicen as actividades obxecto das presentes bases e reúnan os requisitos esixidos nas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mesmas.</w:t>
      </w:r>
    </w:p>
    <w:p w:rsidR="00D461CD" w:rsidRPr="00F20785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Bases reguladoras.-</w:t>
      </w:r>
      <w:r w:rsidRPr="00F20785">
        <w:rPr>
          <w:rFonts w:ascii="Arteixo Sans" w:hAnsi="Arteixo Sans"/>
          <w:sz w:val="24"/>
          <w:szCs w:val="24"/>
        </w:rPr>
        <w:t xml:space="preserve"> A convocatoria</w:t>
      </w:r>
      <w:r w:rsidR="00D461CD">
        <w:rPr>
          <w:rFonts w:ascii="Arteixo Sans" w:hAnsi="Arteixo Sans"/>
          <w:sz w:val="24"/>
          <w:szCs w:val="24"/>
        </w:rPr>
        <w:t xml:space="preserve"> en réxime de concesión anticipada</w:t>
      </w:r>
      <w:r w:rsidRPr="00F20785">
        <w:rPr>
          <w:rFonts w:ascii="Arteixo Sans" w:hAnsi="Arteixo Sans"/>
          <w:sz w:val="24"/>
          <w:szCs w:val="24"/>
        </w:rPr>
        <w:t xml:space="preserve"> realízase ao abeiro das as bases xerais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reguladoras das subvencións para Asociacións de Veciños destinadas para o Fomento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 xml:space="preserve">da Convivencia do Concello de Arteixo, vixentes publicadas no BOP nº </w:t>
      </w:r>
      <w:r w:rsidR="00D461CD">
        <w:rPr>
          <w:rFonts w:ascii="Arteixo Sans" w:hAnsi="Arteixo Sans"/>
          <w:sz w:val="24"/>
          <w:szCs w:val="24"/>
        </w:rPr>
        <w:t>174</w:t>
      </w:r>
      <w:r w:rsidRPr="00F20785">
        <w:rPr>
          <w:rFonts w:ascii="Arteixo Sans" w:hAnsi="Arteixo Sans"/>
          <w:sz w:val="24"/>
          <w:szCs w:val="24"/>
        </w:rPr>
        <w:t xml:space="preserve">, de </w:t>
      </w:r>
      <w:r w:rsidR="00D461CD">
        <w:rPr>
          <w:rFonts w:ascii="Arteixo Sans" w:hAnsi="Arteixo Sans"/>
          <w:sz w:val="24"/>
          <w:szCs w:val="24"/>
        </w:rPr>
        <w:t>10 de setembro de 2024.</w:t>
      </w:r>
    </w:p>
    <w:p w:rsidR="00E84D51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Contía.-</w:t>
      </w:r>
      <w:r w:rsidRPr="00F20785">
        <w:rPr>
          <w:rFonts w:ascii="Arteixo Sans" w:hAnsi="Arteixo Sans"/>
          <w:sz w:val="24"/>
          <w:szCs w:val="24"/>
        </w:rPr>
        <w:t xml:space="preserve"> </w:t>
      </w:r>
      <w:r w:rsidR="00AE33D1">
        <w:rPr>
          <w:rFonts w:ascii="Arteixo Sans" w:hAnsi="Arteixo Sans"/>
          <w:sz w:val="24"/>
          <w:szCs w:val="24"/>
        </w:rPr>
        <w:t xml:space="preserve">O importe da consignación </w:t>
      </w:r>
      <w:r>
        <w:rPr>
          <w:rFonts w:ascii="Arteixo Sans" w:hAnsi="Arteixo Sans"/>
          <w:sz w:val="24"/>
          <w:szCs w:val="24"/>
        </w:rPr>
        <w:t>ascende 75</w:t>
      </w:r>
      <w:r w:rsidRPr="00F20785">
        <w:rPr>
          <w:rFonts w:ascii="Arteixo Sans" w:hAnsi="Arteixo Sans"/>
          <w:sz w:val="24"/>
          <w:szCs w:val="24"/>
        </w:rPr>
        <w:t>.000,00 € con cargo á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 xml:space="preserve">aplicación orzamentaria 924.48903, do </w:t>
      </w:r>
      <w:r>
        <w:rPr>
          <w:rFonts w:ascii="Arteixo Sans" w:hAnsi="Arteixo Sans"/>
          <w:sz w:val="24"/>
          <w:szCs w:val="24"/>
        </w:rPr>
        <w:t>presuposto ordinario para o 2025</w:t>
      </w:r>
      <w:r w:rsidR="005B0B2C">
        <w:rPr>
          <w:rFonts w:ascii="Arteixo Sans" w:hAnsi="Arteixo Sans"/>
          <w:sz w:val="24"/>
          <w:szCs w:val="24"/>
        </w:rPr>
        <w:t>, mediante convocatoria anticipada de gasto</w:t>
      </w:r>
      <w:r w:rsidR="00A62877">
        <w:rPr>
          <w:rFonts w:ascii="Arteixo Sans" w:hAnsi="Arteixo Sans"/>
          <w:sz w:val="24"/>
          <w:szCs w:val="24"/>
        </w:rPr>
        <w:t xml:space="preserve">, </w:t>
      </w:r>
      <w:r w:rsidR="00E84D51">
        <w:rPr>
          <w:rFonts w:ascii="Arteixo Sans" w:hAnsi="Arteixo Sans"/>
          <w:sz w:val="24"/>
          <w:szCs w:val="24"/>
        </w:rPr>
        <w:t xml:space="preserve"> coeficiente de financiación </w:t>
      </w:r>
      <w:r w:rsidR="00A62877">
        <w:rPr>
          <w:rFonts w:ascii="Arteixo Sans" w:hAnsi="Arteixo Sans"/>
          <w:sz w:val="24"/>
          <w:szCs w:val="24"/>
        </w:rPr>
        <w:t xml:space="preserve"> 80% </w:t>
      </w:r>
      <w:r w:rsidR="00E84D51">
        <w:rPr>
          <w:rFonts w:ascii="Arteixo Sans" w:hAnsi="Arteixo Sans"/>
          <w:sz w:val="24"/>
          <w:szCs w:val="24"/>
        </w:rPr>
        <w:t>.</w:t>
      </w:r>
    </w:p>
    <w:p w:rsidR="00F20785" w:rsidRPr="00F20785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Criterios de valoración.-</w:t>
      </w:r>
      <w:r w:rsidRPr="00F20785">
        <w:rPr>
          <w:rFonts w:ascii="Arteixo Sans" w:hAnsi="Arteixo Sans"/>
          <w:sz w:val="24"/>
          <w:szCs w:val="24"/>
        </w:rPr>
        <w:t xml:space="preserve"> </w:t>
      </w:r>
      <w:r w:rsidR="00E84D51">
        <w:rPr>
          <w:rFonts w:ascii="Arteixo Sans" w:hAnsi="Arteixo Sans"/>
          <w:sz w:val="24"/>
          <w:szCs w:val="24"/>
        </w:rPr>
        <w:t xml:space="preserve"> O artigo 7  das</w:t>
      </w:r>
      <w:r w:rsidRPr="00F20785">
        <w:rPr>
          <w:rFonts w:ascii="Arteixo Sans" w:hAnsi="Arteixo Sans"/>
          <w:sz w:val="24"/>
          <w:szCs w:val="24"/>
        </w:rPr>
        <w:t xml:space="preserve"> bases reguladoras conteñen os criterios de valoración, os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criterios de adxudicación e o procedemento de concesión aplicables a cada programa de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>axudas.</w:t>
      </w:r>
    </w:p>
    <w:p w:rsidR="00C72B1D" w:rsidRDefault="00F20785" w:rsidP="00F20785">
      <w:pPr>
        <w:jc w:val="both"/>
        <w:rPr>
          <w:rFonts w:ascii="Arteixo Sans" w:hAnsi="Arteixo Sans"/>
          <w:sz w:val="24"/>
          <w:szCs w:val="24"/>
        </w:rPr>
      </w:pPr>
      <w:r w:rsidRPr="00F20785">
        <w:rPr>
          <w:rFonts w:ascii="Arteixo Sans" w:hAnsi="Arteixo Sans"/>
          <w:b/>
          <w:sz w:val="24"/>
          <w:szCs w:val="24"/>
        </w:rPr>
        <w:t>Prazo de presentación</w:t>
      </w:r>
      <w:r w:rsidR="00C261EB">
        <w:rPr>
          <w:rFonts w:ascii="Arteixo Sans" w:hAnsi="Arteixo Sans"/>
          <w:b/>
          <w:sz w:val="24"/>
          <w:szCs w:val="24"/>
        </w:rPr>
        <w:t xml:space="preserve"> </w:t>
      </w:r>
      <w:r w:rsidRPr="00F20785">
        <w:rPr>
          <w:rFonts w:ascii="Arteixo Sans" w:hAnsi="Arteixo Sans"/>
          <w:b/>
          <w:sz w:val="24"/>
          <w:szCs w:val="24"/>
        </w:rPr>
        <w:t>.-</w:t>
      </w:r>
      <w:r w:rsidRPr="00F20785">
        <w:rPr>
          <w:rFonts w:ascii="Arteixo Sans" w:hAnsi="Arteixo Sans"/>
          <w:sz w:val="24"/>
          <w:szCs w:val="24"/>
        </w:rPr>
        <w:t xml:space="preserve"> o prazo de presentación </w:t>
      </w:r>
      <w:r w:rsidR="00C261EB">
        <w:rPr>
          <w:rFonts w:ascii="Arteixo Sans" w:hAnsi="Arteixo Sans"/>
          <w:sz w:val="24"/>
          <w:szCs w:val="24"/>
        </w:rPr>
        <w:t xml:space="preserve">das subvencións solicitadas </w:t>
      </w:r>
      <w:r w:rsidRPr="00F20785">
        <w:rPr>
          <w:rFonts w:ascii="Arteixo Sans" w:hAnsi="Arteixo Sans"/>
          <w:sz w:val="24"/>
          <w:szCs w:val="24"/>
        </w:rPr>
        <w:t>iniciarase ao día seguinte da</w:t>
      </w:r>
      <w:r>
        <w:rPr>
          <w:rFonts w:ascii="Arteixo Sans" w:hAnsi="Arteixo Sans"/>
          <w:sz w:val="24"/>
          <w:szCs w:val="24"/>
        </w:rPr>
        <w:t xml:space="preserve"> </w:t>
      </w:r>
      <w:r w:rsidRPr="00F20785">
        <w:rPr>
          <w:rFonts w:ascii="Arteixo Sans" w:hAnsi="Arteixo Sans"/>
          <w:sz w:val="24"/>
          <w:szCs w:val="24"/>
        </w:rPr>
        <w:t xml:space="preserve">publicación da convocatoria no Boletín Oficial da Provincia (BOP) e rematará </w:t>
      </w:r>
      <w:r w:rsidR="00C261EB">
        <w:rPr>
          <w:rFonts w:ascii="Arteixo Sans" w:hAnsi="Arteixo Sans"/>
          <w:sz w:val="24"/>
          <w:szCs w:val="24"/>
        </w:rPr>
        <w:t>o 15 de decembro de 2024.</w:t>
      </w:r>
    </w:p>
    <w:p w:rsidR="005B0B2C" w:rsidRPr="00F20785" w:rsidRDefault="005B0B2C" w:rsidP="00F20785">
      <w:pPr>
        <w:jc w:val="both"/>
        <w:rPr>
          <w:rFonts w:ascii="Arteixo Sans" w:hAnsi="Arteixo Sans"/>
          <w:sz w:val="24"/>
          <w:szCs w:val="24"/>
        </w:rPr>
      </w:pPr>
      <w:r w:rsidRPr="005B0B2C">
        <w:rPr>
          <w:rFonts w:ascii="Arteixo Sans" w:hAnsi="Arteixo Sans"/>
          <w:b/>
          <w:sz w:val="24"/>
          <w:szCs w:val="24"/>
        </w:rPr>
        <w:t xml:space="preserve">Prazo de xustificación da subvención.- </w:t>
      </w:r>
      <w:r w:rsidRPr="005B0B2C">
        <w:rPr>
          <w:rFonts w:ascii="Arteixo Sans" w:hAnsi="Arteixo Sans"/>
          <w:sz w:val="24"/>
          <w:szCs w:val="24"/>
        </w:rPr>
        <w:t>Para este ano 2024,</w:t>
      </w:r>
      <w:r w:rsidR="00A62877">
        <w:rPr>
          <w:rFonts w:ascii="Arteixo Sans" w:hAnsi="Arteixo Sans"/>
          <w:sz w:val="24"/>
          <w:szCs w:val="24"/>
        </w:rPr>
        <w:t xml:space="preserve"> o prazo de xustificación será </w:t>
      </w:r>
      <w:r w:rsidR="003C0D03">
        <w:rPr>
          <w:rFonts w:ascii="Arteixo Sans" w:hAnsi="Arteixo Sans"/>
          <w:sz w:val="24"/>
          <w:szCs w:val="24"/>
        </w:rPr>
        <w:t xml:space="preserve">de </w:t>
      </w:r>
      <w:r w:rsidR="00A62877">
        <w:rPr>
          <w:rFonts w:ascii="Arteixo Sans" w:hAnsi="Arteixo Sans"/>
          <w:sz w:val="24"/>
          <w:szCs w:val="24"/>
        </w:rPr>
        <w:t xml:space="preserve">un </w:t>
      </w:r>
      <w:bookmarkStart w:id="0" w:name="_GoBack"/>
      <w:bookmarkEnd w:id="0"/>
      <w:r w:rsidR="00A62877">
        <w:rPr>
          <w:rFonts w:ascii="Arteixo Sans" w:hAnsi="Arteixo Sans"/>
          <w:sz w:val="24"/>
          <w:szCs w:val="24"/>
        </w:rPr>
        <w:t>mes des</w:t>
      </w:r>
      <w:r w:rsidR="003C0D03">
        <w:rPr>
          <w:rFonts w:ascii="Arteixo Sans" w:hAnsi="Arteixo Sans"/>
          <w:sz w:val="24"/>
          <w:szCs w:val="24"/>
        </w:rPr>
        <w:t>de a</w:t>
      </w:r>
      <w:r w:rsidR="00A62877">
        <w:rPr>
          <w:rFonts w:ascii="Arteixo Sans" w:hAnsi="Arteixo Sans"/>
          <w:sz w:val="24"/>
          <w:szCs w:val="24"/>
        </w:rPr>
        <w:t xml:space="preserve"> notificación da resolución da concesi</w:t>
      </w:r>
      <w:r w:rsidR="00E84D51">
        <w:rPr>
          <w:rFonts w:ascii="Arteixo Sans" w:hAnsi="Arteixo Sans"/>
          <w:sz w:val="24"/>
          <w:szCs w:val="24"/>
        </w:rPr>
        <w:t>ón.</w:t>
      </w:r>
      <w:r w:rsidR="00FD670A">
        <w:rPr>
          <w:rFonts w:ascii="Arteixo Sans" w:hAnsi="Arteixo Sans"/>
          <w:sz w:val="24"/>
          <w:szCs w:val="24"/>
        </w:rPr>
        <w:t>”</w:t>
      </w:r>
    </w:p>
    <w:sectPr w:rsidR="005B0B2C" w:rsidRPr="00F20785" w:rsidSect="00AE02C1">
      <w:headerReference w:type="default" r:id="rId8"/>
      <w:pgSz w:w="11906" w:h="16838"/>
      <w:pgMar w:top="765" w:right="991" w:bottom="623" w:left="851" w:header="709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C34" w:rsidRDefault="00484C34">
      <w:pPr>
        <w:spacing w:after="0" w:line="240" w:lineRule="auto"/>
      </w:pPr>
      <w:r>
        <w:separator/>
      </w:r>
    </w:p>
  </w:endnote>
  <w:endnote w:type="continuationSeparator" w:id="0">
    <w:p w:rsidR="00484C34" w:rsidRDefault="0048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C34" w:rsidRDefault="00484C34">
      <w:pPr>
        <w:spacing w:after="0" w:line="240" w:lineRule="auto"/>
      </w:pPr>
      <w:r>
        <w:separator/>
      </w:r>
    </w:p>
  </w:footnote>
  <w:footnote w:type="continuationSeparator" w:id="0">
    <w:p w:rsidR="00484C34" w:rsidRDefault="0048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3009"/>
      <w:gridCol w:w="5441"/>
      <w:gridCol w:w="1750"/>
    </w:tblGrid>
    <w:tr w:rsidR="00441088" w:rsidTr="00A24EDE">
      <w:trPr>
        <w:cantSplit/>
        <w:trHeight w:val="913"/>
        <w:jc w:val="center"/>
      </w:trPr>
      <w:tc>
        <w:tcPr>
          <w:tcW w:w="3009" w:type="dxa"/>
          <w:shd w:val="clear" w:color="auto" w:fill="auto"/>
        </w:tcPr>
        <w:p w:rsidR="00441088" w:rsidRDefault="00441088">
          <w:pPr>
            <w:tabs>
              <w:tab w:val="left" w:pos="140"/>
            </w:tabs>
            <w:snapToGrid w:val="0"/>
            <w:spacing w:after="0" w:line="240" w:lineRule="auto"/>
            <w:ind w:hanging="108"/>
            <w:jc w:val="both"/>
          </w:pPr>
        </w:p>
      </w:tc>
      <w:tc>
        <w:tcPr>
          <w:tcW w:w="5441" w:type="dxa"/>
          <w:shd w:val="clear" w:color="auto" w:fill="auto"/>
          <w:vAlign w:val="bottom"/>
        </w:tcPr>
        <w:p w:rsidR="00441088" w:rsidRDefault="00441088">
          <w:pPr>
            <w:tabs>
              <w:tab w:val="center" w:pos="5454"/>
            </w:tabs>
            <w:snapToGrid w:val="0"/>
            <w:spacing w:after="0" w:line="240" w:lineRule="auto"/>
            <w:jc w:val="center"/>
          </w:pPr>
        </w:p>
      </w:tc>
      <w:tc>
        <w:tcPr>
          <w:tcW w:w="1750" w:type="dxa"/>
          <w:vMerge w:val="restart"/>
          <w:shd w:val="clear" w:color="auto" w:fill="auto"/>
        </w:tcPr>
        <w:p w:rsidR="00441088" w:rsidRDefault="00441088">
          <w:pPr>
            <w:spacing w:after="0" w:line="240" w:lineRule="auto"/>
          </w:pPr>
        </w:p>
      </w:tc>
    </w:tr>
    <w:tr w:rsidR="00441088" w:rsidTr="00A24EDE">
      <w:trPr>
        <w:cantSplit/>
        <w:trHeight w:val="337"/>
        <w:jc w:val="center"/>
      </w:trPr>
      <w:tc>
        <w:tcPr>
          <w:tcW w:w="3009" w:type="dxa"/>
          <w:shd w:val="clear" w:color="auto" w:fill="auto"/>
        </w:tcPr>
        <w:p w:rsidR="00441088" w:rsidRDefault="00441088">
          <w:pPr>
            <w:spacing w:after="0" w:line="240" w:lineRule="auto"/>
            <w:ind w:left="-108"/>
            <w:jc w:val="center"/>
          </w:pPr>
        </w:p>
      </w:tc>
      <w:tc>
        <w:tcPr>
          <w:tcW w:w="5441" w:type="dxa"/>
          <w:shd w:val="clear" w:color="auto" w:fill="auto"/>
        </w:tcPr>
        <w:p w:rsidR="00441088" w:rsidRDefault="00441088">
          <w:pPr>
            <w:snapToGrid w:val="0"/>
            <w:spacing w:after="0" w:line="240" w:lineRule="auto"/>
            <w:jc w:val="center"/>
          </w:pPr>
        </w:p>
      </w:tc>
      <w:tc>
        <w:tcPr>
          <w:tcW w:w="1750" w:type="dxa"/>
          <w:vMerge/>
          <w:shd w:val="clear" w:color="auto" w:fill="auto"/>
        </w:tcPr>
        <w:p w:rsidR="00441088" w:rsidRPr="00574C12" w:rsidRDefault="00441088">
          <w:pPr>
            <w:suppressAutoHyphens w:val="0"/>
            <w:snapToGrid w:val="0"/>
            <w:spacing w:after="0" w:line="240" w:lineRule="auto"/>
            <w:rPr>
              <w:bCs/>
              <w:sz w:val="14"/>
              <w:szCs w:val="14"/>
              <w:lang w:val="en-US"/>
            </w:rPr>
          </w:pPr>
        </w:p>
      </w:tc>
    </w:tr>
  </w:tbl>
  <w:p w:rsidR="00441088" w:rsidRDefault="00441088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E1679"/>
    <w:multiLevelType w:val="hybridMultilevel"/>
    <w:tmpl w:val="5EA41AB4"/>
    <w:lvl w:ilvl="0" w:tplc="0C0A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408D31C0"/>
    <w:multiLevelType w:val="hybridMultilevel"/>
    <w:tmpl w:val="97C04A9A"/>
    <w:lvl w:ilvl="0" w:tplc="6B087F92">
      <w:numFmt w:val="bullet"/>
      <w:lvlText w:val="•"/>
      <w:lvlJc w:val="left"/>
      <w:pPr>
        <w:ind w:left="814" w:hanging="34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1"/>
        <w:sz w:val="24"/>
        <w:szCs w:val="24"/>
        <w:lang w:val="es-ES" w:eastAsia="en-US" w:bidi="ar-SA"/>
      </w:rPr>
    </w:lvl>
    <w:lvl w:ilvl="1" w:tplc="A4AABBBE">
      <w:numFmt w:val="bullet"/>
      <w:lvlText w:val="-"/>
      <w:lvlJc w:val="left"/>
      <w:pPr>
        <w:ind w:left="1249" w:hanging="43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2" w:tplc="2210259C">
      <w:numFmt w:val="bullet"/>
      <w:lvlText w:val="o"/>
      <w:lvlJc w:val="left"/>
      <w:pPr>
        <w:ind w:left="2068" w:hanging="57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3" w:tplc="28D60CA8">
      <w:numFmt w:val="bullet"/>
      <w:lvlText w:val="▪"/>
      <w:lvlJc w:val="left"/>
      <w:pPr>
        <w:ind w:left="2182" w:hanging="89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5"/>
        <w:sz w:val="18"/>
        <w:szCs w:val="18"/>
        <w:lang w:val="es-ES" w:eastAsia="en-US" w:bidi="ar-SA"/>
      </w:rPr>
    </w:lvl>
    <w:lvl w:ilvl="4" w:tplc="C5781E94">
      <w:numFmt w:val="bullet"/>
      <w:lvlText w:val="•"/>
      <w:lvlJc w:val="left"/>
      <w:pPr>
        <w:ind w:left="3286" w:hanging="89"/>
      </w:pPr>
      <w:rPr>
        <w:rFonts w:hint="default"/>
        <w:lang w:val="es-ES" w:eastAsia="en-US" w:bidi="ar-SA"/>
      </w:rPr>
    </w:lvl>
    <w:lvl w:ilvl="5" w:tplc="8472B1C0">
      <w:numFmt w:val="bullet"/>
      <w:lvlText w:val="•"/>
      <w:lvlJc w:val="left"/>
      <w:pPr>
        <w:ind w:left="4393" w:hanging="89"/>
      </w:pPr>
      <w:rPr>
        <w:rFonts w:hint="default"/>
        <w:lang w:val="es-ES" w:eastAsia="en-US" w:bidi="ar-SA"/>
      </w:rPr>
    </w:lvl>
    <w:lvl w:ilvl="6" w:tplc="AB0ED002">
      <w:numFmt w:val="bullet"/>
      <w:lvlText w:val="•"/>
      <w:lvlJc w:val="left"/>
      <w:pPr>
        <w:ind w:left="5499" w:hanging="89"/>
      </w:pPr>
      <w:rPr>
        <w:rFonts w:hint="default"/>
        <w:lang w:val="es-ES" w:eastAsia="en-US" w:bidi="ar-SA"/>
      </w:rPr>
    </w:lvl>
    <w:lvl w:ilvl="7" w:tplc="6B24A56E">
      <w:numFmt w:val="bullet"/>
      <w:lvlText w:val="•"/>
      <w:lvlJc w:val="left"/>
      <w:pPr>
        <w:ind w:left="6606" w:hanging="89"/>
      </w:pPr>
      <w:rPr>
        <w:rFonts w:hint="default"/>
        <w:lang w:val="es-ES" w:eastAsia="en-US" w:bidi="ar-SA"/>
      </w:rPr>
    </w:lvl>
    <w:lvl w:ilvl="8" w:tplc="021AE7F0">
      <w:numFmt w:val="bullet"/>
      <w:lvlText w:val="•"/>
      <w:lvlJc w:val="left"/>
      <w:pPr>
        <w:ind w:left="7712" w:hanging="89"/>
      </w:pPr>
      <w:rPr>
        <w:rFonts w:hint="default"/>
        <w:lang w:val="es-ES" w:eastAsia="en-US" w:bidi="ar-SA"/>
      </w:rPr>
    </w:lvl>
  </w:abstractNum>
  <w:abstractNum w:abstractNumId="2" w15:restartNumberingAfterBreak="0">
    <w:nsid w:val="7ABF3ECE"/>
    <w:multiLevelType w:val="hybridMultilevel"/>
    <w:tmpl w:val="5C106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BEC"/>
    <w:rsid w:val="000F2DD7"/>
    <w:rsid w:val="000F3BEC"/>
    <w:rsid w:val="001F303E"/>
    <w:rsid w:val="0021337A"/>
    <w:rsid w:val="0026576B"/>
    <w:rsid w:val="00357229"/>
    <w:rsid w:val="003C0D03"/>
    <w:rsid w:val="00441088"/>
    <w:rsid w:val="004633F2"/>
    <w:rsid w:val="00484C34"/>
    <w:rsid w:val="004D3CE3"/>
    <w:rsid w:val="00566C24"/>
    <w:rsid w:val="00574C12"/>
    <w:rsid w:val="005B0B2C"/>
    <w:rsid w:val="00610C24"/>
    <w:rsid w:val="00680314"/>
    <w:rsid w:val="00746C4E"/>
    <w:rsid w:val="00781512"/>
    <w:rsid w:val="008A756B"/>
    <w:rsid w:val="008E55CB"/>
    <w:rsid w:val="00926FE9"/>
    <w:rsid w:val="00994D8E"/>
    <w:rsid w:val="009A44BD"/>
    <w:rsid w:val="00A24EDE"/>
    <w:rsid w:val="00A62877"/>
    <w:rsid w:val="00AE02C1"/>
    <w:rsid w:val="00AE33D1"/>
    <w:rsid w:val="00B517B6"/>
    <w:rsid w:val="00C078AF"/>
    <w:rsid w:val="00C261EB"/>
    <w:rsid w:val="00C714E2"/>
    <w:rsid w:val="00C72B1D"/>
    <w:rsid w:val="00D25037"/>
    <w:rsid w:val="00D461CD"/>
    <w:rsid w:val="00D7561A"/>
    <w:rsid w:val="00E8381E"/>
    <w:rsid w:val="00E84D51"/>
    <w:rsid w:val="00EB5DA1"/>
    <w:rsid w:val="00EC0815"/>
    <w:rsid w:val="00EF65A3"/>
    <w:rsid w:val="00F20785"/>
    <w:rsid w:val="00F42CBF"/>
    <w:rsid w:val="00FA415D"/>
    <w:rsid w:val="00FD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A9D59D85-ED01-45A1-9B31-6B8205BE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ipodeletrapredefinidodopargrafo">
    <w:name w:val="Tipo de letra predefinido do parágrafo"/>
  </w:style>
  <w:style w:type="character" w:customStyle="1" w:styleId="CabeceiraCarc">
    <w:name w:val="Cabeceira Carác."/>
    <w:basedOn w:val="Tipodeletrapredefinidodopargrafo"/>
  </w:style>
  <w:style w:type="character" w:customStyle="1" w:styleId="PdepxinaCarc">
    <w:name w:val="Pé de páxina Carác."/>
    <w:basedOn w:val="Tipodeletrapredefinidodopargrafo"/>
  </w:style>
  <w:style w:type="character" w:customStyle="1" w:styleId="TextodegloboCarc">
    <w:name w:val="Texto de globo Carác."/>
    <w:rPr>
      <w:rFonts w:ascii="Segoe UI" w:hAnsi="Segoe UI" w:cs="Segoe UI"/>
      <w:sz w:val="18"/>
      <w:szCs w:val="18"/>
    </w:rPr>
  </w:style>
  <w:style w:type="character" w:customStyle="1" w:styleId="TextodocorpoCarc">
    <w:name w:val="Texto do corpo Carác."/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rPr>
      <w:color w:val="000080"/>
      <w:u w:val="single"/>
    </w:rPr>
  </w:style>
  <w:style w:type="character" w:customStyle="1" w:styleId="EncabezadoCar">
    <w:name w:val="Encabezado Car"/>
    <w:rPr>
      <w:rFonts w:ascii="Calibri" w:eastAsia="Calibri" w:hAnsi="Calibri" w:cs="Calibri"/>
      <w:sz w:val="22"/>
      <w:szCs w:val="22"/>
      <w:lang w:val="gl-ES" w:eastAsia="zh-CN"/>
    </w:rPr>
  </w:style>
  <w:style w:type="character" w:customStyle="1" w:styleId="TextoindependienteCar">
    <w:name w:val="Texto independiente Car"/>
    <w:rPr>
      <w:sz w:val="24"/>
      <w:szCs w:val="24"/>
      <w:lang w:val="gl-ES" w:eastAsia="zh-CN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Textoindependiente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xtoindependiente"/>
    <w:rPr>
      <w:rFonts w:ascii="Arial" w:hAnsi="Arial"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Mangal"/>
    </w:rPr>
  </w:style>
  <w:style w:type="paragraph" w:customStyle="1" w:styleId="Descripcin5">
    <w:name w:val="Descripción5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4">
    <w:name w:val="Descripción4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customStyle="1" w:styleId="Descripcin3">
    <w:name w:val="Descripción3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pacing w:after="0" w:line="240" w:lineRule="auto"/>
    </w:pPr>
  </w:style>
  <w:style w:type="paragraph" w:styleId="Piedepgina">
    <w:name w:val="footer"/>
    <w:basedOn w:val="Normal"/>
    <w:pPr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Estndar">
    <w:name w:val="Estándar"/>
    <w:basedOn w:val="Normal"/>
    <w:pPr>
      <w:suppressAutoHyphens w:val="0"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inespaciado1">
    <w:name w:val="Sin espaciado1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E02C1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E02C1"/>
    <w:rPr>
      <w:rFonts w:ascii="Courier New" w:eastAsia="Calibri" w:hAnsi="Courier New" w:cs="Courier New"/>
      <w:lang w:val="gl-ES" w:eastAsia="zh-CN"/>
    </w:rPr>
  </w:style>
  <w:style w:type="paragraph" w:styleId="Prrafodelista">
    <w:name w:val="List Paragraph"/>
    <w:basedOn w:val="Normal"/>
    <w:uiPriority w:val="1"/>
    <w:qFormat/>
    <w:rsid w:val="00C72B1D"/>
    <w:pPr>
      <w:widowControl w:val="0"/>
      <w:suppressAutoHyphens w:val="0"/>
      <w:autoSpaceDE w:val="0"/>
      <w:autoSpaceDN w:val="0"/>
      <w:spacing w:after="0" w:line="240" w:lineRule="auto"/>
      <w:ind w:left="814" w:hanging="569"/>
      <w:jc w:val="both"/>
    </w:pPr>
    <w:rPr>
      <w:rFonts w:ascii="Arial" w:eastAsia="Arial" w:hAnsi="Arial" w:cs="Arial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C72B1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2B1D"/>
    <w:pPr>
      <w:widowControl w:val="0"/>
      <w:suppressAutoHyphens w:val="0"/>
      <w:autoSpaceDE w:val="0"/>
      <w:autoSpaceDN w:val="0"/>
      <w:spacing w:before="2" w:after="0" w:line="240" w:lineRule="auto"/>
      <w:ind w:left="1"/>
    </w:pPr>
    <w:rPr>
      <w:rFonts w:ascii="Microsoft Sans Serif" w:eastAsia="Microsoft Sans Serif" w:hAnsi="Microsoft Sans Serif" w:cs="Microsoft Sans Serif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8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624FF-1F43-4A3B-9F34-CE074EEB4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antonio.dieguez</dc:creator>
  <cp:keywords/>
  <cp:lastModifiedBy>Raquel Bao Otero</cp:lastModifiedBy>
  <cp:revision>3</cp:revision>
  <cp:lastPrinted>2022-08-09T07:16:00Z</cp:lastPrinted>
  <dcterms:created xsi:type="dcterms:W3CDTF">2024-11-05T12:47:00Z</dcterms:created>
  <dcterms:modified xsi:type="dcterms:W3CDTF">2024-11-05T12:49:00Z</dcterms:modified>
</cp:coreProperties>
</file>