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_rels/fontTable.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media/image1.png" ContentType="image/png"/>
  <Override PartName="/word/fonts/font9.odttf" ContentType="application/vnd.openxmlformats-officedocument.obfuscatedFont"/>
  <Override PartName="/word/fonts/font15.odttf" ContentType="application/vnd.openxmlformats-officedocument.obfuscatedFont"/>
  <Override PartName="/word/fonts/font8.odttf" ContentType="application/vnd.openxmlformats-officedocument.obfuscatedFont"/>
  <Override PartName="/word/fonts/font14.odttf" ContentType="application/vnd.openxmlformats-officedocument.obfuscatedFont"/>
  <Override PartName="/word/fonts/font7.odttf" ContentType="application/vnd.openxmlformats-officedocument.obfuscatedFont"/>
  <Override PartName="/word/fonts/font13.odttf" ContentType="application/vnd.openxmlformats-officedocument.obfuscatedFont"/>
  <Override PartName="/word/fonts/font6.odttf" ContentType="application/vnd.openxmlformats-officedocument.obfuscatedFont"/>
  <Override PartName="/word/fonts/font12.odttf" ContentType="application/vnd.openxmlformats-officedocument.obfuscatedFont"/>
  <Override PartName="/word/fonts/font5.odttf" ContentType="application/vnd.openxmlformats-officedocument.obfuscatedFont"/>
  <Override PartName="/word/fonts/font11.odttf" ContentType="application/vnd.openxmlformats-officedocument.obfuscatedFont"/>
  <Override PartName="/word/fonts/font4.odttf" ContentType="application/vnd.openxmlformats-officedocument.obfuscatedFont"/>
  <Override PartName="/word/fonts/font10.odttf" ContentType="application/vnd.openxmlformats-officedocument.obfuscatedFont"/>
  <Override PartName="/word/fonts/font3.odttf" ContentType="application/vnd.openxmlformats-officedocument.obfuscatedFont"/>
  <Override PartName="/word/fonts/font2.odttf" ContentType="application/vnd.openxmlformats-officedocument.obfuscatedFont"/>
  <Override PartName="/word/fonts/font1.odttf" ContentType="application/vnd.openxmlformats-officedocument.obfuscatedFont"/>
  <Override PartName="/word/fonts/font28.odttf" ContentType="application/vnd.openxmlformats-officedocument.obfuscatedFont"/>
  <Override PartName="/word/fonts/font16.odttf" ContentType="application/vnd.openxmlformats-officedocument.obfuscatedFont"/>
  <Override PartName="/word/fonts/font27.odttf" ContentType="application/vnd.openxmlformats-officedocument.obfuscatedFont"/>
  <Override PartName="/word/fonts/font26.odttf" ContentType="application/vnd.openxmlformats-officedocument.obfuscatedFont"/>
  <Override PartName="/word/fonts/font25.odttf" ContentType="application/vnd.openxmlformats-officedocument.obfuscatedFont"/>
  <Override PartName="/word/fonts/font24.odttf" ContentType="application/vnd.openxmlformats-officedocument.obfuscatedFont"/>
  <Override PartName="/word/fonts/font23.odttf" ContentType="application/vnd.openxmlformats-officedocument.obfuscatedFont"/>
  <Override PartName="/word/fonts/font22.odttf" ContentType="application/vnd.openxmlformats-officedocument.obfuscatedFont"/>
  <Override PartName="/word/fonts/font21.odttf" ContentType="application/vnd.openxmlformats-officedocument.obfuscatedFont"/>
  <Override PartName="/word/fonts/font19.odttf" ContentType="application/vnd.openxmlformats-officedocument.obfuscatedFont"/>
  <Override PartName="/word/fonts/font20.odttf" ContentType="application/vnd.openxmlformats-officedocument.obfuscatedFont"/>
  <Override PartName="/word/fonts/font18.odttf" ContentType="application/vnd.openxmlformats-officedocument.obfuscatedFont"/>
  <Override PartName="/word/fonts/font1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Noto Sans" w:hAnsi="Noto Sans" w:eastAsia="Noto Sans" w:cs="Noto Sans"/>
        </w:rPr>
      </w:pPr>
      <w:r>
        <w:rPr>
          <w:rFonts w:eastAsia="Noto Sans" w:cs="Noto Sans" w:ascii="Noto Sans" w:hAnsi="Noto Sans"/>
        </w:rPr>
        <w:t>BASES DE AXUDAS A TRAVÉS DE INCENTIVOS Á CONTRATACIÓN TEMPORAL POR CONTA ALLEA A FAVOR DO ALUMNADO/TRABALLADOR DO OBRADOIRO DUAL DE EMPREGO “MONTE NOSO”.</w:t>
      </w:r>
    </w:p>
    <w:p>
      <w:pPr>
        <w:pStyle w:val="Normal"/>
        <w:jc w:val="center"/>
        <w:rPr>
          <w:rFonts w:ascii="Noto Sans" w:hAnsi="Noto Sans" w:eastAsia="Noto Sans" w:cs="Noto Sans"/>
        </w:rPr>
      </w:pPr>
      <w:r>
        <w:rPr>
          <w:rFonts w:eastAsia="Noto Sans" w:cs="Noto Sans" w:ascii="Noto Sans" w:hAnsi="Noto Sans"/>
        </w:rPr>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1. Finalidade e duración dos incentivos á contratación por conta allea</w:t>
      </w:r>
    </w:p>
    <w:p>
      <w:pPr>
        <w:pStyle w:val="BodyText"/>
        <w:widowControl w:val="false"/>
        <w:numPr>
          <w:ilvl w:val="0"/>
          <w:numId w:val="7"/>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incentivos á contratación por conta allea teñen por finalidade facilitar a empregabilidade e ocupabilidade das persoas participantes no obradoiros dual de emprego ”MONTE NOSO”, financiado a través da convocatoria 2023 de axudas e subvencións a obradoiros duais de emprego, pola Dirección Xeral de Formación para o Emprego e Orientación, pertencente á Consellería de Promoción do Emprego e Igualdade da Xunta de Galicia.</w:t>
      </w:r>
    </w:p>
    <w:p>
      <w:pPr>
        <w:pStyle w:val="BodyText"/>
        <w:widowControl w:val="false"/>
        <w:numPr>
          <w:ilvl w:val="0"/>
          <w:numId w:val="7"/>
        </w:numPr>
        <w:tabs>
          <w:tab w:val="clear" w:pos="720"/>
          <w:tab w:val="left" w:pos="285" w:leader="none"/>
        </w:tabs>
        <w:suppressAutoHyphens w:val="true"/>
        <w:bidi w:val="0"/>
        <w:spacing w:lineRule="auto" w:line="276" w:before="0" w:after="140"/>
        <w:ind w:hanging="0" w:left="0" w:right="0"/>
        <w:jc w:val="both"/>
        <w:textAlignment w:val="baseline"/>
        <w:rPr/>
      </w:pPr>
      <w:r>
        <w:rPr>
          <w:rFonts w:ascii="Noto Sans" w:hAnsi="Noto Sans"/>
          <w:sz w:val="21"/>
          <w:szCs w:val="21"/>
        </w:rPr>
        <w:t>A contratación terá unha duración mínima de 3 meses.</w:t>
      </w:r>
    </w:p>
    <w:p>
      <w:pPr>
        <w:pStyle w:val="BodyText"/>
        <w:widowControl w:val="false"/>
        <w:numPr>
          <w:ilvl w:val="0"/>
          <w:numId w:val="7"/>
        </w:numPr>
        <w:tabs>
          <w:tab w:val="clear" w:pos="720"/>
          <w:tab w:val="left" w:pos="285" w:leader="none"/>
        </w:tabs>
        <w:suppressAutoHyphens w:val="true"/>
        <w:bidi w:val="0"/>
        <w:spacing w:lineRule="auto" w:line="276" w:before="0" w:after="140"/>
        <w:ind w:hanging="0" w:left="0" w:right="0"/>
        <w:jc w:val="both"/>
        <w:textAlignment w:val="baseline"/>
        <w:rPr/>
      </w:pPr>
      <w:r>
        <w:rPr>
          <w:rFonts w:ascii="Noto Sans" w:hAnsi="Noto Sans"/>
          <w:sz w:val="21"/>
          <w:szCs w:val="21"/>
        </w:rPr>
        <w:t>A xornada da contratación será a tempo completo.</w:t>
      </w:r>
    </w:p>
    <w:p>
      <w:pPr>
        <w:pStyle w:val="BodyText"/>
        <w:widowControl w:val="false"/>
        <w:numPr>
          <w:ilvl w:val="0"/>
          <w:numId w:val="7"/>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eastAsia="Noto Sans" w:cs="Noto Sans" w:ascii="Noto Sans" w:hAnsi="Noto Sans"/>
          <w:color w:val="000000"/>
          <w:sz w:val="21"/>
          <w:szCs w:val="21"/>
        </w:rPr>
        <w:t>A contratación laboral deberá comezar nos quince días naturais seguintes á finalización do obradoiro dual de emprego, sendo a data de finalización deste o 23.11.2024.</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2. Financiamento das axudas</w:t>
      </w:r>
    </w:p>
    <w:p>
      <w:pPr>
        <w:pStyle w:val="BodyText"/>
        <w:widowControl w:val="false"/>
        <w:numPr>
          <w:ilvl w:val="0"/>
          <w:numId w:val="13"/>
        </w:numPr>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Para a concesión destas axudas, o Concello de Rianxo destinará un importe máximo de 6.000 €, con cargo á aplicación orzamentaria 241.47000 e o proxecto de gasto 2024/3/31/1/1.</w:t>
      </w:r>
    </w:p>
    <w:p>
      <w:pPr>
        <w:pStyle w:val="BodyText"/>
        <w:widowControl w:val="false"/>
        <w:numPr>
          <w:ilvl w:val="0"/>
          <w:numId w:val="13"/>
        </w:numPr>
        <w:tabs>
          <w:tab w:val="clear" w:pos="720"/>
          <w:tab w:val="left" w:pos="345" w:leader="none"/>
        </w:tabs>
        <w:suppressAutoHyphens w:val="true"/>
        <w:bidi w:val="0"/>
        <w:spacing w:lineRule="auto" w:line="276" w:before="0" w:after="140"/>
        <w:ind w:hanging="0" w:left="0" w:right="0"/>
        <w:jc w:val="both"/>
        <w:textAlignment w:val="baseline"/>
        <w:rPr/>
      </w:pPr>
      <w:r>
        <w:rPr>
          <w:rFonts w:ascii="Noto Sans" w:hAnsi="Noto Sans"/>
          <w:sz w:val="21"/>
          <w:szCs w:val="21"/>
        </w:rPr>
        <w:t>As axudas están financiadas coa subvención concedida a este concello, ao abeiro da Orde do 21 de abril de 2024, da Consellería de Promoción do Emprego e Igualdade, pola que se establecen as bases reguladoras das axudas e subvencións para os obradoiros duais de emprego da Comunidade Autónoma de Galicia, e se procede á súa convocatoria para o ano 2023 (DOG núm. 85, do 4 de maio de 2023).</w:t>
      </w:r>
    </w:p>
    <w:p>
      <w:pPr>
        <w:pStyle w:val="BodyText"/>
        <w:widowControl w:val="false"/>
        <w:numPr>
          <w:ilvl w:val="0"/>
          <w:numId w:val="13"/>
        </w:numPr>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Estes incentivos á contratación por conta allea quedan sometidos ao réxime de axuda de minimis, nos termos establecidos no Regulamento (UE) nº 1407/2013 da Comisión, do 18 de decembro de 2013, relativo á aplicación dos artigos 107 e 108 do Tratado de funcionamento da Unión Europea ás axudas de minimis (DOUE L352, do 24 de decembro de 2013). Esta circunstancia farase constar expresamente na resolución de concesión.</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3. Entidades beneficiarias dos incentivos á contratación.</w:t>
      </w:r>
    </w:p>
    <w:p>
      <w:pPr>
        <w:pStyle w:val="BodyText"/>
        <w:widowControl w:val="false"/>
        <w:numPr>
          <w:ilvl w:val="0"/>
          <w:numId w:val="2"/>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eastAsia="Noto Sans" w:cs="Noto Sans" w:ascii="Noto Sans" w:hAnsi="Noto Sans"/>
          <w:color w:val="000000"/>
          <w:sz w:val="21"/>
          <w:szCs w:val="21"/>
        </w:rPr>
        <w:t xml:space="preserve">Poderán ser entidades beneficiarias dos incentivos á contratación as persoas empregadoras e as empresas, calquera que sexa a forma xurídica que adopten, incluídas as persoas autónomas, as sociedades civís e as comunidades de bens, aínda que carezan de personalidade xurídica, cuxa actividade estea directamente relacionada coa formación impartida no Obradoiro dual de Emprego </w:t>
      </w:r>
      <w:r>
        <w:rPr>
          <w:rFonts w:eastAsia="Noto Sans" w:cs="Noto Sans" w:ascii="Noto Sans" w:hAnsi="Noto Sans"/>
          <w:b/>
          <w:color w:val="000000"/>
          <w:sz w:val="21"/>
          <w:szCs w:val="21"/>
        </w:rPr>
        <w:t>“MONTE NOSO”</w:t>
      </w:r>
      <w:r>
        <w:rPr>
          <w:rFonts w:eastAsia="Noto Sans" w:cs="Noto Sans" w:ascii="Noto Sans" w:hAnsi="Noto Sans"/>
          <w:color w:val="000000"/>
          <w:sz w:val="21"/>
          <w:szCs w:val="21"/>
        </w:rPr>
        <w:t xml:space="preserve">, é dicir, que a actividade estea relacionada coas especialidades, </w:t>
      </w:r>
      <w:r>
        <w:rPr>
          <w:rFonts w:eastAsia="Noto Sans" w:cs="Noto Sans" w:ascii="Noto Sans" w:hAnsi="Noto Sans"/>
          <w:b/>
          <w:color w:val="000000"/>
          <w:sz w:val="21"/>
          <w:szCs w:val="21"/>
        </w:rPr>
        <w:t>AGAR0208: Repoboacións forestais e tratamentos silvícolas</w:t>
      </w:r>
      <w:r>
        <w:rPr>
          <w:rFonts w:eastAsia="Noto Sans" w:cs="Noto Sans" w:ascii="Noto Sans" w:hAnsi="Noto Sans"/>
          <w:color w:val="000000"/>
          <w:sz w:val="21"/>
          <w:szCs w:val="21"/>
        </w:rPr>
        <w:t xml:space="preserve"> ou</w:t>
      </w:r>
      <w:r>
        <w:rPr>
          <w:rFonts w:eastAsia="Noto Sans" w:cs="Noto Sans" w:ascii="Noto Sans" w:hAnsi="Noto Sans"/>
          <w:b/>
          <w:color w:val="000000"/>
          <w:sz w:val="21"/>
          <w:szCs w:val="21"/>
        </w:rPr>
        <w:t xml:space="preserve"> AGAR0309: Actividades auxiliares e conservación e mellora de montes</w:t>
      </w:r>
      <w:r>
        <w:rPr>
          <w:rFonts w:eastAsia="Noto Sans" w:cs="Noto Sans" w:ascii="Noto Sans" w:hAnsi="Noto Sans"/>
          <w:color w:val="000000"/>
          <w:sz w:val="21"/>
          <w:szCs w:val="21"/>
        </w:rPr>
        <w:t>, e que contraten traballadoras ou traballadores por conta allea para prestar servizos en centros de traballo radicados no ámbito territorial da comarca da Barbanza. No caso de sociedades civís, comunidades de bens e unións temporais de empresas, deberá facerse constar expresamente, tanto na solicitude como na resolución de concesión, os compromisos de execución asumidos por cada membro da agrupación, así como o importe de subvención que se vai aplicar para cada un deles, que terán igualmente a consideración de beneficiario. En calquera caso, deberán nomear unha persoa representante ou apoderada única da agrupación, con poder suficiente para cumprir as obrigacións que, como beneficiaria, lle correspondan á agrupación. No suposto de unións temporais de empresas, cada empresa que forme parte desta unión deberá reunir os requisitos exixidos para acceder ás axudas.</w:t>
      </w:r>
    </w:p>
    <w:p>
      <w:pPr>
        <w:pStyle w:val="BodyText"/>
        <w:widowControl w:val="false"/>
        <w:numPr>
          <w:ilvl w:val="0"/>
          <w:numId w:val="2"/>
        </w:numPr>
        <w:tabs>
          <w:tab w:val="clear" w:pos="720"/>
          <w:tab w:val="left" w:pos="285" w:leader="none"/>
        </w:tabs>
        <w:suppressAutoHyphens w:val="true"/>
        <w:bidi w:val="0"/>
        <w:spacing w:lineRule="auto" w:line="276" w:before="0" w:after="140"/>
        <w:ind w:hanging="0" w:left="0" w:right="0"/>
        <w:jc w:val="both"/>
        <w:textAlignment w:val="baseline"/>
        <w:rPr/>
      </w:pPr>
      <w:r>
        <w:rPr>
          <w:rFonts w:ascii="Noto Sans" w:hAnsi="Noto Sans"/>
          <w:sz w:val="21"/>
          <w:szCs w:val="21"/>
        </w:rPr>
        <w:t>Non poderán ser entidades beneficiarias destas axudas as administracións públicas, as sociedades públicas, nin as entidades vinculadas ou dependentes de calquera delas.</w:t>
      </w:r>
    </w:p>
    <w:p>
      <w:pPr>
        <w:pStyle w:val="BodyText"/>
        <w:widowControl w:val="false"/>
        <w:numPr>
          <w:ilvl w:val="0"/>
          <w:numId w:val="2"/>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Non poderán obter a condición de entidade beneficiaria das subvencións establecidas neste programa as persoas ou entidades en que concorran algunha das circunstancias previstas no artigo 10 da Lei 9/2007, do 13 de xuño, de subvencións de Galicia:</w:t>
      </w:r>
    </w:p>
    <w:p>
      <w:pPr>
        <w:pStyle w:val="BodyText"/>
        <w:numPr>
          <w:ilvl w:val="1"/>
          <w:numId w:val="2"/>
        </w:numPr>
        <w:jc w:val="both"/>
        <w:rPr>
          <w:rFonts w:eastAsia="Noto Sans" w:cs="Noto Sans"/>
          <w:color w:val="000000"/>
        </w:rPr>
      </w:pPr>
      <w:r>
        <w:rPr>
          <w:rFonts w:ascii="Noto Sans" w:hAnsi="Noto Sans"/>
          <w:sz w:val="21"/>
          <w:szCs w:val="21"/>
        </w:rPr>
        <w:t>Ser condenadas mediante sentenza firme á pena de perda da posibilidade de obter subvencións ou axudas públicas.</w:t>
      </w:r>
    </w:p>
    <w:p>
      <w:pPr>
        <w:pStyle w:val="BodyText"/>
        <w:numPr>
          <w:ilvl w:val="1"/>
          <w:numId w:val="2"/>
        </w:numPr>
        <w:jc w:val="both"/>
        <w:rPr>
          <w:rFonts w:eastAsia="Noto Sans" w:cs="Noto Sans"/>
          <w:color w:val="000000"/>
        </w:rPr>
      </w:pPr>
      <w:r>
        <w:rPr>
          <w:rFonts w:ascii="Noto Sans" w:hAnsi="Noto Sans"/>
          <w:sz w:val="21"/>
          <w:szCs w:val="21"/>
        </w:rPr>
        <w:t>Solicitar a declaración de concurso, ser declaradas insolventes en calquera procedemento, atoparse declaradas en concurso salvo que en este adquirise eficacia un convenio, estar suxeitas a intervención xudicial ou ser inhabilitadas conforme a lei concursal sen que conclúa o período de inhabilitación fixado na sentenza de cualificación do concurso.</w:t>
      </w:r>
    </w:p>
    <w:p>
      <w:pPr>
        <w:pStyle w:val="BodyText"/>
        <w:numPr>
          <w:ilvl w:val="1"/>
          <w:numId w:val="2"/>
        </w:numPr>
        <w:jc w:val="both"/>
        <w:rPr>
          <w:rFonts w:eastAsia="Noto Sans" w:cs="Noto Sans"/>
          <w:color w:val="000000"/>
        </w:rPr>
      </w:pPr>
      <w:r>
        <w:rPr>
          <w:rFonts w:ascii="Noto Sans" w:hAnsi="Noto Sans"/>
          <w:sz w:val="21"/>
          <w:szCs w:val="21"/>
        </w:rPr>
        <w:t>Dar lugar, por causa da que fosen declaradas culpables, á resolución firme de calquerac ontrato subscrito coa Administración.</w:t>
      </w:r>
    </w:p>
    <w:p>
      <w:pPr>
        <w:pStyle w:val="BodyText"/>
        <w:numPr>
          <w:ilvl w:val="1"/>
          <w:numId w:val="2"/>
        </w:numPr>
        <w:jc w:val="both"/>
        <w:rPr>
          <w:rFonts w:eastAsia="Noto Sans" w:cs="Noto Sans"/>
          <w:color w:val="000000"/>
        </w:rPr>
      </w:pPr>
      <w:r>
        <w:rPr>
          <w:rFonts w:ascii="Noto Sans" w:hAnsi="Noto Sans"/>
          <w:sz w:val="21"/>
          <w:szCs w:val="21"/>
        </w:rPr>
        <w:t>Estar incursa a persoa física, os administradores das sociedades mercantís ou aqueles que exerzan a representación legal doutras persoas xurídicas nalgún dos supostos de incompatibilidades que estableza a normativa vixente.</w:t>
      </w:r>
    </w:p>
    <w:p>
      <w:pPr>
        <w:pStyle w:val="BodyText"/>
        <w:numPr>
          <w:ilvl w:val="1"/>
          <w:numId w:val="2"/>
        </w:numPr>
        <w:jc w:val="both"/>
        <w:rPr>
          <w:rFonts w:eastAsia="Noto Sans" w:cs="Noto Sans"/>
          <w:color w:val="000000"/>
        </w:rPr>
      </w:pPr>
      <w:r>
        <w:rPr>
          <w:rFonts w:ascii="Noto Sans" w:hAnsi="Noto Sans"/>
          <w:sz w:val="21"/>
          <w:szCs w:val="21"/>
        </w:rPr>
        <w:t>Non estar ao día no cumprimento dos obrigacións tributarias ou fronte á Seguridade Social ou ter pendente de pagamento algunha outra débeda coa Administración Pública Estatal, coa Comunidade Autónoma ou co Concello de Rianxo nos termos regulamentariamente establecidos.</w:t>
      </w:r>
    </w:p>
    <w:p>
      <w:pPr>
        <w:pStyle w:val="BodyText"/>
        <w:numPr>
          <w:ilvl w:val="1"/>
          <w:numId w:val="2"/>
        </w:numPr>
        <w:jc w:val="both"/>
        <w:rPr>
          <w:rFonts w:eastAsia="Noto Sans" w:cs="Noto Sans"/>
          <w:color w:val="000000"/>
        </w:rPr>
      </w:pPr>
      <w:r>
        <w:rPr>
          <w:rFonts w:ascii="Noto Sans" w:hAnsi="Noto Sans"/>
          <w:sz w:val="21"/>
          <w:szCs w:val="21"/>
        </w:rPr>
        <w:t>Ter a residencia fiscal nun país ou territorio cualificado regulamentariamente como paraíso fiscal.</w:t>
      </w:r>
    </w:p>
    <w:p>
      <w:pPr>
        <w:pStyle w:val="BodyText"/>
        <w:numPr>
          <w:ilvl w:val="1"/>
          <w:numId w:val="2"/>
        </w:numPr>
        <w:jc w:val="both"/>
        <w:rPr>
          <w:rFonts w:eastAsia="Noto Sans" w:cs="Noto Sans"/>
          <w:color w:val="000000"/>
        </w:rPr>
      </w:pPr>
      <w:r>
        <w:rPr>
          <w:rFonts w:ascii="Noto Sans" w:hAnsi="Noto Sans"/>
          <w:sz w:val="21"/>
          <w:szCs w:val="21"/>
        </w:rPr>
        <w:t>Non estar ao día no pagamento de obrigacións por reintegro de subvencións no termos regulamentariamente establecidos.</w:t>
      </w:r>
    </w:p>
    <w:p>
      <w:pPr>
        <w:pStyle w:val="BodyText"/>
        <w:numPr>
          <w:ilvl w:val="1"/>
          <w:numId w:val="2"/>
        </w:numPr>
        <w:jc w:val="both"/>
        <w:rPr>
          <w:rFonts w:eastAsia="Noto Sans" w:cs="Noto Sans"/>
          <w:color w:val="000000"/>
        </w:rPr>
      </w:pPr>
      <w:r>
        <w:rPr>
          <w:rFonts w:ascii="Noto Sans" w:hAnsi="Noto Sans"/>
          <w:sz w:val="21"/>
          <w:szCs w:val="21"/>
        </w:rPr>
        <w:t>Ser sancionada, mediante resolución firme, coa perda da posibilidade de obter subvencións, segundo a Lei 9/2007, do 13 de xuño, de subvencións de Galicia, ou a Lei xeral tributaria.</w:t>
      </w:r>
    </w:p>
    <w:p>
      <w:pPr>
        <w:pStyle w:val="BodyText"/>
        <w:numPr>
          <w:ilvl w:val="1"/>
          <w:numId w:val="2"/>
        </w:numPr>
        <w:jc w:val="both"/>
        <w:rPr>
          <w:rFonts w:eastAsia="Noto Sans" w:cs="Noto Sans"/>
          <w:color w:val="000000"/>
        </w:rPr>
      </w:pPr>
      <w:r>
        <w:rPr>
          <w:rFonts w:ascii="Noto Sans" w:hAnsi="Noto Sans"/>
          <w:sz w:val="21"/>
          <w:szCs w:val="21"/>
        </w:rPr>
        <w:t>Non poderán acceder á condición de entidade beneficiaria as agrupacións de persoas físicas ou xurídicas, públicas ou privadas sen personalidade, cando concorra algunha das prohibicións anteriores en calquera dos seus membros.</w:t>
      </w:r>
    </w:p>
    <w:p>
      <w:pPr>
        <w:pStyle w:val="BodyText"/>
        <w:numPr>
          <w:ilvl w:val="1"/>
          <w:numId w:val="2"/>
        </w:numPr>
        <w:jc w:val="both"/>
        <w:rPr>
          <w:rFonts w:eastAsia="Noto Sans" w:cs="Noto Sans"/>
          <w:color w:val="000000"/>
        </w:rPr>
      </w:pPr>
      <w:r>
        <w:rPr>
          <w:rFonts w:ascii="Noto Sans" w:hAnsi="Noto Sans"/>
          <w:sz w:val="21"/>
          <w:szCs w:val="21"/>
        </w:rPr>
        <w:t>En ningún caso poderán obter a condición de entidade beneficiaria as asociacións incursas nas causas de prohibición previstas nos puntos 5 e 6 do artigo 4 da Lei orgánica 1/2002, do 22 de marzo, reguladora do dereito de asociación, nin as asociacións respecto das que se suspendeu o procedemento administrativo de inscrición por atoparse indicios racionais de ilicitude penal, en aplicación do disposto no artigo 30.4 da Lei orgánica 1/2002, mentres non recaia resolución xudicial firme en cuxa virtude poida practicarse a inscrición no correspondente rexistro.</w:t>
      </w:r>
    </w:p>
    <w:p>
      <w:pPr>
        <w:pStyle w:val="BodyText"/>
        <w:jc w:val="both"/>
        <w:rPr>
          <w:rFonts w:eastAsia="Noto Sans" w:cs="Noto Sans"/>
          <w:color w:val="000000"/>
        </w:rPr>
      </w:pPr>
      <w:r>
        <w:rPr>
          <w:rFonts w:ascii="Noto Sans" w:hAnsi="Noto Sans"/>
          <w:sz w:val="21"/>
          <w:szCs w:val="21"/>
        </w:rPr>
        <w:t>4. Non poderán obter a condición de entidade beneficiaria as entidades solicitantes que estean excluídas do acceso aos beneficios derivados da aplicación dos programas de emprego, conforme o establecido no artigo 46 e 46.bis do texto refundido da Lei de infraccións e sancións na orde social, aprobado polo Real decreto lexislativo 5/2000, do 4 de agosto.</w:t>
      </w:r>
    </w:p>
    <w:p>
      <w:pPr>
        <w:pStyle w:val="BodyText"/>
        <w:jc w:val="both"/>
        <w:rPr>
          <w:rFonts w:eastAsia="Noto Sans" w:cs="Noto Sans"/>
          <w:color w:val="000000"/>
        </w:rPr>
      </w:pPr>
      <w:r>
        <w:rPr>
          <w:rFonts w:ascii="Noto Sans" w:hAnsi="Noto Sans"/>
          <w:sz w:val="21"/>
          <w:szCs w:val="21"/>
        </w:rPr>
        <w:t>5. A xustificación por parte das persoas ou entidades solicitantes de non estaren incursas nas prohibicións contidas nos números 3 e 4 anteriores para obter a condición de beneficiario realizarase mediante declaración responsable.</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4. Contía dos incentivos</w:t>
      </w:r>
    </w:p>
    <w:p>
      <w:pPr>
        <w:pStyle w:val="BodyText"/>
        <w:widowControl w:val="false"/>
        <w:numPr>
          <w:ilvl w:val="0"/>
          <w:numId w:val="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contratos incentivaranse cunha subvención fixa de 1.500 € por cada traballador/a, correspondente ao contrato mínimo de 3 meses a xornada completa.</w:t>
      </w:r>
    </w:p>
    <w:p>
      <w:pPr>
        <w:pStyle w:val="BodyText"/>
        <w:widowControl w:val="false"/>
        <w:numPr>
          <w:ilvl w:val="0"/>
          <w:numId w:val="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beneficios establecidos á contratación neste programa non poderán, en concorrencia con outras axudas públicas para a mesma finalidade, superar o 100 % do custo salarial das mensualidades obxecto de subvención.</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5. Exclusións</w:t>
      </w:r>
    </w:p>
    <w:p>
      <w:pPr>
        <w:pStyle w:val="BodyText"/>
        <w:jc w:val="both"/>
        <w:rPr>
          <w:rFonts w:eastAsia="Noto Sans" w:cs="Noto Sans"/>
          <w:color w:val="000000"/>
        </w:rPr>
      </w:pPr>
      <w:r>
        <w:rPr>
          <w:rFonts w:ascii="Noto Sans" w:hAnsi="Noto Sans"/>
          <w:sz w:val="21"/>
          <w:szCs w:val="21"/>
        </w:rPr>
        <w:t>Exclúense dos beneficios regulados neste programa:</w:t>
      </w:r>
    </w:p>
    <w:p>
      <w:pPr>
        <w:pStyle w:val="BodyText"/>
        <w:widowControl w:val="false"/>
        <w:numPr>
          <w:ilvl w:val="0"/>
          <w:numId w:val="9"/>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relacións laborais de carácter especial previstas no artigo 2.1 do Real decreto lexislativo 2/2015, do 23 de outubro, polo que se aproba o texto refundido da Lei do Estatuto dos traballadores ou noutras disposicións legais, así como as contratacións de traballadores ou traballadoras para prestar servizos noutras empresas mediante contratos de posta a disposición.</w:t>
      </w:r>
    </w:p>
    <w:p>
      <w:pPr>
        <w:pStyle w:val="BodyText"/>
        <w:widowControl w:val="false"/>
        <w:numPr>
          <w:ilvl w:val="0"/>
          <w:numId w:val="9"/>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contratos realizados co/coa cónxuxe, as persoas ascendentes, as persoas descendentes e demais parentes, por consanguinidade ou afinidade, ata o segundo grao inclusive, da empresaria ou empresario ou das persoas que teñan cargos de dirección ou sexan membros dos órganos de administración das empresas que revistan a forma xurídica de sociedade, así como as que se produzan con estes últimos. Non será aplicable esta exclusión cando a persoa empregadora sexa unha persoa traballadora autónoma que contrate como persoa traballadora por conta allea os fillos e fillas menores de 30 anos, tanto se conviven ou non con ela, ou cando se trate dunha persoa traballadora autónoma sen persoas asalariadas e contrate un só familiar menor de 45 anos que non conviva no seu fogar nin estea ao seu cargo.</w:t>
      </w:r>
    </w:p>
    <w:p>
      <w:pPr>
        <w:pStyle w:val="BodyText"/>
        <w:widowControl w:val="false"/>
        <w:numPr>
          <w:ilvl w:val="0"/>
          <w:numId w:val="9"/>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contratacións realizadas con persoas traballadoras que nos 24 meses anteriores á data da contratación prestasen servizos na mesma empresa, segundo o establecido no artigo 2 do Regulamento (UE) nº 1407/2013 da Comisión, do 18 de decembro de 2013, mediante un contrato de carácter indefinido, ou nos últimos 3 meses mediante un contrato de carácter temporal ou mediante un contrato formativo, de substitución ou de substitución por anticipación da idade de xubilación. O disposto neste parágrafo será tamén de aplicación no suposto de vinculación laboral anterior do traballador ou da traballadora con empresas ás cales a persoa solicitante dos beneficios sucedese en virtude do establecido no artigo 44 do Real decreto lexislativo 2/2015, do 23 de outubro.</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6. Prazos e solicitudes</w:t>
      </w:r>
    </w:p>
    <w:p>
      <w:pPr>
        <w:pStyle w:val="BodyText"/>
        <w:widowControl w:val="false"/>
        <w:numPr>
          <w:ilvl w:val="0"/>
          <w:numId w:val="3"/>
        </w:numPr>
        <w:tabs>
          <w:tab w:val="clear" w:pos="720"/>
          <w:tab w:val="left" w:pos="165" w:leader="none"/>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bases reguladoras das axudas e a súa convocatoria deberán publicarse no BOP e no taboleiro de anuncios da sede electrónica do Concello de Rianxo.</w:t>
      </w:r>
    </w:p>
    <w:p>
      <w:pPr>
        <w:pStyle w:val="BodyText"/>
        <w:widowControl w:val="false"/>
        <w:numPr>
          <w:ilvl w:val="0"/>
          <w:numId w:val="3"/>
        </w:numPr>
        <w:tabs>
          <w:tab w:val="clear" w:pos="720"/>
          <w:tab w:val="left" w:pos="165" w:leader="none"/>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 xml:space="preserve">As solicitudes de axudas polas contratacións subvencionables deberán presentarse no prazo de 5 días a contar desde o día seguinte á publicación da convocatoria no BOP. </w:t>
      </w:r>
    </w:p>
    <w:p>
      <w:pPr>
        <w:pStyle w:val="BodyText"/>
        <w:widowControl w:val="false"/>
        <w:numPr>
          <w:ilvl w:val="0"/>
          <w:numId w:val="3"/>
        </w:numPr>
        <w:tabs>
          <w:tab w:val="clear" w:pos="720"/>
          <w:tab w:val="left" w:pos="165" w:leader="none"/>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solicitudes deberán presentarse a través do rexistro de entrada da sede electrónica municipal, no modelo normalizado que figura como anexo, xunto coa seguinte documentación, orixinal ou copia compulsada ou cotexada:</w:t>
      </w:r>
    </w:p>
    <w:p>
      <w:pPr>
        <w:pStyle w:val="BodyText"/>
        <w:numPr>
          <w:ilvl w:val="1"/>
          <w:numId w:val="3"/>
        </w:numPr>
        <w:jc w:val="both"/>
        <w:rPr>
          <w:rFonts w:eastAsia="Noto Sans" w:cs="Noto Sans"/>
          <w:color w:val="000000"/>
        </w:rPr>
      </w:pPr>
      <w:r>
        <w:rPr>
          <w:rFonts w:ascii="Noto Sans" w:hAnsi="Noto Sans"/>
          <w:sz w:val="21"/>
          <w:szCs w:val="21"/>
        </w:rPr>
        <w:t>Copia do DNI, NIE ou NIF da empresa, e poder suficiente para actuar en nome da entidade.</w:t>
      </w:r>
    </w:p>
    <w:p>
      <w:pPr>
        <w:pStyle w:val="BodyText"/>
        <w:numPr>
          <w:ilvl w:val="1"/>
          <w:numId w:val="3"/>
        </w:numPr>
        <w:jc w:val="both"/>
        <w:rPr>
          <w:rFonts w:eastAsia="Noto Sans" w:cs="Noto Sans"/>
          <w:color w:val="000000"/>
        </w:rPr>
      </w:pPr>
      <w:r>
        <w:rPr>
          <w:rFonts w:ascii="Noto Sans" w:hAnsi="Noto Sans"/>
          <w:sz w:val="21"/>
          <w:szCs w:val="21"/>
        </w:rPr>
        <w:t>Declaración do persoal de todos os centros de traballo da empresa en Galicia no mes anterior ao mes de publicación da presente convocatoria, segundo o modelo do anexo.</w:t>
      </w:r>
    </w:p>
    <w:p>
      <w:pPr>
        <w:pStyle w:val="BodyText"/>
        <w:numPr>
          <w:ilvl w:val="1"/>
          <w:numId w:val="3"/>
        </w:numPr>
        <w:jc w:val="both"/>
        <w:rPr>
          <w:rFonts w:ascii="Noto Sans" w:hAnsi="Noto Sans"/>
          <w:sz w:val="21"/>
          <w:szCs w:val="21"/>
        </w:rPr>
      </w:pPr>
      <w:r>
        <w:rPr>
          <w:rFonts w:ascii="Noto Sans" w:hAnsi="Noto Sans"/>
          <w:sz w:val="21"/>
          <w:szCs w:val="21"/>
        </w:rPr>
        <w:t>Declaración responsable de que posúe a capacidade administrativa, financeira e operativa para cumprir as condicións da axuda.</w:t>
      </w:r>
    </w:p>
    <w:p>
      <w:pPr>
        <w:pStyle w:val="BodyText"/>
        <w:numPr>
          <w:ilvl w:val="1"/>
          <w:numId w:val="3"/>
        </w:numPr>
        <w:jc w:val="both"/>
        <w:rPr>
          <w:rFonts w:ascii="Noto Sans" w:hAnsi="Noto Sans"/>
          <w:sz w:val="21"/>
          <w:szCs w:val="21"/>
        </w:rPr>
      </w:pPr>
      <w:r>
        <w:rPr>
          <w:rFonts w:ascii="Noto Sans" w:hAnsi="Noto Sans"/>
          <w:sz w:val="21"/>
          <w:szCs w:val="21"/>
        </w:rPr>
        <w:t>Declaración responsable de non estar incurso en ningunha das prohibicións para obter a condición de beneficiario da subvención, de acordo co artigo 10 da Lei 9/2007, do 13 de xuño, de subvencións de Galicia.</w:t>
      </w:r>
    </w:p>
    <w:p>
      <w:pPr>
        <w:pStyle w:val="BodyText"/>
        <w:numPr>
          <w:ilvl w:val="1"/>
          <w:numId w:val="3"/>
        </w:numPr>
        <w:jc w:val="both"/>
        <w:rPr>
          <w:rFonts w:ascii="Noto Sans" w:hAnsi="Noto Sans"/>
          <w:sz w:val="21"/>
          <w:szCs w:val="21"/>
        </w:rPr>
      </w:pPr>
      <w:r>
        <w:rPr>
          <w:rFonts w:ascii="Noto Sans" w:hAnsi="Noto Sans"/>
          <w:sz w:val="21"/>
          <w:szCs w:val="21"/>
        </w:rPr>
        <w:t>Con carácter opcional, a autorización expresa para que o Concello de Rianxo consulte que se atopa ao corrente coa Facenda Estatal e coa Seguridade Social.</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7. Procedemento de concesión, instrución e tramitación</w:t>
      </w:r>
    </w:p>
    <w:p>
      <w:pPr>
        <w:pStyle w:val="BodyText"/>
        <w:widowControl w:val="false"/>
        <w:numPr>
          <w:ilvl w:val="0"/>
          <w:numId w:val="1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O procedemento de concesión das solicitudes presentadas ao abeiro desta convocatoria non ten a consideración de concorrencia competitiva, dado que, de acordo coa finalidade e o obxecto do programa, non resulta necesario realizar a comparación e prelación das solicitudes presentadas nun único procedemento, senón que a concesión da axuda se realice pola comprobación da concorrencia nas empresas e nos empregadores dos requisitos establecidos, ata o esgotamento do crédito orzamentario. En consecuencia, aplicarase o procedemento abreviado previsto no artigo 22 da Lei 9/2007, do 13 de xuño.</w:t>
      </w:r>
    </w:p>
    <w:p>
      <w:pPr>
        <w:pStyle w:val="BodyText"/>
        <w:widowControl w:val="false"/>
        <w:numPr>
          <w:ilvl w:val="0"/>
          <w:numId w:val="1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O órgano instrutor será a dirección do obradoiro de emprego, que comprobará a concorrencia dos requisitos requiridos para conceder a subvención. Para os trámites posteriores á finalización do obradoiro, o órgano instrutor integrarao o persoal técnico do Departamento de Emprego.</w:t>
      </w:r>
    </w:p>
    <w:p>
      <w:pPr>
        <w:pStyle w:val="BodyText"/>
        <w:widowControl w:val="false"/>
        <w:numPr>
          <w:ilvl w:val="0"/>
          <w:numId w:val="1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Unha vez realizado o cotexo debería emitir unha proposta de concesión ao órgano concedente, na que deberá constar:</w:t>
      </w:r>
    </w:p>
    <w:p>
      <w:pPr>
        <w:pStyle w:val="BodyText"/>
        <w:numPr>
          <w:ilvl w:val="0"/>
          <w:numId w:val="12"/>
        </w:numPr>
        <w:jc w:val="both"/>
        <w:rPr>
          <w:rFonts w:eastAsia="Noto Sans" w:cs="Noto Sans"/>
        </w:rPr>
      </w:pPr>
      <w:r>
        <w:rPr>
          <w:rFonts w:ascii="Noto Sans" w:hAnsi="Noto Sans"/>
          <w:sz w:val="21"/>
          <w:szCs w:val="21"/>
        </w:rPr>
        <w:t>Solicitudes presentadas, indicando a data de presentación no rexistro de entrada.</w:t>
      </w:r>
    </w:p>
    <w:p>
      <w:pPr>
        <w:pStyle w:val="BodyText"/>
        <w:numPr>
          <w:ilvl w:val="0"/>
          <w:numId w:val="12"/>
        </w:numPr>
        <w:jc w:val="both"/>
        <w:rPr>
          <w:rFonts w:eastAsia="Noto Sans" w:cs="Noto Sans"/>
        </w:rPr>
      </w:pPr>
      <w:r>
        <w:rPr>
          <w:rFonts w:ascii="Noto Sans" w:hAnsi="Noto Sans"/>
          <w:sz w:val="21"/>
          <w:szCs w:val="21"/>
        </w:rPr>
        <w:t>Solicitudes admitidas, debendo constar de modo expreso que cumpren todos os requisitos requiridos nas bases reguladoras.</w:t>
      </w:r>
    </w:p>
    <w:p>
      <w:pPr>
        <w:pStyle w:val="BodyText"/>
        <w:numPr>
          <w:ilvl w:val="0"/>
          <w:numId w:val="12"/>
        </w:numPr>
        <w:jc w:val="both"/>
        <w:rPr>
          <w:rFonts w:eastAsia="Noto Sans" w:cs="Noto Sans"/>
        </w:rPr>
      </w:pPr>
      <w:r>
        <w:rPr>
          <w:rFonts w:ascii="Noto Sans" w:hAnsi="Noto Sans"/>
          <w:sz w:val="21"/>
          <w:szCs w:val="21"/>
        </w:rPr>
        <w:t>Solicitudes non admitidas, indicando o/s requisito/s non xustificados.</w:t>
      </w:r>
    </w:p>
    <w:p>
      <w:pPr>
        <w:pStyle w:val="BodyText"/>
        <w:numPr>
          <w:ilvl w:val="0"/>
          <w:numId w:val="12"/>
        </w:numPr>
        <w:jc w:val="both"/>
        <w:rPr>
          <w:rFonts w:eastAsia="Noto Sans" w:cs="Noto Sans"/>
        </w:rPr>
      </w:pPr>
      <w:r>
        <w:rPr>
          <w:rFonts w:ascii="Noto Sans" w:hAnsi="Noto Sans"/>
          <w:sz w:val="21"/>
          <w:szCs w:val="21"/>
        </w:rPr>
        <w:t xml:space="preserve">Proposta de concesión das axudas. </w:t>
      </w:r>
    </w:p>
    <w:p>
      <w:pPr>
        <w:pStyle w:val="BodyText"/>
        <w:widowControl w:val="false"/>
        <w:numPr>
          <w:ilvl w:val="0"/>
          <w:numId w:val="1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O prazo para resolver a concesión das axudas sería de 10 días A competencia para a concesión dos incentivos correspóndelle á Xunta de Goberno Local, de acordo coa Resolución da Alcaldía núm. 687/2023, do 7 de xullo, de delegación de competencias do alcalde naquel órgano.</w:t>
      </w:r>
    </w:p>
    <w:p>
      <w:pPr>
        <w:pStyle w:val="BodyText"/>
        <w:widowControl w:val="false"/>
        <w:numPr>
          <w:ilvl w:val="0"/>
          <w:numId w:val="14"/>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rPr>
      </w:pPr>
      <w:r>
        <w:rPr>
          <w:rFonts w:ascii="Noto Sans" w:hAnsi="Noto Sans"/>
          <w:sz w:val="21"/>
          <w:szCs w:val="21"/>
        </w:rPr>
        <w:t>No caso de que o crédito sexa insuficiente para a concesión de todas as solicitudes que cumpran os requisitos esixidos, seguirase o criterio da data de presentación no rexistro de entrada, tendo preferencia as primeiras en presentarse.</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8. Resolución e recursos</w:t>
      </w:r>
    </w:p>
    <w:p>
      <w:pPr>
        <w:pStyle w:val="BodyText"/>
        <w:widowControl w:val="false"/>
        <w:numPr>
          <w:ilvl w:val="0"/>
          <w:numId w:val="1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resolucións de concesión ou denegación serán sempre motivadas.</w:t>
      </w:r>
    </w:p>
    <w:p>
      <w:pPr>
        <w:pStyle w:val="BodyText"/>
        <w:widowControl w:val="false"/>
        <w:numPr>
          <w:ilvl w:val="0"/>
          <w:numId w:val="1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 prazo para resolver e notificar é de 10 días, que se computarán desde a data de entrada da solicitude no rexistro do órgano competente para a súa tramitación. Transcorrido devandito prazo sen que se dite resolución expresa, entenderase desestimada a solicitude, de acordo co establecido no artigo 23.5 da Lei de subvencións de Galicia.</w:t>
      </w:r>
    </w:p>
    <w:p>
      <w:pPr>
        <w:pStyle w:val="BodyText"/>
        <w:widowControl w:val="false"/>
        <w:numPr>
          <w:ilvl w:val="0"/>
          <w:numId w:val="1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Notificada a resolución polo órgano competente, as entidades propostas como beneficiarias dispoñerán dun prazo de cinco días para a súa aceptación; transcorrido este, sen que se produza manifestación expresa, entenderase tacitamente aceptada.</w:t>
      </w:r>
    </w:p>
    <w:p>
      <w:pPr>
        <w:pStyle w:val="BodyText"/>
        <w:widowControl w:val="false"/>
        <w:numPr>
          <w:ilvl w:val="0"/>
          <w:numId w:val="1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resolucións que se diten neste procedemento esgotan a vía administrativa e contra elas cabe interpoñer recurso contencioso-administrativo, no prazo de dous meses, ante o órgano competente da xurisdición contencioso-administrativa, de acordo co disposto na Lei 29/1998, do 13 de xullo, reguladora da xurisdición contencioso-administrativa. Poderá formularse, con carácter potestativo, recurso de reposición, no prazo dun mes, ante o mesmo órgano que ditou a resolución impugnada, de conformidade coa Lei 39/2015, do 1 de outubro, do procedemento administrativo común das administracións públicas.</w:t>
      </w:r>
    </w:p>
    <w:p>
      <w:pPr>
        <w:pStyle w:val="BodyText"/>
        <w:jc w:val="both"/>
        <w:rPr>
          <w:rFonts w:ascii="Noto Sans" w:hAnsi="Noto Sans"/>
          <w:sz w:val="21"/>
          <w:szCs w:val="21"/>
        </w:rPr>
      </w:pPr>
      <w:r>
        <w:rPr>
          <w:rFonts w:ascii="Noto Sans" w:hAnsi="Noto Sans"/>
          <w:sz w:val="21"/>
          <w:szCs w:val="21"/>
        </w:rPr>
      </w:r>
    </w:p>
    <w:p>
      <w:pPr>
        <w:pStyle w:val="BodyText"/>
        <w:jc w:val="both"/>
        <w:rPr>
          <w:rFonts w:ascii="Noto Sans" w:hAnsi="Noto Sans"/>
          <w:sz w:val="21"/>
          <w:szCs w:val="21"/>
        </w:rPr>
      </w:pPr>
      <w:r>
        <w:rPr>
          <w:rFonts w:ascii="Noto Sans" w:hAnsi="Noto Sans"/>
          <w:sz w:val="21"/>
          <w:szCs w:val="21"/>
        </w:rPr>
        <w:t>Artigo 9. Xustificación e pagamento</w:t>
      </w:r>
    </w:p>
    <w:p>
      <w:pPr>
        <w:pStyle w:val="BodyText"/>
        <w:widowControl w:val="false"/>
        <w:numPr>
          <w:ilvl w:val="0"/>
          <w:numId w:val="5"/>
        </w:numPr>
        <w:tabs>
          <w:tab w:val="clear" w:pos="720"/>
          <w:tab w:val="left" w:pos="22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ascii="Noto Sans" w:hAnsi="Noto Sans"/>
          <w:sz w:val="21"/>
          <w:szCs w:val="21"/>
        </w:rPr>
        <w:t>As empresas que resultasen beneficiarias dos incentivos, terán un prazo de 15 días naturais desde a finalización do obradoiro de emprego para realizar a contratación do alumnado seleccionado. Dado que o obradoiro remata o 23.11.2024, as contratacións deberán formalizarse antes do 08.12.2024.</w:t>
      </w:r>
    </w:p>
    <w:p>
      <w:pPr>
        <w:pStyle w:val="BodyText"/>
        <w:widowControl w:val="false"/>
        <w:numPr>
          <w:ilvl w:val="0"/>
          <w:numId w:val="5"/>
        </w:numPr>
        <w:tabs>
          <w:tab w:val="clear" w:pos="720"/>
          <w:tab w:val="left" w:pos="22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ascii="Noto Sans" w:hAnsi="Noto Sans"/>
          <w:sz w:val="21"/>
          <w:szCs w:val="21"/>
        </w:rPr>
        <w:t>A xustificación da contratación do/a alumno/a realizarase pola sede electrónica unha vez transcorridos os 3 meses da contratación, sendo a data límite o 15.04.2025. Deberá achegarse a seguinte documentación:</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Contrato de traballo rexistrado no Servizo Público de Emprego.</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Documentación xustificativa da alta na Seguridade Social.</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Documentación xustificativa da baixa na Seguridade Social, no seu caso.</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No supostos de que o traballador continuase na empresa, presentarase o informe de vida laboral de afiliado, ou calquera outro documento que acredite a súa contratación no prazo indicado no punto 1 deste artigo e por un período mínimo de 3 meses.</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As nóminas do traballador xunto co xustificante bancario do seu pagamento.</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Declaración responsable de estar ao corrente nas súas obrigas tributarias e coa Seguridade Social.</w:t>
      </w:r>
    </w:p>
    <w:p>
      <w:pPr>
        <w:pStyle w:val="BodyText"/>
        <w:widowControl w:val="false"/>
        <w:numPr>
          <w:ilvl w:val="1"/>
          <w:numId w:val="5"/>
        </w:numPr>
        <w:suppressAutoHyphens w:val="true"/>
        <w:bidi w:val="0"/>
        <w:spacing w:lineRule="auto" w:line="276" w:before="0" w:after="140"/>
        <w:ind w:hanging="340" w:left="737" w:right="0"/>
        <w:jc w:val="both"/>
        <w:textAlignment w:val="baseline"/>
        <w:rPr>
          <w:rFonts w:ascii="Noto Sans" w:hAnsi="Noto Sans"/>
          <w:sz w:val="21"/>
          <w:szCs w:val="21"/>
        </w:rPr>
      </w:pPr>
      <w:r>
        <w:rPr>
          <w:rFonts w:ascii="Noto Sans" w:hAnsi="Noto Sans"/>
          <w:sz w:val="21"/>
          <w:szCs w:val="21"/>
        </w:rPr>
        <w:t>Declaración complementaria da presentada coa solicitude, do conxunto das axudas solicitadas, tanto as aprobadas ou concedidas como as pendentes de resolución, para a mesma finalidade das distintas administracións públicas competentes ou outros entes públicos ou, de ser o caso, unha declaración de que non solicitou nin percibiu outras axudas ou subvencións, segundo o modelo do anexo.</w:t>
      </w:r>
    </w:p>
    <w:p>
      <w:pPr>
        <w:pStyle w:val="BodyText"/>
        <w:jc w:val="both"/>
        <w:rPr>
          <w:rFonts w:ascii="Noto Sans" w:hAnsi="Noto Sans"/>
          <w:sz w:val="21"/>
          <w:szCs w:val="21"/>
        </w:rPr>
      </w:pPr>
      <w:r>
        <w:rPr>
          <w:rFonts w:ascii="Noto Sans" w:hAnsi="Noto Sans"/>
          <w:sz w:val="21"/>
          <w:szCs w:val="21"/>
        </w:rPr>
        <w:t>Vencido o prazo para liquidar os seguros sociais do mes de marzo, último mes do período mínimo da contratación de 3 meses, o Concello de Rianxo verificará de oficio que a empresa está ao corrente nas súas débedas coa Seguridade Social. No caso de que non se lle concedese a autorización ao concello para realizar a dita verificación, a empresa deberá presentar a dita xustificación, sendo a data límite o 31.05.2024.</w:t>
      </w:r>
    </w:p>
    <w:p>
      <w:pPr>
        <w:pStyle w:val="BodyText"/>
        <w:widowControl w:val="false"/>
        <w:numPr>
          <w:ilvl w:val="0"/>
          <w:numId w:val="5"/>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ascii="Noto Sans" w:hAnsi="Noto Sans"/>
          <w:sz w:val="21"/>
          <w:szCs w:val="21"/>
        </w:rPr>
        <w:t xml:space="preserve">Unha vez presentada a conta xustificativa, o concello disporá do prazo dun mes para a súa aprobación e pago do importe íntegro da axuda, no seu caso. Excepcionalmente, e por causas debidamente xustificadas, o órgano concedente poderá outorgar unha ampliación do prazo establecido para a presentación da xustificación que non exceda a metade de leste. O acordo de ampliación deberá ser notificado ás persoas ou entidades beneficiarias. </w:t>
      </w:r>
    </w:p>
    <w:p>
      <w:pPr>
        <w:pStyle w:val="BodyText"/>
        <w:widowControl w:val="false"/>
        <w:numPr>
          <w:ilvl w:val="0"/>
          <w:numId w:val="5"/>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eastAsia="Noto Sans" w:cs="Noto Sans" w:ascii="Noto Sans" w:hAnsi="Noto Sans"/>
          <w:color w:val="000000"/>
          <w:kern w:val="2"/>
          <w:sz w:val="21"/>
          <w:szCs w:val="21"/>
          <w:lang w:eastAsia="zh-CN" w:bidi="hi-IN"/>
        </w:rPr>
        <w:t>Non poderá realizarse o pagamento da subvención en tanto a entidade beneficiaria non estea ao cor</w:t>
      </w:r>
      <w:r>
        <w:rPr>
          <w:rFonts w:eastAsia="Noto Sans" w:cs="Noto Sans" w:ascii="Noto Sans" w:hAnsi="Noto Sans"/>
          <w:color w:val="000000"/>
          <w:sz w:val="21"/>
          <w:szCs w:val="21"/>
        </w:rPr>
        <w:t>rente no cumprimento das súas obrigacións tributarias e fronte á Seguridade Social ou teña pendente de pagamento algunha outra débeda coa Administración Pública Estatal, coa Comunidade Autónoma ou co  Concello de Rianxo, ou sexa debedora en virtude de resolución firme declarativa de procedencia de reintegro.</w:t>
      </w:r>
    </w:p>
    <w:p>
      <w:pPr>
        <w:pStyle w:val="BodyText"/>
        <w:widowControl w:val="false"/>
        <w:numPr>
          <w:ilvl w:val="0"/>
          <w:numId w:val="5"/>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ascii="Noto Sans" w:hAnsi="Noto Sans"/>
          <w:sz w:val="21"/>
          <w:szCs w:val="21"/>
        </w:rPr>
        <w:t>No caso de que a empresa non acredite a contratación cos requisitos establecidos nestas bases, iniciarase o procedemento de perda do dereito á subvención polo importe íntegro.</w:t>
      </w:r>
    </w:p>
    <w:p>
      <w:pPr>
        <w:pStyle w:val="BodyText"/>
        <w:widowControl w:val="false"/>
        <w:numPr>
          <w:ilvl w:val="0"/>
          <w:numId w:val="5"/>
        </w:numPr>
        <w:tabs>
          <w:tab w:val="clear" w:pos="720"/>
          <w:tab w:val="left" w:pos="285" w:leader="none"/>
        </w:tabs>
        <w:suppressAutoHyphens w:val="true"/>
        <w:bidi w:val="0"/>
        <w:spacing w:lineRule="auto" w:line="276" w:before="0" w:after="140"/>
        <w:ind w:hanging="0" w:left="0" w:right="0"/>
        <w:jc w:val="both"/>
        <w:textAlignment w:val="baseline"/>
        <w:rPr>
          <w:rFonts w:ascii="Noto Sans" w:hAnsi="Noto Sans"/>
          <w:sz w:val="21"/>
          <w:szCs w:val="21"/>
        </w:rPr>
      </w:pPr>
      <w:r>
        <w:rPr>
          <w:rFonts w:ascii="Noto Sans" w:hAnsi="Noto Sans"/>
          <w:sz w:val="21"/>
          <w:szCs w:val="21"/>
        </w:rPr>
        <w:t>Con posterioridade ao pagamento da axuda, o concello poderá solicitar a acreditación do pagamento das cotizacións á Seguridade Social vinculadas ao contrato incentivado, se o considerarse necesario.</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10. Obrigacións das entidades beneficiarias</w:t>
      </w:r>
    </w:p>
    <w:p>
      <w:pPr>
        <w:pStyle w:val="BodyText"/>
        <w:widowControl w:val="false"/>
        <w:numPr>
          <w:ilvl w:val="0"/>
          <w:numId w:val="8"/>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eastAsia="Noto Sans" w:cs="Noto Sans" w:ascii="Noto Sans" w:hAnsi="Noto Sans"/>
          <w:color w:val="000000"/>
          <w:sz w:val="21"/>
          <w:szCs w:val="21"/>
        </w:rPr>
        <w:t xml:space="preserve">Incorporar á persoa nun posto de traballo directamente relacionado coa formación recibida no obradoiro dual de emprego </w:t>
      </w:r>
      <w:r>
        <w:rPr>
          <w:rFonts w:eastAsia="Noto Sans" w:cs="Noto Sans" w:ascii="Noto Sans" w:hAnsi="Noto Sans"/>
          <w:b/>
          <w:color w:val="000000"/>
          <w:sz w:val="21"/>
          <w:szCs w:val="21"/>
        </w:rPr>
        <w:t xml:space="preserve">“MONTE NOSO” </w:t>
      </w:r>
      <w:r>
        <w:rPr>
          <w:rFonts w:eastAsia="Noto Sans" w:cs="Noto Sans" w:ascii="Noto Sans" w:hAnsi="Noto Sans"/>
          <w:color w:val="000000"/>
          <w:sz w:val="21"/>
          <w:szCs w:val="21"/>
        </w:rPr>
        <w:t xml:space="preserve">dentro das especialidades </w:t>
      </w:r>
      <w:r>
        <w:rPr>
          <w:rFonts w:eastAsia="Noto Sans" w:cs="Noto Sans" w:ascii="Noto Sans" w:hAnsi="Noto Sans"/>
          <w:b/>
          <w:color w:val="000000"/>
          <w:sz w:val="21"/>
          <w:szCs w:val="21"/>
        </w:rPr>
        <w:t>AGAR0208: Repoboacións forestais e tratamentos silvícolas</w:t>
      </w:r>
      <w:r>
        <w:rPr>
          <w:rFonts w:eastAsia="Noto Sans" w:cs="Noto Sans" w:ascii="Noto Sans" w:hAnsi="Noto Sans"/>
          <w:color w:val="000000"/>
          <w:sz w:val="21"/>
          <w:szCs w:val="21"/>
        </w:rPr>
        <w:t xml:space="preserve"> e</w:t>
      </w:r>
      <w:r>
        <w:rPr>
          <w:rFonts w:eastAsia="Noto Sans" w:cs="Noto Sans" w:ascii="Noto Sans" w:hAnsi="Noto Sans"/>
          <w:b/>
          <w:color w:val="000000"/>
          <w:sz w:val="21"/>
          <w:szCs w:val="21"/>
        </w:rPr>
        <w:t xml:space="preserve"> AGAR0309: Actividades auxiliares e conservación e mellora de montes</w:t>
      </w:r>
      <w:r>
        <w:rPr>
          <w:rFonts w:eastAsia="Noto Sans" w:cs="Noto Sans" w:ascii="Noto Sans" w:hAnsi="Noto Sans"/>
          <w:color w:val="000000"/>
          <w:sz w:val="21"/>
          <w:szCs w:val="21"/>
        </w:rPr>
        <w:t>.</w:t>
      </w:r>
    </w:p>
    <w:p>
      <w:pPr>
        <w:pStyle w:val="BodyText"/>
        <w:widowControl w:val="false"/>
        <w:numPr>
          <w:ilvl w:val="0"/>
          <w:numId w:val="8"/>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eastAsia="Noto Sans" w:cs="Noto Sans" w:ascii="Noto Sans" w:hAnsi="Noto Sans"/>
          <w:color w:val="000000"/>
          <w:sz w:val="21"/>
          <w:szCs w:val="21"/>
        </w:rPr>
        <w:t>Manter no seu persoal a persoa contratada polo período de duración do contrato obxecto de subvención. No caso de extinción do contrato de traballo polas causas previstas na normativa laboral vixente con anterioridade á finalización do período exixible</w:t>
      </w:r>
      <w:r>
        <w:rPr>
          <w:rFonts w:eastAsia="Noto Sans" w:cs="Noto Sans" w:ascii="Noto Sans" w:hAnsi="Noto Sans"/>
          <w:color w:val="000000"/>
          <w:sz w:val="21"/>
          <w:szCs w:val="21"/>
          <w:shd w:fill="auto" w:val="clear"/>
        </w:rPr>
        <w:t>, a empresa deberá comunicar esta circunstancia á entidade promotora dos obradoiros duais de emprego no prazo de se</w:t>
      </w:r>
      <w:r>
        <w:rPr>
          <w:rFonts w:eastAsia="Noto Sans" w:cs="Noto Sans" w:ascii="Noto Sans" w:hAnsi="Noto Sans"/>
          <w:color w:val="000000"/>
          <w:sz w:val="21"/>
          <w:szCs w:val="21"/>
        </w:rPr>
        <w:t>te días desde que se produza, para promover a súa substitución nas mesmas condicións, ofertando a cobertura do posto de traballo vacante a outras persoas participantes no obradoiro, que non fosen contratadas previamente.</w:t>
      </w:r>
    </w:p>
    <w:p>
      <w:pPr>
        <w:pStyle w:val="BodyText"/>
        <w:widowControl w:val="false"/>
        <w:numPr>
          <w:ilvl w:val="0"/>
          <w:numId w:val="8"/>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Como consecuencia da contratación pola que se solicita a subvención, ten que incrementarse o emprego neto da entidade solicitante no ámbito territorial de Galicia respecto ao mes anterior ao mes de realización da contratación pola que se solicita a subvención. Para o cálculo do incremento do persoal non se computarán as persoas traballadoras cuxo contrato de traballo se extinga por causas obxectivas ou por despedimento disciplinario que non sexan declarados improcedentes, ou cuxas baixas se produciron por dimisión da persoa traballadora ou por morte, xubilación, incapacidade permanente total ou absoluta ou gran invalidez legalmente recoñecidas, ou por finalización do contrato.</w:t>
      </w:r>
    </w:p>
    <w:p>
      <w:pPr>
        <w:pStyle w:val="BodyText"/>
        <w:widowControl w:val="false"/>
        <w:numPr>
          <w:ilvl w:val="0"/>
          <w:numId w:val="8"/>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contratacións polas que se solicita subvención deberán formalizarse e comunicarse á oficina pública de emprego na forma regulamentariamente establecida.</w:t>
      </w:r>
    </w:p>
    <w:p>
      <w:pPr>
        <w:pStyle w:val="BodyText"/>
        <w:widowControl w:val="false"/>
        <w:numPr>
          <w:ilvl w:val="0"/>
          <w:numId w:val="8"/>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Unha vez finalizado o período de cumprimento desta obrigación, corresponderá á entidade promotora do obradoiro dual de emprego levar a cabo a función de control das subvencións concedidas, así como a avaliación e seguimento deste programa.</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11. Incompatibilidades e concorrencia</w:t>
      </w:r>
    </w:p>
    <w:p>
      <w:pPr>
        <w:pStyle w:val="BodyText"/>
        <w:widowControl w:val="false"/>
        <w:numPr>
          <w:ilvl w:val="0"/>
          <w:numId w:val="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As axudas previstas neste programa para as contratacións por conta allea son incompatibles con outras que, polos mesmos conceptos, poidan outorgar as administracións públicas como medida de fomento de emprego. Con todo, serán compatibles, de ser o caso, coas bonificacións ou reducións de cotizacións á Seguridade Social.</w:t>
      </w:r>
    </w:p>
    <w:p>
      <w:pPr>
        <w:pStyle w:val="BodyText"/>
        <w:widowControl w:val="false"/>
        <w:numPr>
          <w:ilvl w:val="0"/>
          <w:numId w:val="1"/>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incentivos establecidos neste programa serán compatibles con calquera outra axuda para distinta finalidade da Unión Europea, doutras administracións públicas ou entes públicos ou privados pero, sen que en ningún caso, illadamente ou en concorrencia con outras poidan superar os límites establecidos pola Unión Europea e os que establece o artigo 17.3 da Lei 9/2007, do 13 de xuño, de subvencións de Galicia.</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12. Perda do dereito ao cobramento da subvención e reintegro</w:t>
      </w:r>
    </w:p>
    <w:p>
      <w:pPr>
        <w:pStyle w:val="BodyText"/>
        <w:widowControl w:val="false"/>
        <w:numPr>
          <w:ilvl w:val="0"/>
          <w:numId w:val="6"/>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Procederá a perda do dereito ao cobramento da subvención, así como o reintegro total ou parcial das cantidades percibidas e a exixencia dos xuros de mora correspondentes desde o momento do pagamento da subvención ata a data en que se acorde a procedencia do reintegro, nos casos previstos no artigo 33 da Lei 9/2007, do 13 de xuño, de subvencións de Galicia.</w:t>
      </w:r>
    </w:p>
    <w:p>
      <w:pPr>
        <w:pStyle w:val="BodyText"/>
        <w:widowControl w:val="false"/>
        <w:numPr>
          <w:ilvl w:val="0"/>
          <w:numId w:val="6"/>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Os obrigacións de reintegro establecidas nesta orde entenderanse sen prexuízo do establecido no Real decreto lexislativo 5/2000, do 4 de agosto, que aproba o texto refundido da Lei sobre infraccións e sancións na orde social.</w:t>
      </w:r>
    </w:p>
    <w:p>
      <w:pPr>
        <w:pStyle w:val="BodyText"/>
        <w:widowControl w:val="false"/>
        <w:numPr>
          <w:ilvl w:val="0"/>
          <w:numId w:val="6"/>
        </w:numPr>
        <w:tabs>
          <w:tab w:val="clear" w:pos="720"/>
          <w:tab w:val="left" w:pos="28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Entenderase que se produce un incumprimento parcial e, por tanto, procederá o reintegro parcial dos incentivos cando a persoa traballadora subvencionada cesamento na súa relación laboral antes de que transcorra o período mínimo de subvención e a empresa non proceda a substituílo.</w:t>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b/>
        </w:rPr>
      </w:pPr>
      <w:r>
        <w:rPr>
          <w:rFonts w:ascii="Noto Sans" w:hAnsi="Noto Sans"/>
          <w:sz w:val="21"/>
          <w:szCs w:val="21"/>
        </w:rPr>
        <w:t>Artigo 13. Devolución voluntaria da subvención</w:t>
      </w:r>
    </w:p>
    <w:p>
      <w:pPr>
        <w:pStyle w:val="BodyText"/>
        <w:widowControl w:val="false"/>
        <w:numPr>
          <w:ilvl w:val="0"/>
          <w:numId w:val="10"/>
        </w:numPr>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De acordo co establecido no artigo 64 do Regulamento da Lei 9/2007, do 13 de xuño, de subvencións de Galicia, aprobado polo Decreto 11/2009, do 8 de xaneiro, as entidades beneficiarias poderán realizar, sen o requirimento previo da Administración, a devolución total ou parcial da subvención concedida, mediante o seu ingreso na conta da entidade promotora do obradoiro dual de emprego, en concepto de devolución voluntaria da subvención.</w:t>
      </w:r>
    </w:p>
    <w:p>
      <w:pPr>
        <w:pStyle w:val="BodyText"/>
        <w:widowControl w:val="false"/>
        <w:numPr>
          <w:ilvl w:val="0"/>
          <w:numId w:val="10"/>
        </w:numPr>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ascii="Noto Sans" w:hAnsi="Noto Sans"/>
          <w:sz w:val="21"/>
          <w:szCs w:val="21"/>
        </w:rPr>
        <w:t>En todo caso, a entidade beneficiaria deberá presentar ante o órgano concedente copia xustificativa da devolución voluntaria realizada, en que conste a data do ingreso, o seu importe, o número do expediente e denominación da subvención concedida.</w:t>
      </w:r>
    </w:p>
    <w:p>
      <w:pPr>
        <w:pStyle w:val="BodyText"/>
        <w:widowControl w:val="false"/>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
    </w:p>
    <w:p>
      <w:pPr>
        <w:pStyle w:val="BodyText"/>
        <w:widowControl w:val="false"/>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eastAsia="Noto Sans" w:cs="Noto Sans" w:ascii="Noto Sans" w:hAnsi="Noto Sans"/>
          <w:color w:val="000000"/>
          <w:sz w:val="21"/>
          <w:szCs w:val="21"/>
        </w:rPr>
        <w:t>Artigo 14. Réxime xurídico</w:t>
      </w:r>
    </w:p>
    <w:p>
      <w:pPr>
        <w:pStyle w:val="BodyText"/>
        <w:widowControl w:val="false"/>
        <w:tabs>
          <w:tab w:val="clear" w:pos="720"/>
          <w:tab w:val="left" w:pos="345" w:leader="none"/>
        </w:tabs>
        <w:suppressAutoHyphens w:val="true"/>
        <w:bidi w:val="0"/>
        <w:spacing w:lineRule="auto" w:line="276" w:before="0" w:after="140"/>
        <w:ind w:hanging="0" w:left="0" w:right="0"/>
        <w:jc w:val="both"/>
        <w:textAlignment w:val="baseline"/>
        <w:rPr>
          <w:rFonts w:eastAsia="Noto Sans" w:cs="Noto Sans"/>
          <w:color w:val="000000"/>
        </w:rPr>
      </w:pPr>
      <w:r>
        <w:rPr>
          <w:rFonts w:eastAsia="Noto Sans" w:cs="Noto Sans" w:ascii="Noto Sans" w:hAnsi="Noto Sans"/>
          <w:color w:val="000000"/>
          <w:sz w:val="21"/>
          <w:szCs w:val="21"/>
        </w:rPr>
        <w:t>A normativa que regula a concesión destas axudas, no non establecido nestas bases e na Orde do 21 de abril de 2024, da Consellería de Promoción do Emprego e Igualdade, será a prevista na Lei 39/2015, do 1 de outubro, de procedemento administrativo común das Administracións Públicas; na Lei 38/2003, do 17 de novembro, xeral de subvencións, e no Real Decreto 887/2006, do 21 de xullo, polo que se aproba o Regulamento de subvencións; na Lei 9/2007, do 13 de xuño, de subvencións de Galicia.</w:t>
      </w:r>
    </w:p>
    <w:p>
      <w:pPr>
        <w:pStyle w:val="BodyText"/>
        <w:jc w:val="both"/>
        <w:rPr>
          <w:rFonts w:ascii="Noto Sans" w:hAnsi="Noto Sans"/>
          <w:sz w:val="21"/>
          <w:szCs w:val="21"/>
        </w:rPr>
      </w:pPr>
      <w:r>
        <w:rPr>
          <w:rFonts w:ascii="Noto Sans" w:hAnsi="Noto Sans"/>
          <w:sz w:val="21"/>
          <w:szCs w:val="21"/>
        </w:rPr>
      </w:r>
    </w:p>
    <w:p>
      <w:pPr>
        <w:pStyle w:val="BodyText"/>
        <w:jc w:val="both"/>
        <w:rPr>
          <w:rFonts w:ascii="Noto Sans" w:hAnsi="Noto Sans"/>
          <w:sz w:val="21"/>
          <w:szCs w:val="21"/>
        </w:rPr>
      </w:pPr>
      <w:r>
        <w:rPr>
          <w:rFonts w:ascii="Noto Sans" w:hAnsi="Noto Sans"/>
          <w:sz w:val="21"/>
          <w:szCs w:val="21"/>
        </w:rPr>
      </w:r>
    </w:p>
    <w:p>
      <w:pPr>
        <w:pStyle w:val="BodyText"/>
        <w:jc w:val="both"/>
        <w:rPr>
          <w:rFonts w:eastAsia="Noto Sans" w:cs="Noto Sans"/>
          <w:color w:val="000000"/>
        </w:rPr>
      </w:pPr>
      <w:r>
        <w:rPr>
          <w:rFonts w:ascii="Noto Sans" w:hAnsi="Noto Sans"/>
          <w:sz w:val="21"/>
          <w:szCs w:val="21"/>
        </w:rPr>
        <w:t>Rianxo, asinado dixitalmente</w:t>
      </w:r>
    </w:p>
    <w:p>
      <w:pPr>
        <w:pStyle w:val="BodyText"/>
        <w:spacing w:before="0" w:after="140"/>
        <w:jc w:val="both"/>
        <w:rPr>
          <w:rFonts w:eastAsia="Noto Sans" w:cs="Noto Sans"/>
          <w:color w:val="000000"/>
        </w:rPr>
      </w:pPr>
      <w:r>
        <w:rPr>
          <w:rFonts w:ascii="Noto Sans" w:hAnsi="Noto Sans"/>
          <w:sz w:val="21"/>
          <w:szCs w:val="21"/>
        </w:rPr>
        <w:t>O alcalde, Julián Bustelo Abuín.</w:t>
      </w:r>
    </w:p>
    <w:sectPr>
      <w:headerReference w:type="default" r:id="rId2"/>
      <w:footerReference w:type="default" r:id="rId3"/>
      <w:type w:val="nextPage"/>
      <w:pgSz w:w="11906" w:h="16838"/>
      <w:pgMar w:left="1134" w:right="1127" w:gutter="0" w:header="720" w:top="1134" w:footer="72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font>
  <w:font w:name="Arial">
    <w:charset w:val="00"/>
    <w:family w:val="swiss"/>
    <w:pitch w:val="variable"/>
    <w:embedRegular r:id="rId5" w:fontKey="{05014A78-CABC-4EF0-12AC-5CD89AEFDE05}"/>
    <w:embedBold r:id="rId6" w:fontKey="{06014A78-CABC-4EF0-12AC-5CD89AEFDE06}"/>
    <w:embedItalic r:id="rId7" w:fontKey="{07014A78-CABC-4EF0-12AC-5CD89AEFDE07}"/>
    <w:embedBoldItalic r:id="rId8" w:fontKey="{08014A78-CABC-4EF0-12AC-5CD89AEFDE08}"/>
  </w:font>
  <w:font w:name="Liberation Serif">
    <w:altName w:val="Times New Roman"/>
    <w:charset w:val="01"/>
    <w:family w:val="roman"/>
    <w:pitch w:val="variable"/>
    <w:embedRegular r:id="rId9" w:fontKey="{09014A78-CABC-4EF0-12AC-5CD89AEFDE09}"/>
    <w:embedBold r:id="rId10" w:fontKey="{0A014A78-CABC-4EF0-12AC-5CD89AEFDE0A}"/>
    <w:embedItalic r:id="rId11" w:fontKey="{0B014A78-CABC-4EF0-12AC-5CD89AEFDE0B}"/>
    <w:embedBoldItalic r:id="rId12" w:fontKey="{0C014A78-CABC-4EF0-12AC-5CD89AEFDE0C}"/>
  </w:font>
  <w:font w:name="Times New Roman">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Liberation Sans">
    <w:altName w:val="Arial"/>
    <w:charset w:val="01"/>
    <w:family w:val="roman"/>
    <w:pitch w:val="variable"/>
    <w:embedRegular r:id="rId13" w:fontKey="{0D014A78-CABC-4EF0-12AC-5CD89AEFDE0D}"/>
    <w:embedBold r:id="rId14" w:fontKey="{0E014A78-CABC-4EF0-12AC-5CD89AEFDE0E}"/>
    <w:embedItalic r:id="rId15" w:fontKey="{0F014A78-CABC-4EF0-12AC-5CD89AEFDE0F}"/>
    <w:embedBoldItalic r:id="rId16" w:fontKey="{10014A78-CABC-4EF0-12AC-5CD89AEFDE10}"/>
  </w:font>
  <w:font w:name="Georgia">
    <w:charset w:val="01"/>
    <w:family w:val="roman"/>
    <w:pitch w:val="variable"/>
    <w:embedRegular r:id="rId17" w:fontKey="{11014A78-CABC-4EF0-12AC-5CD89AEFDE11}"/>
    <w:embedBold r:id="rId18" w:fontKey="{12014A78-CABC-4EF0-12AC-5CD89AEFDE12}"/>
    <w:embedItalic r:id="rId19" w:fontKey="{13014A78-CABC-4EF0-12AC-5CD89AEFDE13}"/>
    <w:embedBoldItalic r:id="rId20" w:fontKey="{14014A78-CABC-4EF0-12AC-5CD89AEFDE14}"/>
  </w:font>
  <w:font w:name="Noto Sans">
    <w:charset w:val="01"/>
    <w:family w:val="roman"/>
    <w:pitch w:val="variable"/>
    <w:embedRegular r:id="rId21" w:fontKey="{15014A78-CABC-4EF0-12AC-5CD89AEFDE15}"/>
    <w:embedBold r:id="rId22" w:fontKey="{16014A78-CABC-4EF0-12AC-5CD89AEFDE16}"/>
    <w:embedItalic r:id="rId23" w:fontKey="{17014A78-CABC-4EF0-12AC-5CD89AEFDE17}"/>
    <w:embedBoldItalic r:id="rId24" w:fontKey="{18014A78-CABC-4EF0-12AC-5CD89AEFDE18}"/>
  </w:font>
  <w:font w:name="Symbol">
    <w:charset w:val="02"/>
    <w:family w:val="auto"/>
    <w:pitch w:val="default"/>
  </w:font>
  <w:font w:name="Courier New">
    <w:charset w:val="01"/>
    <w:family w:val="modern"/>
    <w:pitch w:val="fixed"/>
    <w:embedRegular r:id="rId25" w:fontKey="{19014A78-CABC-4EF0-12AC-5CD89AEFDE19}"/>
    <w:embedBold r:id="rId26" w:fontKey="{1A014A78-CABC-4EF0-12AC-5CD89AEFDE1A}"/>
    <w:embedItalic r:id="rId27" w:fontKey="{1B014A78-CABC-4EF0-12AC-5CD89AEFDE1B}"/>
    <w:embedBoldItalic r:id="rId28" w:fontKey="{1C014A78-CABC-4EF0-12AC-5CD89AEFDE1C}"/>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jc w:val="right"/>
      <w:rPr>
        <w:rFonts w:ascii="Noto Sans" w:hAnsi="Noto Sans" w:eastAsia="Noto Sans" w:cs="Noto Sans"/>
        <w:color w:val="000000"/>
        <w:sz w:val="16"/>
        <w:szCs w:val="16"/>
      </w:rPr>
    </w:pPr>
    <w:r>
      <w:rPr>
        <w:rFonts w:eastAsia="Noto Sans" w:cs="Noto Sans" w:ascii="Noto Sans" w:hAnsi="Noto Sans"/>
        <w:color w:val="000000"/>
        <w:sz w:val="16"/>
        <w:szCs w:val="16"/>
      </w:rPr>
      <w:fldChar w:fldCharType="begin"/>
    </w:r>
    <w:r>
      <w:rPr>
        <w:sz w:val="16"/>
        <w:szCs w:val="16"/>
        <w:rFonts w:eastAsia="Noto Sans" w:cs="Noto Sans" w:ascii="Noto Sans" w:hAnsi="Noto Sans"/>
        <w:color w:val="000000"/>
      </w:rPr>
      <w:instrText xml:space="preserve"> PAGE </w:instrText>
    </w:r>
    <w:r>
      <w:rPr>
        <w:sz w:val="16"/>
        <w:szCs w:val="16"/>
        <w:rFonts w:eastAsia="Noto Sans" w:cs="Noto Sans" w:ascii="Noto Sans" w:hAnsi="Noto Sans"/>
        <w:color w:val="000000"/>
      </w:rPr>
      <w:fldChar w:fldCharType="separate"/>
    </w:r>
    <w:r>
      <w:rPr>
        <w:sz w:val="16"/>
        <w:szCs w:val="16"/>
        <w:rFonts w:eastAsia="Noto Sans" w:cs="Noto Sans" w:ascii="Noto Sans" w:hAnsi="Noto Sans"/>
        <w:color w:val="000000"/>
      </w:rPr>
      <w:t>9</w:t>
    </w:r>
    <w:r>
      <w:rPr>
        <w:sz w:val="16"/>
        <w:szCs w:val="16"/>
        <w:rFonts w:eastAsia="Noto Sans" w:cs="Noto Sans" w:ascii="Noto Sans" w:hAnsi="Noto Sans"/>
        <w:color w:val="000000"/>
      </w:rPr>
      <w:fldChar w:fldCharType="end"/>
    </w:r>
    <w:r>
      <w:rPr>
        <w:rFonts w:eastAsia="Noto Sans" w:cs="Noto Sans" w:ascii="Noto Sans" w:hAnsi="Noto Sans"/>
        <w:color w:val="000000"/>
        <w:sz w:val="16"/>
        <w:szCs w:val="16"/>
      </w:rPr>
      <w:t>/5</w:t>
    </w:r>
  </w:p>
  <w:p>
    <w:pPr>
      <w:pStyle w:val="Normal"/>
      <w:tabs>
        <w:tab w:val="clear" w:pos="720"/>
        <w:tab w:val="center" w:pos="4252" w:leader="none"/>
        <w:tab w:val="right" w:pos="8504" w:leader="none"/>
      </w:tabs>
      <w:rPr>
        <w:rFonts w:eastAsia="Times New Roman" w:cs="Times New Roman"/>
        <w:color w:val="000000"/>
      </w:rPr>
    </w:pPr>
    <w:r>
      <w:rPr>
        <w:rFonts w:eastAsia="Times New Roman" w:cs="Times New Roman"/>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ind w:firstLine="707" w:left="7080"/>
      <w:jc w:val="right"/>
      <w:rPr>
        <w:rFonts w:eastAsia="Times New Roman" w:cs="Times New Roman"/>
        <w:color w:val="000000"/>
      </w:rPr>
    </w:pPr>
    <w:r>
      <w:drawing>
        <wp:anchor behindDoc="1" distT="0" distB="0" distL="0" distR="0" simplePos="0" locked="0" layoutInCell="1" allowOverlap="1" relativeHeight="2">
          <wp:simplePos x="0" y="0"/>
          <wp:positionH relativeFrom="column">
            <wp:posOffset>0</wp:posOffset>
          </wp:positionH>
          <wp:positionV relativeFrom="paragraph">
            <wp:posOffset>635</wp:posOffset>
          </wp:positionV>
          <wp:extent cx="1600200" cy="41910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1600200" cy="419100"/>
                  </a:xfrm>
                  <a:prstGeom prst="rect">
                    <a:avLst/>
                  </a:prstGeom>
                </pic:spPr>
              </pic:pic>
            </a:graphicData>
          </a:graphic>
        </wp:anchor>
      </w:drawing>
    </w:r>
    <w:r>
      <w:rPr>
        <w:rFonts w:eastAsia="Noto Sans" w:cs="Noto Sans" w:ascii="Noto Sans" w:hAnsi="Noto Sans"/>
        <w:color w:val="000000"/>
        <w:sz w:val="16"/>
        <w:szCs w:val="16"/>
      </w:rPr>
      <w:t>Concello de Rianxo</w:t>
    </w:r>
  </w:p>
  <w:p>
    <w:pPr>
      <w:pStyle w:val="Normal"/>
      <w:widowControl/>
      <w:jc w:val="right"/>
      <w:rPr>
        <w:rFonts w:eastAsia="Times New Roman" w:cs="Times New Roman"/>
        <w:color w:val="000000"/>
      </w:rPr>
    </w:pPr>
    <w:r>
      <w:rPr>
        <w:rFonts w:eastAsia="Noto Sans" w:cs="Noto Sans" w:ascii="Noto Sans" w:hAnsi="Noto Sans"/>
        <w:color w:val="000000"/>
        <w:sz w:val="16"/>
        <w:szCs w:val="16"/>
      </w:rPr>
      <w:t>Praza Castelao 1, 15920 Rianxo</w:t>
    </w:r>
  </w:p>
  <w:p>
    <w:pPr>
      <w:pStyle w:val="Normal"/>
      <w:widowControl/>
      <w:jc w:val="right"/>
      <w:rPr>
        <w:rFonts w:eastAsia="Times New Roman" w:cs="Times New Roman"/>
        <w:color w:val="000000"/>
      </w:rPr>
    </w:pPr>
    <w:r>
      <w:rPr>
        <w:rFonts w:eastAsia="Noto Sans" w:cs="Noto Sans" w:ascii="Noto Sans" w:hAnsi="Noto Sans"/>
        <w:color w:val="000000"/>
        <w:sz w:val="16"/>
        <w:szCs w:val="16"/>
      </w:rPr>
      <w:t>Tfno. 981 860 075 Fax 981 866 628</w:t>
    </w:r>
  </w:p>
  <w:p>
    <w:pPr>
      <w:pStyle w:val="Normal"/>
      <w:widowControl/>
      <w:jc w:val="right"/>
      <w:rPr>
        <w:rFonts w:ascii="Noto Sans" w:hAnsi="Noto Sans" w:eastAsia="Noto Sans" w:cs="Noto Sans"/>
        <w:color w:val="000000"/>
        <w:sz w:val="16"/>
        <w:szCs w:val="16"/>
      </w:rPr>
    </w:pPr>
    <w:r>
      <w:rPr>
        <w:rFonts w:eastAsia="Noto Sans" w:cs="Noto Sans" w:ascii="Noto Sans" w:hAnsi="Noto Sans"/>
        <w:color w:val="000000"/>
        <w:sz w:val="16"/>
        <w:szCs w:val="16"/>
      </w:rPr>
      <w:t>rianxo.gal concelloderianxo.gal</w:t>
    </w:r>
  </w:p>
  <w:p>
    <w:pPr>
      <w:pStyle w:val="Normal"/>
      <w:widowControl/>
      <w:jc w:val="right"/>
      <w:rPr>
        <w:rFonts w:ascii="Noto Sans" w:hAnsi="Noto Sans" w:eastAsia="Noto Sans" w:cs="Noto Sans"/>
        <w:color w:val="000000"/>
        <w:sz w:val="16"/>
        <w:szCs w:val="16"/>
      </w:rPr>
    </w:pPr>
    <w:r>
      <w:rPr>
        <w:rFonts w:eastAsia="Noto Sans" w:cs="Noto Sans" w:ascii="Noto Sans" w:hAnsi="Noto Sans"/>
        <w:color w:val="000000"/>
        <w:sz w:val="16"/>
        <w:szCs w:val="16"/>
      </w:rPr>
    </w:r>
  </w:p>
  <w:p>
    <w:pPr>
      <w:pStyle w:val="Normal"/>
      <w:widowControl/>
      <w:jc w:val="right"/>
      <w:rPr>
        <w:rFonts w:eastAsia="Times New Roman" w:cs="Times New Roman"/>
        <w:color w:val="000000"/>
      </w:rPr>
    </w:pPr>
    <w:r>
      <w:rPr>
        <w:rFonts w:eastAsia="Times New Roman" w:cs="Times New Roman"/>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decimal"/>
      <w:lvlText w:val="%1."/>
      <w:lvlJc w:val="left"/>
      <w:pPr>
        <w:tabs>
          <w:tab w:val="num" w:pos="0"/>
        </w:tabs>
        <w:ind w:left="2192" w:hanging="360"/>
      </w:pPr>
      <w:rPr/>
    </w:lvl>
    <w:lvl w:ilvl="1">
      <w:start w:val="1"/>
      <w:numFmt w:val="lowerLetter"/>
      <w:lvlText w:val="%2."/>
      <w:lvlJc w:val="left"/>
      <w:pPr>
        <w:tabs>
          <w:tab w:val="num" w:pos="0"/>
        </w:tabs>
        <w:ind w:left="720" w:hanging="360"/>
      </w:pPr>
      <w:rPr/>
    </w:lvl>
    <w:lvl w:ilvl="2">
      <w:start w:val="1"/>
      <w:numFmt w:val="lowerRoman"/>
      <w:lvlText w:val="%3."/>
      <w:lvlJc w:val="right"/>
      <w:pPr>
        <w:tabs>
          <w:tab w:val="num" w:pos="0"/>
        </w:tabs>
        <w:ind w:left="1440" w:hanging="180"/>
      </w:pPr>
      <w:rPr/>
    </w:lvl>
    <w:lvl w:ilvl="3">
      <w:start w:val="1"/>
      <w:numFmt w:val="decimal"/>
      <w:lvlText w:val="%4."/>
      <w:lvlJc w:val="left"/>
      <w:pPr>
        <w:tabs>
          <w:tab w:val="num" w:pos="0"/>
        </w:tabs>
        <w:ind w:left="2160" w:hanging="360"/>
      </w:pPr>
      <w:rPr/>
    </w:lvl>
    <w:lvl w:ilvl="4">
      <w:start w:val="1"/>
      <w:numFmt w:val="lowerLetter"/>
      <w:lvlText w:val="%5."/>
      <w:lvlJc w:val="left"/>
      <w:pPr>
        <w:tabs>
          <w:tab w:val="num" w:pos="0"/>
        </w:tabs>
        <w:ind w:left="2880" w:hanging="360"/>
      </w:pPr>
      <w:rPr/>
    </w:lvl>
    <w:lvl w:ilvl="5">
      <w:start w:val="1"/>
      <w:numFmt w:val="lowerRoman"/>
      <w:lvlText w:val="%6."/>
      <w:lvlJc w:val="right"/>
      <w:pPr>
        <w:tabs>
          <w:tab w:val="num" w:pos="0"/>
        </w:tabs>
        <w:ind w:left="3600" w:hanging="180"/>
      </w:pPr>
      <w:rPr/>
    </w:lvl>
    <w:lvl w:ilvl="6">
      <w:start w:val="1"/>
      <w:numFmt w:val="decimal"/>
      <w:lvlText w:val="%7."/>
      <w:lvlJc w:val="left"/>
      <w:pPr>
        <w:tabs>
          <w:tab w:val="num" w:pos="0"/>
        </w:tabs>
        <w:ind w:left="4320" w:hanging="360"/>
      </w:pPr>
      <w:rPr/>
    </w:lvl>
    <w:lvl w:ilvl="7">
      <w:start w:val="1"/>
      <w:numFmt w:val="lowerLetter"/>
      <w:lvlText w:val="%8."/>
      <w:lvlJc w:val="left"/>
      <w:pPr>
        <w:tabs>
          <w:tab w:val="num" w:pos="0"/>
        </w:tabs>
        <w:ind w:left="5040" w:hanging="360"/>
      </w:pPr>
      <w:rPr/>
    </w:lvl>
    <w:lvl w:ilvl="8">
      <w:start w:val="1"/>
      <w:numFmt w:val="lowerRoman"/>
      <w:lvlText w:val="%9."/>
      <w:lvlJc w:val="right"/>
      <w:pPr>
        <w:tabs>
          <w:tab w:val="num" w:pos="0"/>
        </w:tabs>
        <w:ind w:left="5760" w:hanging="180"/>
      </w:pPr>
      <w:rPr/>
    </w:lvl>
  </w:abstractNum>
  <w:abstractNum w:abstractNumId="3">
    <w:lvl w:ilvl="0">
      <w:start w:val="1"/>
      <w:numFmt w:val="decimal"/>
      <w:lvlText w:val="%1."/>
      <w:lvlJc w:val="left"/>
      <w:pPr>
        <w:tabs>
          <w:tab w:val="num" w:pos="0"/>
        </w:tabs>
        <w:ind w:left="2192" w:hanging="360"/>
      </w:pPr>
      <w:rPr/>
    </w:lvl>
    <w:lvl w:ilvl="1">
      <w:start w:val="1"/>
      <w:numFmt w:val="lowerLetter"/>
      <w:lvlText w:val="%2."/>
      <w:lvlJc w:val="left"/>
      <w:pPr>
        <w:tabs>
          <w:tab w:val="num" w:pos="0"/>
        </w:tabs>
        <w:ind w:left="720" w:hanging="360"/>
      </w:pPr>
      <w:rPr/>
    </w:lvl>
    <w:lvl w:ilvl="2">
      <w:start w:val="1"/>
      <w:numFmt w:val="lowerRoman"/>
      <w:lvlText w:val="%3."/>
      <w:lvlJc w:val="right"/>
      <w:pPr>
        <w:tabs>
          <w:tab w:val="num" w:pos="0"/>
        </w:tabs>
        <w:ind w:left="1440" w:hanging="180"/>
      </w:pPr>
      <w:rPr/>
    </w:lvl>
    <w:lvl w:ilvl="3">
      <w:start w:val="1"/>
      <w:numFmt w:val="decimal"/>
      <w:lvlText w:val="%4."/>
      <w:lvlJc w:val="left"/>
      <w:pPr>
        <w:tabs>
          <w:tab w:val="num" w:pos="0"/>
        </w:tabs>
        <w:ind w:left="2160" w:hanging="360"/>
      </w:pPr>
      <w:rPr/>
    </w:lvl>
    <w:lvl w:ilvl="4">
      <w:start w:val="1"/>
      <w:numFmt w:val="lowerLetter"/>
      <w:lvlText w:val="%5."/>
      <w:lvlJc w:val="left"/>
      <w:pPr>
        <w:tabs>
          <w:tab w:val="num" w:pos="0"/>
        </w:tabs>
        <w:ind w:left="2880" w:hanging="360"/>
      </w:pPr>
      <w:rPr/>
    </w:lvl>
    <w:lvl w:ilvl="5">
      <w:start w:val="1"/>
      <w:numFmt w:val="lowerRoman"/>
      <w:lvlText w:val="%6."/>
      <w:lvlJc w:val="right"/>
      <w:pPr>
        <w:tabs>
          <w:tab w:val="num" w:pos="0"/>
        </w:tabs>
        <w:ind w:left="3600" w:hanging="180"/>
      </w:pPr>
      <w:rPr/>
    </w:lvl>
    <w:lvl w:ilvl="6">
      <w:start w:val="1"/>
      <w:numFmt w:val="decimal"/>
      <w:lvlText w:val="%7."/>
      <w:lvlJc w:val="left"/>
      <w:pPr>
        <w:tabs>
          <w:tab w:val="num" w:pos="0"/>
        </w:tabs>
        <w:ind w:left="4320" w:hanging="360"/>
      </w:pPr>
      <w:rPr/>
    </w:lvl>
    <w:lvl w:ilvl="7">
      <w:start w:val="1"/>
      <w:numFmt w:val="lowerLetter"/>
      <w:lvlText w:val="%8."/>
      <w:lvlJc w:val="left"/>
      <w:pPr>
        <w:tabs>
          <w:tab w:val="num" w:pos="0"/>
        </w:tabs>
        <w:ind w:left="5040" w:hanging="360"/>
      </w:pPr>
      <w:rPr/>
    </w:lvl>
    <w:lvl w:ilvl="8">
      <w:start w:val="1"/>
      <w:numFmt w:val="lowerRoman"/>
      <w:lvlText w:val="%9."/>
      <w:lvlJc w:val="right"/>
      <w:pPr>
        <w:tabs>
          <w:tab w:val="num" w:pos="0"/>
        </w:tabs>
        <w:ind w:left="5760" w:hanging="180"/>
      </w:pPr>
      <w:rPr/>
    </w:lvl>
  </w:abstractNum>
  <w:abstractNum w:abstractNumId="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5">
    <w:lvl w:ilvl="0">
      <w:start w:val="1"/>
      <w:numFmt w:val="decimal"/>
      <w:lvlText w:val="%1."/>
      <w:lvlJc w:val="left"/>
      <w:pPr>
        <w:tabs>
          <w:tab w:val="num" w:pos="0"/>
        </w:tabs>
        <w:ind w:left="720" w:hanging="578"/>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6">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7">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8">
    <w:lvl w:ilvl="0">
      <w:start w:val="1"/>
      <w:numFmt w:val="decimal"/>
      <w:lvlText w:val="%1."/>
      <w:lvlJc w:val="left"/>
      <w:pPr>
        <w:tabs>
          <w:tab w:val="num" w:pos="0"/>
        </w:tabs>
        <w:ind w:left="425" w:hanging="283"/>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9">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0">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4">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embedTrueTypeFonts/>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gl-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6da2"/>
    <w:pPr>
      <w:widowControl w:val="false"/>
      <w:suppressAutoHyphens w:val="true"/>
      <w:bidi w:val="0"/>
      <w:spacing w:before="0" w:after="0"/>
      <w:jc w:val="left"/>
      <w:textAlignment w:val="baseline"/>
    </w:pPr>
    <w:rPr>
      <w:rFonts w:ascii="Times New Roman" w:hAnsi="Times New Roman" w:eastAsia="SimSun" w:cs="Mangal"/>
      <w:color w:val="auto"/>
      <w:kern w:val="2"/>
      <w:sz w:val="24"/>
      <w:szCs w:val="24"/>
      <w:lang w:val="gl-ES" w:eastAsia="zh-CN" w:bidi="hi-IN"/>
    </w:rPr>
  </w:style>
  <w:style w:type="paragraph" w:styleId="Heading1">
    <w:name w:val="Heading 1"/>
    <w:basedOn w:val="Normal"/>
    <w:next w:val="Normal"/>
    <w:uiPriority w:val="9"/>
    <w:qFormat/>
    <w:pPr>
      <w:keepNext w:val="true"/>
      <w:keepLines/>
      <w:spacing w:before="480" w:after="120"/>
      <w:outlineLvl w:val="0"/>
    </w:pPr>
    <w:rPr>
      <w:b/>
      <w:sz w:val="48"/>
      <w:szCs w:val="48"/>
    </w:rPr>
  </w:style>
  <w:style w:type="paragraph" w:styleId="Heading2">
    <w:name w:val="Heading 2"/>
    <w:basedOn w:val="Normal"/>
    <w:next w:val="Normal"/>
    <w:uiPriority w:val="9"/>
    <w:semiHidden/>
    <w:unhideWhenUsed/>
    <w:qFormat/>
    <w:pPr>
      <w:keepNext w:val="true"/>
      <w:keepLines/>
      <w:spacing w:before="360" w:after="80"/>
      <w:outlineLvl w:val="1"/>
    </w:pPr>
    <w:rPr>
      <w:b/>
      <w:sz w:val="36"/>
      <w:szCs w:val="36"/>
    </w:rPr>
  </w:style>
  <w:style w:type="paragraph" w:styleId="Heading3">
    <w:name w:val="Heading 3"/>
    <w:basedOn w:val="Normal"/>
    <w:next w:val="Normal"/>
    <w:uiPriority w:val="9"/>
    <w:semiHidden/>
    <w:unhideWhenUsed/>
    <w:qFormat/>
    <w:pPr>
      <w:keepNext w:val="true"/>
      <w:keepLines/>
      <w:spacing w:before="280" w:after="80"/>
      <w:outlineLvl w:val="2"/>
    </w:pPr>
    <w:rPr>
      <w:b/>
      <w:sz w:val="28"/>
      <w:szCs w:val="28"/>
    </w:rPr>
  </w:style>
  <w:style w:type="paragraph" w:styleId="Heading4">
    <w:name w:val="Heading 4"/>
    <w:basedOn w:val="Normal"/>
    <w:next w:val="Normal"/>
    <w:uiPriority w:val="9"/>
    <w:semiHidden/>
    <w:unhideWhenUsed/>
    <w:qFormat/>
    <w:pPr>
      <w:keepNext w:val="true"/>
      <w:keepLines/>
      <w:spacing w:before="240" w:after="40"/>
      <w:outlineLvl w:val="3"/>
    </w:pPr>
    <w:rPr>
      <w:b/>
    </w:rPr>
  </w:style>
  <w:style w:type="paragraph" w:styleId="Heading5">
    <w:name w:val="Heading 5"/>
    <w:basedOn w:val="Normal"/>
    <w:next w:val="Normal"/>
    <w:uiPriority w:val="9"/>
    <w:semiHidden/>
    <w:unhideWhenUsed/>
    <w:qFormat/>
    <w:pPr>
      <w:keepNext w:val="true"/>
      <w:keepLines/>
      <w:spacing w:before="220" w:after="40"/>
      <w:outlineLvl w:val="4"/>
    </w:pPr>
    <w:rPr>
      <w:b/>
      <w:sz w:val="22"/>
      <w:szCs w:val="22"/>
    </w:rPr>
  </w:style>
  <w:style w:type="paragraph" w:styleId="Heading6">
    <w:name w:val="Heading 6"/>
    <w:basedOn w:val="Normal"/>
    <w:next w:val="Normal"/>
    <w:uiPriority w:val="9"/>
    <w:semiHidden/>
    <w:unhideWhenUsed/>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qFormat/>
    <w:rsid w:val="00266da2"/>
    <w:rPr>
      <w:rFonts w:ascii="Times New Roman" w:hAnsi="Times New Roman" w:eastAsia="SimSun" w:cs="Mangal"/>
      <w:kern w:val="2"/>
      <w:sz w:val="24"/>
      <w:szCs w:val="24"/>
      <w:lang w:val="gl-ES" w:eastAsia="zh-CN" w:bidi="hi-IN"/>
    </w:rPr>
  </w:style>
  <w:style w:type="character" w:styleId="PiedepginaCar" w:customStyle="1">
    <w:name w:val="Pie de página Car"/>
    <w:basedOn w:val="DefaultParagraphFont"/>
    <w:uiPriority w:val="99"/>
    <w:qFormat/>
    <w:rsid w:val="00266da2"/>
    <w:rPr>
      <w:rFonts w:ascii="Times New Roman" w:hAnsi="Times New Roman" w:eastAsia="SimSun" w:cs="Mangal"/>
      <w:kern w:val="2"/>
      <w:sz w:val="24"/>
      <w:szCs w:val="21"/>
      <w:lang w:val="gl-ES" w:eastAsia="zh-CN" w:bidi="hi-IN"/>
    </w:rPr>
  </w:style>
  <w:style w:type="paragraph" w:styleId="Ttulo">
    <w:name w:val="Título"/>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itle">
    <w:name w:val="Title"/>
    <w:basedOn w:val="Normal"/>
    <w:next w:val="Normal"/>
    <w:uiPriority w:val="10"/>
    <w:qFormat/>
    <w:pPr>
      <w:keepNext w:val="true"/>
      <w:keepLines/>
      <w:spacing w:before="480" w:after="120"/>
    </w:pPr>
    <w:rPr>
      <w:b/>
      <w:sz w:val="72"/>
      <w:szCs w:val="72"/>
    </w:rPr>
  </w:style>
  <w:style w:type="paragraph" w:styleId="Standard" w:customStyle="1">
    <w:name w:val="Standard"/>
    <w:qFormat/>
    <w:rsid w:val="00266da2"/>
    <w:pPr>
      <w:widowControl w:val="false"/>
      <w:suppressAutoHyphens w:val="true"/>
      <w:bidi w:val="0"/>
      <w:spacing w:before="0" w:after="0"/>
      <w:jc w:val="left"/>
      <w:textAlignment w:val="baseline"/>
    </w:pPr>
    <w:rPr>
      <w:rFonts w:ascii="Times New Roman" w:hAnsi="Times New Roman" w:eastAsia="SimSun" w:cs="Mangal"/>
      <w:color w:val="auto"/>
      <w:kern w:val="2"/>
      <w:sz w:val="24"/>
      <w:szCs w:val="24"/>
      <w:lang w:val="gl-ES" w:eastAsia="zh-CN" w:bidi="hi-IN"/>
    </w:rPr>
  </w:style>
  <w:style w:type="paragraph" w:styleId="Textbody" w:customStyle="1">
    <w:name w:val="Text body"/>
    <w:basedOn w:val="Standard"/>
    <w:qFormat/>
    <w:rsid w:val="00266da2"/>
    <w:pPr>
      <w:spacing w:before="0" w:after="120"/>
    </w:pPr>
    <w:rPr/>
  </w:style>
  <w:style w:type="paragraph" w:styleId="Cabeceiraerodap">
    <w:name w:val="Cabeceira e rodapé"/>
    <w:basedOn w:val="Normal"/>
    <w:qFormat/>
    <w:pPr/>
    <w:rPr/>
  </w:style>
  <w:style w:type="paragraph" w:styleId="Header">
    <w:name w:val="Header"/>
    <w:basedOn w:val="Standard"/>
    <w:link w:val="EncabezadoCar"/>
    <w:rsid w:val="00266da2"/>
    <w:pPr>
      <w:suppressLineNumbers/>
      <w:tabs>
        <w:tab w:val="clear" w:pos="720"/>
        <w:tab w:val="center" w:pos="4819" w:leader="none"/>
        <w:tab w:val="right" w:pos="9638" w:leader="none"/>
      </w:tabs>
    </w:pPr>
    <w:rPr/>
  </w:style>
  <w:style w:type="paragraph" w:styleId="Footer">
    <w:name w:val="Footer"/>
    <w:basedOn w:val="Normal"/>
    <w:link w:val="PiedepginaCar"/>
    <w:uiPriority w:val="99"/>
    <w:unhideWhenUsed/>
    <w:rsid w:val="00266da2"/>
    <w:pPr>
      <w:tabs>
        <w:tab w:val="clear" w:pos="720"/>
        <w:tab w:val="center" w:pos="4252" w:leader="none"/>
        <w:tab w:val="right" w:pos="8504" w:leader="none"/>
      </w:tabs>
    </w:pPr>
    <w:rPr>
      <w:szCs w:val="21"/>
    </w:rPr>
  </w:style>
  <w:style w:type="paragraph" w:styleId="NormalWeb">
    <w:name w:val="Normal (Web)"/>
    <w:basedOn w:val="Normal"/>
    <w:uiPriority w:val="99"/>
    <w:unhideWhenUsed/>
    <w:qFormat/>
    <w:rsid w:val="00575938"/>
    <w:pPr>
      <w:widowControl/>
      <w:suppressAutoHyphens w:val="false"/>
      <w:spacing w:lineRule="auto" w:line="276" w:beforeAutospacing="1" w:after="142"/>
      <w:textAlignment w:val="auto"/>
    </w:pPr>
    <w:rPr>
      <w:rFonts w:eastAsia="Times New Roman" w:cs="Times New Roman"/>
      <w:kern w:val="0"/>
      <w:lang w:val="es-ES" w:eastAsia="es-ES" w:bidi="ar-SA"/>
    </w:rPr>
  </w:style>
  <w:style w:type="paragraph" w:styleId="ListParagraph">
    <w:name w:val="List Paragraph"/>
    <w:basedOn w:val="Normal"/>
    <w:uiPriority w:val="34"/>
    <w:qFormat/>
    <w:rsid w:val="00cb663a"/>
    <w:pPr>
      <w:spacing w:before="0" w:after="0"/>
      <w:ind w:left="720"/>
      <w:contextualSpacing/>
    </w:pPr>
    <w:rPr>
      <w:szCs w:val="21"/>
    </w:rPr>
  </w:style>
  <w:style w:type="paragraph" w:styleId="Subtitle">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styleId="Tablaconcuadrcula">
    <w:name w:val="Table Grid"/>
    <w:basedOn w:val="Tablanormal"/>
    <w:uiPriority w:val="39"/>
    <w:rsid w:val="009853a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Relationship Id="rId20" Type="http://schemas.openxmlformats.org/officeDocument/2006/relationships/font" Target="fonts/font20.odttf"/><Relationship Id="rId21" Type="http://schemas.openxmlformats.org/officeDocument/2006/relationships/font" Target="fonts/font21.odttf"/><Relationship Id="rId22" Type="http://schemas.openxmlformats.org/officeDocument/2006/relationships/font" Target="fonts/font22.odttf"/><Relationship Id="rId23" Type="http://schemas.openxmlformats.org/officeDocument/2006/relationships/font" Target="fonts/font23.odttf"/><Relationship Id="rId24" Type="http://schemas.openxmlformats.org/officeDocument/2006/relationships/font" Target="fonts/font24.odttf"/><Relationship Id="rId25" Type="http://schemas.openxmlformats.org/officeDocument/2006/relationships/font" Target="fonts/font25.odttf"/><Relationship Id="rId26" Type="http://schemas.openxmlformats.org/officeDocument/2006/relationships/font" Target="fonts/font26.odttf"/><Relationship Id="rId27" Type="http://schemas.openxmlformats.org/officeDocument/2006/relationships/font" Target="fonts/font27.odttf"/><Relationship Id="rId28" Type="http://schemas.openxmlformats.org/officeDocument/2006/relationships/font" Target="fonts/font28.odttf"/>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9O+cUuC0Yksv3cMfANqW4HmVOlw==">CgMxLjA4AHIhMVdIeWxmQUNLMkNqX1IyaFFVN25rc2lmM3VyQjZmNkJK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Application>LibreOffice/7.6.7.2$Linux_X86_64 LibreOffice_project/60$Build-2</Application>
  <AppVersion>15.0000</AppVersion>
  <Pages>9</Pages>
  <Words>3364</Words>
  <Characters>18748</Characters>
  <CharactersWithSpaces>21947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2024-10-30T07:50:00Z</dcterms:created>
  <dc:creator>Pablo Paz León</dc:creator>
  <dc:description/>
  <dc:language>gl-ES</dc:language>
  <cp:lastModifiedBy/>
  <dcterms:modified xsi:type="dcterms:W3CDTF">2024-10-30T16:33:34Z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