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_rels/fontTable.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media/image1.png" ContentType="image/png"/>
  <Override PartName="/word/fonts/font9.odttf" ContentType="application/vnd.openxmlformats-officedocument.obfuscatedFont"/>
  <Override PartName="/word/fonts/font15.odttf" ContentType="application/vnd.openxmlformats-officedocument.obfuscatedFont"/>
  <Override PartName="/word/fonts/font8.odttf" ContentType="application/vnd.openxmlformats-officedocument.obfuscatedFont"/>
  <Override PartName="/word/fonts/font14.odttf" ContentType="application/vnd.openxmlformats-officedocument.obfuscatedFont"/>
  <Override PartName="/word/fonts/font7.odttf" ContentType="application/vnd.openxmlformats-officedocument.obfuscatedFont"/>
  <Override PartName="/word/fonts/font13.odttf" ContentType="application/vnd.openxmlformats-officedocument.obfuscatedFont"/>
  <Override PartName="/word/fonts/font6.odttf" ContentType="application/vnd.openxmlformats-officedocument.obfuscatedFont"/>
  <Override PartName="/word/fonts/font12.odttf" ContentType="application/vnd.openxmlformats-officedocument.obfuscatedFont"/>
  <Override PartName="/word/fonts/font5.odttf" ContentType="application/vnd.openxmlformats-officedocument.obfuscatedFont"/>
  <Override PartName="/word/fonts/font11.odttf" ContentType="application/vnd.openxmlformats-officedocument.obfuscatedFont"/>
  <Override PartName="/word/fonts/font4.odttf" ContentType="application/vnd.openxmlformats-officedocument.obfuscatedFont"/>
  <Override PartName="/word/fonts/font10.odttf" ContentType="application/vnd.openxmlformats-officedocument.obfuscatedFont"/>
  <Override PartName="/word/fonts/font3.odttf" ContentType="application/vnd.openxmlformats-officedocument.obfuscatedFont"/>
  <Override PartName="/word/fonts/font2.odttf" ContentType="application/vnd.openxmlformats-officedocument.obfuscatedFont"/>
  <Override PartName="/word/fonts/font1.odttf" ContentType="application/vnd.openxmlformats-officedocument.obfuscatedFont"/>
  <Override PartName="/word/fonts/font28.odttf" ContentType="application/vnd.openxmlformats-officedocument.obfuscatedFont"/>
  <Override PartName="/word/fonts/font16.odttf" ContentType="application/vnd.openxmlformats-officedocument.obfuscatedFont"/>
  <Override PartName="/word/fonts/font27.odttf" ContentType="application/vnd.openxmlformats-officedocument.obfuscatedFont"/>
  <Override PartName="/word/fonts/font26.odttf" ContentType="application/vnd.openxmlformats-officedocument.obfuscatedFont"/>
  <Override PartName="/word/fonts/font25.odttf" ContentType="application/vnd.openxmlformats-officedocument.obfuscatedFont"/>
  <Override PartName="/word/fonts/font24.odttf" ContentType="application/vnd.openxmlformats-officedocument.obfuscatedFont"/>
  <Override PartName="/word/fonts/font23.odttf" ContentType="application/vnd.openxmlformats-officedocument.obfuscatedFont"/>
  <Override PartName="/word/fonts/font22.odttf" ContentType="application/vnd.openxmlformats-officedocument.obfuscatedFont"/>
  <Override PartName="/word/fonts/font21.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18.odttf" ContentType="application/vnd.openxmlformats-officedocument.obfuscatedFont"/>
  <Override PartName="/word/fonts/font1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center"/>
        <w:rPr>
          <w:rFonts w:ascii="Noto Sans" w:hAnsi="Noto Sans" w:eastAsia="Noto Sans" w:cs="Noto Sans"/>
          <w:sz w:val="18"/>
          <w:szCs w:val="18"/>
        </w:rPr>
      </w:pPr>
      <w:r>
        <w:rPr>
          <w:rFonts w:eastAsia="Noto Sans" w:cs="Noto Sans" w:ascii="Noto Sans" w:hAnsi="Noto Sans"/>
          <w:sz w:val="18"/>
          <w:szCs w:val="18"/>
        </w:rPr>
        <w:t>"Esta es una traducción automática de la versión en gallego"</w:t>
      </w:r>
    </w:p>
    <w:p>
      <w:pPr>
        <w:pStyle w:val="Normal"/>
        <w:spacing w:lineRule="auto" w:line="360"/>
        <w:jc w:val="center"/>
        <w:rPr>
          <w:rFonts w:ascii="Noto Sans" w:hAnsi="Noto Sans" w:eastAsia="Noto Sans" w:cs="Noto Sans"/>
        </w:rPr>
      </w:pPr>
      <w:r>
        <w:rPr>
          <w:rFonts w:eastAsia="Noto Sans" w:cs="Noto Sans" w:ascii="Noto Sans" w:hAnsi="Noto Sans"/>
        </w:rPr>
        <w:t>BASES DE AXUDAS A TRAVÉS DE INCENTIVOS Á CONTRATACIÓN TEMPORAL POR CUENTA AJENA A FAVOR DEL ALUMNADO/TRABAJADOR DEL OBRADOIRO DUAL DE EMPREGO “MONTE NOSO”.</w:t>
      </w:r>
    </w:p>
    <w:p>
      <w:pPr>
        <w:pStyle w:val="Normal"/>
        <w:spacing w:lineRule="auto" w:line="360"/>
        <w:jc w:val="center"/>
        <w:rPr>
          <w:rFonts w:ascii="Noto Sans" w:hAnsi="Noto Sans" w:eastAsia="Noto Sans" w:cs="Noto Sans"/>
        </w:rPr>
      </w:pPr>
      <w:r>
        <w:rPr>
          <w:rFonts w:eastAsia="Noto Sans" w:cs="Noto Sans" w:ascii="Noto Sans" w:hAnsi="Noto Sans"/>
        </w:rPr>
      </w:r>
    </w:p>
    <w:p>
      <w:pPr>
        <w:pStyle w:val="Normal"/>
        <w:spacing w:lineRule="auto" w:line="360"/>
        <w:jc w:val="center"/>
        <w:rPr>
          <w:rFonts w:ascii="Noto Sans" w:hAnsi="Noto Sans" w:eastAsia="Noto Sans" w:cs="Noto Sans"/>
        </w:rPr>
      </w:pPr>
      <w:r>
        <w:rPr>
          <w:rFonts w:eastAsia="Noto Sans" w:cs="Noto Sans" w:ascii="Noto Sans" w:hAnsi="Noto Sans"/>
        </w:rPr>
      </w:r>
    </w:p>
    <w:p>
      <w:pPr>
        <w:pStyle w:val="Normal"/>
        <w:spacing w:lineRule="auto" w:line="360" w:before="0" w:after="120"/>
        <w:jc w:val="both"/>
        <w:rPr>
          <w:rFonts w:ascii="Noto Sans" w:hAnsi="Noto Sans" w:eastAsia="Noto Sans" w:cs="Noto Sans"/>
          <w:b/>
          <w:sz w:val="20"/>
          <w:szCs w:val="20"/>
        </w:rPr>
      </w:pPr>
      <w:r>
        <w:rPr>
          <w:rFonts w:eastAsia="Noto Sans" w:cs="Noto Sans" w:ascii="Noto Sans" w:hAnsi="Noto Sans"/>
          <w:b/>
          <w:sz w:val="20"/>
          <w:szCs w:val="20"/>
        </w:rPr>
        <w:t>Artículo 1. Finalidad y duración de los incentivos a la contratación por cuenta ajena</w:t>
      </w:r>
    </w:p>
    <w:p>
      <w:pPr>
        <w:pStyle w:val="Normal"/>
        <w:numPr>
          <w:ilvl w:val="0"/>
          <w:numId w:val="2"/>
        </w:numPr>
        <w:pBdr/>
        <w:tabs>
          <w:tab w:val="clear" w:pos="720"/>
          <w:tab w:val="left" w:pos="284" w:leader="none"/>
        </w:tabs>
        <w:spacing w:lineRule="auto" w:line="360"/>
        <w:ind w:hanging="578" w:left="720"/>
        <w:jc w:val="both"/>
        <w:rPr>
          <w:rFonts w:ascii="Noto Sans" w:hAnsi="Noto Sans" w:eastAsia="Noto Sans" w:cs="Noto Sans"/>
          <w:color w:val="000000"/>
          <w:sz w:val="20"/>
          <w:szCs w:val="20"/>
        </w:rPr>
      </w:pPr>
      <w:r>
        <w:rPr>
          <w:rFonts w:eastAsia="Noto Sans" w:cs="Noto Sans" w:ascii="Noto Sans" w:hAnsi="Noto Sans"/>
          <w:color w:val="000000"/>
          <w:sz w:val="20"/>
          <w:szCs w:val="20"/>
        </w:rPr>
        <w:t>Los incentivos a la contratación por cuenta ajena tienen por finalidad facilitar a empleabilidad y ocupabilidad de las personas participantes en el obradoiro dual de emprego ”MONTE NOSO”, financiado a través de la convocatoria 2023 de ayudas y subvenciones a obradoiros duais de emprego, pola Dirección Xeral de Formación para o Emprego e Orientación, perteneciente a la Consellería de Promoción do Emprego e Igualdade da Xunta de Galicia.</w:t>
      </w:r>
    </w:p>
    <w:p>
      <w:pPr>
        <w:pStyle w:val="Normal"/>
        <w:numPr>
          <w:ilvl w:val="0"/>
          <w:numId w:val="2"/>
        </w:numPr>
        <w:pBdr/>
        <w:tabs>
          <w:tab w:val="clear" w:pos="720"/>
          <w:tab w:val="left" w:pos="284" w:leader="none"/>
        </w:tabs>
        <w:spacing w:lineRule="auto" w:line="360"/>
        <w:ind w:hanging="578" w:left="720"/>
        <w:jc w:val="both"/>
        <w:rPr>
          <w:rFonts w:ascii="Noto Sans" w:hAnsi="Noto Sans" w:eastAsia="Noto Sans" w:cs="Noto Sans"/>
          <w:color w:val="000000"/>
          <w:sz w:val="20"/>
          <w:szCs w:val="20"/>
        </w:rPr>
      </w:pPr>
      <w:r>
        <w:rPr>
          <w:rFonts w:eastAsia="Noto Sans" w:cs="Noto Sans" w:ascii="Noto Sans" w:hAnsi="Noto Sans"/>
          <w:color w:val="000000"/>
          <w:sz w:val="20"/>
          <w:szCs w:val="20"/>
        </w:rPr>
        <w:t>La contratación tendrá una duración mínima de 3 meses.</w:t>
      </w:r>
    </w:p>
    <w:p>
      <w:pPr>
        <w:pStyle w:val="Normal"/>
        <w:numPr>
          <w:ilvl w:val="0"/>
          <w:numId w:val="2"/>
        </w:numPr>
        <w:pBdr/>
        <w:tabs>
          <w:tab w:val="clear" w:pos="720"/>
          <w:tab w:val="left" w:pos="284" w:leader="none"/>
        </w:tabs>
        <w:spacing w:lineRule="auto" w:line="360"/>
        <w:ind w:hanging="578" w:left="720"/>
        <w:jc w:val="both"/>
        <w:rPr>
          <w:rFonts w:ascii="Noto Sans" w:hAnsi="Noto Sans" w:eastAsia="Noto Sans" w:cs="Noto Sans"/>
          <w:color w:val="000000"/>
          <w:sz w:val="20"/>
          <w:szCs w:val="20"/>
        </w:rPr>
      </w:pPr>
      <w:r>
        <w:rPr>
          <w:rFonts w:eastAsia="Noto Sans" w:cs="Noto Sans" w:ascii="Noto Sans" w:hAnsi="Noto Sans"/>
          <w:color w:val="000000"/>
          <w:sz w:val="20"/>
          <w:szCs w:val="20"/>
        </w:rPr>
        <w:t>La jornada da contratación será a tiempo completo.</w:t>
      </w:r>
    </w:p>
    <w:p>
      <w:pPr>
        <w:pStyle w:val="Normal"/>
        <w:numPr>
          <w:ilvl w:val="0"/>
          <w:numId w:val="2"/>
        </w:numPr>
        <w:pBdr/>
        <w:tabs>
          <w:tab w:val="clear" w:pos="720"/>
          <w:tab w:val="left" w:pos="284" w:leader="none"/>
        </w:tabs>
        <w:spacing w:lineRule="auto" w:line="36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La contratación laboral deberá comenzar a los quince días siguientes a la finalización del obradoiro dual de emprego, siendo la fecha de finalización de este, el 23.11.2024.</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2. Financiamiento de las ayudas</w:t>
      </w:r>
    </w:p>
    <w:p>
      <w:pPr>
        <w:pStyle w:val="Normal"/>
        <w:numPr>
          <w:ilvl w:val="0"/>
          <w:numId w:val="3"/>
        </w:numPr>
        <w:pBdr/>
        <w:tabs>
          <w:tab w:val="clear" w:pos="720"/>
          <w:tab w:val="left" w:pos="284" w:leader="none"/>
        </w:tabs>
        <w:spacing w:lineRule="auto" w:line="360"/>
        <w:jc w:val="both"/>
        <w:rPr>
          <w:rFonts w:ascii="Noto Sans" w:hAnsi="Noto Sans" w:eastAsia="Noto Sans" w:cs="Noto Sans"/>
          <w:color w:val="000000"/>
          <w:sz w:val="20"/>
          <w:szCs w:val="20"/>
        </w:rPr>
      </w:pPr>
      <w:r>
        <w:rPr>
          <w:rFonts w:eastAsia="Noto Sans" w:cs="Noto Sans" w:ascii="Noto Sans" w:hAnsi="Noto Sans"/>
          <w:color w:val="000000"/>
          <w:sz w:val="20"/>
          <w:szCs w:val="20"/>
        </w:rPr>
        <w:t>Para la concesión de estas ayudas, el Ayuntamiento de Rianxo destinará un importe máximo de 6.000€, con cargo a la aplicación presupuestaria 241.47000 y el proyecto de gasto 2024/3/31/1/1.</w:t>
      </w:r>
    </w:p>
    <w:p>
      <w:pPr>
        <w:pStyle w:val="Normal"/>
        <w:numPr>
          <w:ilvl w:val="0"/>
          <w:numId w:val="3"/>
        </w:numPr>
        <w:pBdr/>
        <w:tabs>
          <w:tab w:val="clear" w:pos="720"/>
          <w:tab w:val="left" w:pos="284" w:leader="none"/>
        </w:tabs>
        <w:spacing w:lineRule="auto" w:line="36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Las ayudas están financiadas con la subvención concedida a este ayuntamiento, al amparo de la Orden del 21 de abril de 2024, de la Consellería de Promoción del Emprrgo e Igualdade, por la que se establecen las bases reguladoras de las ayudas y subvenciones para los Obradoiros duais de emprego de la Comunidad Autónoma de Galicia, y si procede a su convocatoria para el año 2023 (DOG núm. 85, del 4 de mayo de 2023).</w:t>
      </w:r>
    </w:p>
    <w:p>
      <w:pPr>
        <w:pStyle w:val="Normal"/>
        <w:numPr>
          <w:ilvl w:val="0"/>
          <w:numId w:val="3"/>
        </w:numPr>
        <w:pBdr/>
        <w:tabs>
          <w:tab w:val="clear" w:pos="720"/>
          <w:tab w:val="left" w:pos="284" w:leader="none"/>
        </w:tabs>
        <w:spacing w:lineRule="auto" w:line="36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Estos incentivos a la contratación por cuenta ajena quedan sometidos al régimen de ayuda de minimis, en los terminos establecidos en el Reglamento (UE) nº 1407/2013 de la Comisión, del 18 de diciembre de 2013, relativo a la aplicación de los Artículos 107 y 108 del Tratado de funcionamiento de la Unión Europea a las ayudas de minimis (DOUE L352, del 24 de diciembre de 2013). Esta circunstancia se hará constar expresamente en la resolución de concesión.</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3. Entidades beneficiarias de los incentivos a la contratación.</w:t>
      </w:r>
    </w:p>
    <w:p>
      <w:pPr>
        <w:pStyle w:val="Normal"/>
        <w:numPr>
          <w:ilvl w:val="0"/>
          <w:numId w:val="4"/>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 xml:space="preserve">Podrán ser entidades beneficiarias de los incentivos a la contratación las personas empleadoras y las empresas, cualquiera que sea la forma jurídica que adopten, incluidas las personas autónomas, las sociedades civiles y las comunidades de bienes, aunque que carezcan de personalidad jurídica, cuya actividad esté directamente relacionada con la formación impartida en el obradoiro dual de emprego </w:t>
      </w:r>
      <w:r>
        <w:rPr>
          <w:rFonts w:eastAsia="Noto Sans" w:cs="Noto Sans" w:ascii="Noto Sans" w:hAnsi="Noto Sans"/>
          <w:b/>
          <w:color w:val="000000"/>
          <w:sz w:val="20"/>
          <w:szCs w:val="20"/>
        </w:rPr>
        <w:t>“MONTE NOSO”</w:t>
      </w:r>
      <w:r>
        <w:rPr>
          <w:rFonts w:eastAsia="Noto Sans" w:cs="Noto Sans" w:ascii="Noto Sans" w:hAnsi="Noto Sans"/>
          <w:color w:val="000000"/>
          <w:sz w:val="20"/>
          <w:szCs w:val="20"/>
        </w:rPr>
        <w:t xml:space="preserve">, es decir, que la actividad esté relacionada con las especialidades, </w:t>
      </w:r>
      <w:r>
        <w:rPr>
          <w:rFonts w:eastAsia="Noto Sans" w:cs="Noto Sans" w:ascii="Noto Sans" w:hAnsi="Noto Sans"/>
          <w:b/>
          <w:color w:val="000000"/>
          <w:sz w:val="20"/>
          <w:szCs w:val="20"/>
        </w:rPr>
        <w:t>AGAR0208: Repoblaciones forestales y tratamientos silvícolas</w:t>
      </w:r>
      <w:r>
        <w:rPr>
          <w:rFonts w:eastAsia="Noto Sans" w:cs="Noto Sans" w:ascii="Noto Sans" w:hAnsi="Noto Sans"/>
          <w:color w:val="000000"/>
          <w:sz w:val="20"/>
          <w:szCs w:val="20"/>
        </w:rPr>
        <w:t xml:space="preserve"> o </w:t>
      </w:r>
      <w:r>
        <w:rPr>
          <w:rFonts w:eastAsia="Noto Sans" w:cs="Noto Sans" w:ascii="Noto Sans" w:hAnsi="Noto Sans"/>
          <w:b/>
          <w:color w:val="000000"/>
          <w:sz w:val="20"/>
          <w:szCs w:val="20"/>
        </w:rPr>
        <w:t>AGAR0309: Actividades auxiliares y conservación y mejora de montes</w:t>
      </w:r>
      <w:r>
        <w:rPr>
          <w:rFonts w:eastAsia="Noto Sans" w:cs="Noto Sans" w:ascii="Noto Sans" w:hAnsi="Noto Sans"/>
          <w:color w:val="000000"/>
          <w:sz w:val="20"/>
          <w:szCs w:val="20"/>
        </w:rPr>
        <w:t>, y que contraten trabajadoras o trabajadores por cuenta ajena para prestar servicios en centros de trabajo radicados en el ámbito  territorial de la comarca del Barbanza. En el caso de sociedades civiles, comunidades de bienes y uniones temporales de empresas, deberá de hacerse constar expresamente, tanto en la solicitud como en la resolución de concesión, los compromisos de ejecución asumidos por cada miembro de la agrupación, así como el importe de subvención que se va a aplicar para cada uno de ellos, que tendrá igualmente la consideración de beneficiario. En cualquier caso, deberá nombrar una persona representante o apoderada única de la agrupación, con poder suficiente para cumplir las obligaciones que, como beneficiaria, le correspondan a la agrupación. En el supuesto de uniones temporales de empresas, cada empresa que forme parte de esta unión deberá reunir los requisitos exigidos para acceder a las ayudas.</w:t>
      </w:r>
    </w:p>
    <w:p>
      <w:pPr>
        <w:pStyle w:val="Normal"/>
        <w:numPr>
          <w:ilvl w:val="0"/>
          <w:numId w:val="4"/>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No podrán ser entidades beneficiarias de estas ayudas las administraciones públicas, las sociedades públicas, ni las entidades vinculadas o dependientes de cualquiera de ellas.</w:t>
      </w:r>
    </w:p>
    <w:p>
      <w:pPr>
        <w:pStyle w:val="Normal"/>
        <w:numPr>
          <w:ilvl w:val="0"/>
          <w:numId w:val="4"/>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No podrá obtener la condición de entidad beneficiaria de las subvenciones establecidas en este programa las personas o entidades en que concurran alguna de las circunstancias previstas en el Artículo 10 de la Ley 9/2007, do 13 de junio, de subvenciones de Galicia:</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Ser condenadas mediante sentencia firme a la pena de perdida de la posibilidad de obtener subvenciones o ayudas públicas.</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Solicitar la declaración de concurso, ser declaradas insolventes en cualquiera procedimiento, encontrarse declaradas en concurso salvo que en este adquiriese eficacia un convenio, estar sujetas a intervención judicial o ser inhabilitadas conforme a la ley concursal sin que concluya el período de inhabilitación fijado en la sentencia de cualificación del concurso.</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Dar lugar, por causa de la que fuesen declaradas culpables, a la resolución firme de cualquier contrato subscrito con la Administración.</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Estar incursa la persona física, los administradores de las sociedades mercantiles o aquellos que ejerzan a representación legal de otras personas jurídicas en algún de los supuestos de incompatibilidades que establezca la normativa vigente.</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 xml:space="preserve">No estar al día en el cumplimiento de las obligaciones tributarias o frente a la Seguridad Social o tener pendiente de pago alguna otra deuda con la Administración Pública Estatal, con la Comunidad Autónoma o con el </w:t>
      </w:r>
      <w:r>
        <w:rPr>
          <w:rFonts w:eastAsia="Noto Sans" w:cs="Noto Sans" w:ascii="Noto Sans" w:hAnsi="Noto Sans"/>
          <w:color w:val="000000"/>
          <w:sz w:val="20"/>
          <w:szCs w:val="20"/>
        </w:rPr>
        <w:t>Ayuntamiento</w:t>
      </w:r>
      <w:r>
        <w:rPr>
          <w:rFonts w:eastAsia="Noto Sans" w:cs="Noto Sans" w:ascii="Noto Sans" w:hAnsi="Noto Sans"/>
          <w:color w:val="000000"/>
          <w:sz w:val="20"/>
          <w:szCs w:val="20"/>
        </w:rPr>
        <w:t xml:space="preserve"> de Rianxo en los términos reglamentariamente establecidos.</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Tener la residencia fiscal en un país o territorio cualificado reglamentariamente como paraíso fiscal.</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No estar al día en el pago de obligaciones por reintegro de subvenciones en términos reglamentariamente establecidos.</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Ser sancionada, mediante resolución firme, con la perdida de la posibilidad de obtener subvenciones, según la Ley 9/2007, de 13 de junio, de subvenciones de Galicia, o la Ley general tributaria.</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No podrán acceder a la condición de entidad beneficiaria las agrupaciones de personas físicas o jurídicas, públicas o privadas sin personalidad, cando concurra alguna de las prohibiciones anteriores en cualquiera de sus miembros.</w:t>
      </w:r>
    </w:p>
    <w:p>
      <w:pPr>
        <w:pStyle w:val="Normal"/>
        <w:numPr>
          <w:ilvl w:val="0"/>
          <w:numId w:val="5"/>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En ningún caso podrá obtener la condición de entidad beneficiaria las asociaciones incursas en las causas de prohibición previstas en los puntos 5 y 6 del Artículo 4 de la Ley orgánica 1/2002, de 22 de marzo, reguladora del derecho de asociación, ni las asociaciones respecto de las que se suspendió el procedimiento administrativo de inscripción por encontrarse indicios racionales de ilicitud penal, en aplicación de lo dispuesto en el Artículo 30.4 de la Ley orgánica 1/2002, mientras no recaiga resolución judicial firme en cuya virtud pueda practicarse a inscripción en el correspondiente registro.</w:t>
      </w:r>
    </w:p>
    <w:p>
      <w:pPr>
        <w:pStyle w:val="Normal"/>
        <w:numPr>
          <w:ilvl w:val="0"/>
          <w:numId w:val="4"/>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No podrán obtener la condición de entidad beneficiaria las entidades solicitantes que estén excluidas del acceso a los beneficios derivados de la aplicación de los programas de empleo, conforme a lo establecido en el Artículo 46 y 46.bis del texto refundido de la Ley de infracciones y sanciones en el orden social, aprobado por el Real decreto legislativo 5/2000, de 4 de agosto.</w:t>
      </w:r>
    </w:p>
    <w:p>
      <w:pPr>
        <w:pStyle w:val="Normal"/>
        <w:numPr>
          <w:ilvl w:val="0"/>
          <w:numId w:val="4"/>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La justificación por parte de las personas o entidades solicitantes de no estar incursas en las prohibiciones contenidas en los números 3 e 4 anteriores para obtener la condición de beneficiario se realizará mediante declaración responsable.</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4. Cuantía de los incentivos</w:t>
      </w:r>
    </w:p>
    <w:p>
      <w:pPr>
        <w:pStyle w:val="Normal"/>
        <w:numPr>
          <w:ilvl w:val="0"/>
          <w:numId w:val="6"/>
        </w:numPr>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t>Los contratos se incentivarán con una subvención fija de 1.500 € por cada trabajador/a, correspondiente al contrato mínimo de 3 meses a jornada completa.</w:t>
      </w:r>
    </w:p>
    <w:p>
      <w:pPr>
        <w:pStyle w:val="Normal"/>
        <w:numPr>
          <w:ilvl w:val="0"/>
          <w:numId w:val="6"/>
        </w:numPr>
        <w:pBdr/>
        <w:tabs>
          <w:tab w:val="clear" w:pos="720"/>
          <w:tab w:val="left" w:pos="284" w:leader="none"/>
        </w:tabs>
        <w:spacing w:lineRule="auto" w:line="360" w:before="0" w:after="12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Los beneficios establecidos a la contratación en este programa no podrán ir, en concurrencia con otras ayudas públicas para la mesma finalidad, superar el 100 % del costo salarial de las mensualidades objeto de subvención.</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5. Exclusiones</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Se excluyen de los beneficios regulados en este programa:</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1.</w:t>
        <w:tab/>
        <w:t>Las relaciones laborales de carácter especial previstas en el Artículo 2.1 del Real decreto legislativo 2/2015, del 23 de octubre, por lo que se aprueba el texto refundido de la Ley del Estatuto de los trabajadores o en otras disposiciones legales, así como las contrataciones de trabajadores o trabajadoras para prestar servicios en otras empresas mediante contratos de puesta la disposición.</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2.</w:t>
        <w:tab/>
        <w:t>Los contratos realizados con el/con la cónyuge, las personas ascendentes, las personas descendentes y demás parientes, por consanguinidad o afinidad, hasta el segundo grado inclusive, de la empresaria o empresario o de las personas que tengan cargos de dirección o sean miembros de los órganos de administración de las empresas que revistan la forma jurídica de sociedad, así como las que se produzcan con estos últimos. No será aplicable esta exclusión cuando la persona empleadora sea una persona trabajadora autónoma que contrate como persona trabajadora por cuenta ajena los hijos e hijas menores de 30 años, tanto se conviven o no con ella, o cuando se trate de una persona trabajadora autónoma sin personas asalariadas y contrate un solo familiar menor de 45 años que no conviva en su hogar ni esté a su cargo.</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3.</w:t>
        <w:tab/>
        <w:t>Las contrataciones realizadas con personas trabajadoras que en los 24 meses anteriores a la fecha de la contratación prestaran servicios en la misma empresa, segundo el establecido en el Artículo 2 del Reglamento (UE) nº 1407/2013 de la Comisión, del 18 de diciembre de 2013, mediante un contrato de carácter indefinido, o nos últimos 3 meses mediante un contrato de carácter temporal o mediante un contrato formativo, de relevo o de relevo por anticipación de la edad de jubilación. El dispuesto en este párrafo será también de aplicación en el supuesto de vinculación laboral anterior del trabajador o de la trabajadora con empresas a las cuales la persona solicitante de los beneficios sucediera en virtud del establecido en el Artículo 44 del Real decreto legislativo 2/2015, del 23 de octubre.</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6. Plazos y solicitudes</w:t>
      </w:r>
    </w:p>
    <w:p>
      <w:pPr>
        <w:pStyle w:val="ListParagraph"/>
        <w:numPr>
          <w:ilvl w:val="3"/>
          <w:numId w:val="6"/>
        </w:numPr>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Las bases reguladoras de las ayudas y su convocatoria deberán publicarse en el BOP y en el tablón de anuncios de la sed electrónica del Ayuntamiento de Rianxo.</w:t>
      </w:r>
    </w:p>
    <w:p>
      <w:pPr>
        <w:pStyle w:val="ListParagraph"/>
        <w:numPr>
          <w:ilvl w:val="3"/>
          <w:numId w:val="6"/>
        </w:numPr>
        <w:spacing w:lineRule="auto" w:line="360"/>
        <w:ind w:hanging="284" w:left="426"/>
        <w:jc w:val="both"/>
        <w:rPr>
          <w:rFonts w:ascii="Noto Sans" w:hAnsi="Noto Sans" w:eastAsia="Noto Sans" w:cs="Noto Sans"/>
          <w:bCs/>
          <w:sz w:val="20"/>
          <w:szCs w:val="20"/>
        </w:rPr>
      </w:pPr>
      <w:bookmarkStart w:id="0" w:name="_Hlk181175779"/>
      <w:r>
        <w:rPr>
          <w:rFonts w:eastAsia="Noto Sans" w:cs="Noto Sans" w:ascii="Noto Sans" w:hAnsi="Noto Sans"/>
          <w:bCs/>
          <w:sz w:val="20"/>
          <w:szCs w:val="20"/>
        </w:rPr>
        <w:t>Las solicitudes de ayudas por las contrataciones subvencionables deberán presentarse en el plazo de 5 días a contar desde el día siguiente a la publicación de la convocatoria en el BOP.</w:t>
      </w:r>
      <w:bookmarkEnd w:id="0"/>
    </w:p>
    <w:p>
      <w:pPr>
        <w:pStyle w:val="ListParagraph"/>
        <w:numPr>
          <w:ilvl w:val="3"/>
          <w:numId w:val="6"/>
        </w:numPr>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Las solicitudes deberán presentarse a través del registro de entrada de la sed electrónica municipal, en el modelo normalizado que figura cómo anexo, junto con la siguiente documentación, original o copia compulsada o comparada:</w:t>
      </w:r>
    </w:p>
    <w:p>
      <w:pPr>
        <w:pStyle w:val="Normal"/>
        <w:numPr>
          <w:ilvl w:val="0"/>
          <w:numId w:val="7"/>
        </w:numPr>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t>Copia del DNI, NIE o NIF de la empresa, y poder suficiente para actuar en nombre de la entidad.</w:t>
      </w:r>
    </w:p>
    <w:p>
      <w:pPr>
        <w:pStyle w:val="Normal"/>
        <w:numPr>
          <w:ilvl w:val="0"/>
          <w:numId w:val="7"/>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Declaración del personal de todos los centros de trabajo de la empresa en Galicia en el mes anterior al mes de publicación de la presente convocatoria, según el modelo del anexo.</w:t>
      </w:r>
    </w:p>
    <w:p>
      <w:pPr>
        <w:pStyle w:val="Normal"/>
        <w:numPr>
          <w:ilvl w:val="0"/>
          <w:numId w:val="7"/>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Declaración responsable de que posee la capacidad administrativa, financiera y operativa para cumplir las condiciones de la ayuda.</w:t>
      </w:r>
    </w:p>
    <w:p>
      <w:pPr>
        <w:pStyle w:val="Normal"/>
        <w:numPr>
          <w:ilvl w:val="0"/>
          <w:numId w:val="7"/>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Declaración responsable de no estar incurso en ninguna de las prohibiciones para obtener la condición de beneficiario de la subvención, de acuerdo con el artículo 10 de la Ley 9/2007, de 13 de junio, de subvenciones de Galicia.</w:t>
      </w:r>
    </w:p>
    <w:p>
      <w:pPr>
        <w:pStyle w:val="Normal"/>
        <w:numPr>
          <w:ilvl w:val="0"/>
          <w:numId w:val="7"/>
        </w:numPr>
        <w:pBdr/>
        <w:tabs>
          <w:tab w:val="clear" w:pos="720"/>
          <w:tab w:val="left" w:pos="284" w:leader="none"/>
        </w:tabs>
        <w:spacing w:lineRule="auto" w:line="360" w:before="0" w:after="120"/>
        <w:ind w:hanging="283" w:left="709"/>
        <w:jc w:val="both"/>
        <w:rPr>
          <w:rFonts w:ascii="Noto Sans" w:hAnsi="Noto Sans" w:eastAsia="Noto Sans" w:cs="Noto Sans"/>
          <w:color w:val="000000"/>
          <w:sz w:val="20"/>
          <w:szCs w:val="20"/>
        </w:rPr>
      </w:pPr>
      <w:r>
        <w:rPr>
          <w:rFonts w:eastAsia="Noto Sans" w:cs="Noto Sans" w:ascii="Noto Sans" w:hAnsi="Noto Sans"/>
          <w:color w:val="000000"/>
          <w:sz w:val="20"/>
          <w:szCs w:val="20"/>
        </w:rPr>
        <w:t>Con carácter opcional, a autorización expresa para que el Ayuntamiento de Rianxo consulte que se encuentra al corriente con la Hacienda Estatal y con la Seguridad Social.</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7. Procedimiento de concesión, instrucción y tramitación</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1.</w:t>
        <w:tab/>
        <w:t>El procedimiento de concesión de las solicitudes presentadas al amparo de esta convocatoria no tiene la consideración de concurrencia competitiva, dado que, de acuerdo con la finalidad y el objeto del programa, no resulta necesario realizar la comparación y prelación de las solicitudes presentadas en un único procedimiento, sino que la concesión de la ayuda se realice por la comprobación de la concurrencia en las empresas y en los empleadores de los requisitos establecidos, hasta el agotamiento del crédito presupuestario. En consecuencia, se aplicará el procedimiento abreviado previsto en el Artículo 22 de la Ley 9/2007, del 13 de junio.</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2.</w:t>
        <w:tab/>
        <w:t>El órgano instructor será la dirección del Obradoiro de emprego, que comprobará la concurrencia de los requisitos requeridos para conceder la subvención. Para los trámites posteriores a la finalización del obradoiro, el órgano instructor lo integrará el personal técnico del Departamento de Empleo.</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3.</w:t>
        <w:tab/>
        <w:t>Una vez realizado lo comparo debería emitir una propuesta de concesión al órgano concedente, en la que deberá constar:</w:t>
      </w:r>
    </w:p>
    <w:p>
      <w:pPr>
        <w:pStyle w:val="ListParagraph"/>
        <w:numPr>
          <w:ilvl w:val="0"/>
          <w:numId w:val="8"/>
        </w:numPr>
        <w:spacing w:lineRule="auto" w:line="360"/>
        <w:jc w:val="both"/>
        <w:rPr>
          <w:rFonts w:ascii="Noto Sans" w:hAnsi="Noto Sans" w:eastAsia="Noto Sans" w:cs="Noto Sans"/>
          <w:bCs/>
          <w:sz w:val="20"/>
          <w:szCs w:val="20"/>
        </w:rPr>
      </w:pPr>
      <w:r>
        <w:rPr>
          <w:rFonts w:eastAsia="Noto Sans" w:cs="Noto Sans" w:ascii="Noto Sans" w:hAnsi="Noto Sans"/>
          <w:bCs/>
          <w:sz w:val="20"/>
          <w:szCs w:val="20"/>
        </w:rPr>
        <w:t>Solicitudes presentadas, indicando la fecha de presentación en el registro de entrada.</w:t>
      </w:r>
    </w:p>
    <w:p>
      <w:pPr>
        <w:pStyle w:val="ListParagraph"/>
        <w:numPr>
          <w:ilvl w:val="0"/>
          <w:numId w:val="8"/>
        </w:numPr>
        <w:spacing w:lineRule="auto" w:line="360"/>
        <w:jc w:val="both"/>
        <w:rPr>
          <w:rFonts w:ascii="Noto Sans" w:hAnsi="Noto Sans" w:eastAsia="Noto Sans" w:cs="Noto Sans"/>
          <w:bCs/>
          <w:sz w:val="20"/>
          <w:szCs w:val="20"/>
        </w:rPr>
      </w:pPr>
      <w:r>
        <w:rPr>
          <w:rFonts w:eastAsia="Noto Sans" w:cs="Noto Sans" w:ascii="Noto Sans" w:hAnsi="Noto Sans"/>
          <w:bCs/>
          <w:sz w:val="20"/>
          <w:szCs w:val="20"/>
        </w:rPr>
        <w:t>Solicitudes admitidas, debiendo constar de modo expreso que cumplen todos los requisitos requeridos en las bases reguladoras.</w:t>
      </w:r>
    </w:p>
    <w:p>
      <w:pPr>
        <w:pStyle w:val="ListParagraph"/>
        <w:numPr>
          <w:ilvl w:val="0"/>
          <w:numId w:val="8"/>
        </w:numPr>
        <w:spacing w:lineRule="auto" w:line="360"/>
        <w:jc w:val="both"/>
        <w:rPr>
          <w:rFonts w:ascii="Noto Sans" w:hAnsi="Noto Sans" w:eastAsia="Noto Sans" w:cs="Noto Sans"/>
          <w:bCs/>
          <w:sz w:val="20"/>
          <w:szCs w:val="20"/>
        </w:rPr>
      </w:pPr>
      <w:r>
        <w:rPr>
          <w:rFonts w:eastAsia="Noto Sans" w:cs="Noto Sans" w:ascii="Noto Sans" w:hAnsi="Noto Sans"/>
          <w:bCs/>
          <w:sz w:val="20"/>
          <w:szCs w:val="20"/>
        </w:rPr>
        <w:t>Solicitudes no admitidas, indicando el/los requisito/s no justificados.</w:t>
      </w:r>
    </w:p>
    <w:p>
      <w:pPr>
        <w:pStyle w:val="ListParagraph"/>
        <w:numPr>
          <w:ilvl w:val="0"/>
          <w:numId w:val="8"/>
        </w:numPr>
        <w:spacing w:lineRule="auto" w:line="360"/>
        <w:jc w:val="both"/>
        <w:rPr>
          <w:rFonts w:ascii="Noto Sans" w:hAnsi="Noto Sans" w:eastAsia="Noto Sans" w:cs="Noto Sans"/>
          <w:bCs/>
          <w:sz w:val="20"/>
          <w:szCs w:val="20"/>
        </w:rPr>
      </w:pPr>
      <w:r>
        <w:rPr>
          <w:rFonts w:eastAsia="Noto Sans" w:cs="Noto Sans" w:ascii="Noto Sans" w:hAnsi="Noto Sans"/>
          <w:bCs/>
          <w:sz w:val="20"/>
          <w:szCs w:val="20"/>
        </w:rPr>
        <w:t xml:space="preserve">Propuesta de concesión de las ayudas. </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4.</w:t>
        <w:tab/>
        <w:t xml:space="preserve">El plazo para resolver la concesión de las ayudas será de 10 días. La competencia para la concesión de los incentivos le corresponde a la </w:t>
      </w:r>
      <w:r>
        <w:rPr>
          <w:rFonts w:eastAsia="Noto Sans" w:cs="Noto Sans" w:ascii="Noto Sans" w:hAnsi="Noto Sans"/>
          <w:bCs/>
          <w:sz w:val="20"/>
          <w:szCs w:val="20"/>
        </w:rPr>
        <w:t>Ju</w:t>
      </w:r>
      <w:r>
        <w:rPr>
          <w:rFonts w:eastAsia="Noto Sans" w:cs="Noto Sans" w:ascii="Noto Sans" w:hAnsi="Noto Sans"/>
          <w:bCs/>
          <w:sz w:val="20"/>
          <w:szCs w:val="20"/>
        </w:rPr>
        <w:t>nta de Gobierno Local, de acuerdo con la Resolución de la Alcaldía núm. 687/2023, del 7 de julio, de delegación de competencias del alcalde en aquel órgano.</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5.</w:t>
        <w:tab/>
        <w:t>En caso de que el crédito sea insuficiente para la concesión de todas las solicitudes que cumplan los requisitos exigidos, se seguirá el criterio de la fecha de presentación en el registro de entrada, teniendo preferencia las primeras en presentarse.</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8. Resolución y recursos</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1.</w:t>
        <w:tab/>
        <w:t>Las resoluciones de concesión o denegación serán siempre motivadas.</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2.</w:t>
        <w:tab/>
        <w:t>El plazo para resolver y notificar es de 10 días, que se computarán desde la data de entrada de la solicitud en el registro del órgano competente para su tramitación. Transcurrido dicho plazo sin que se dicte resolución expresa, se entenderá desestimada la solicitud, de acuerdo con el establecido en el Artículo 23.5 de la Ley de subvenciones de Galicia.</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3.</w:t>
        <w:tab/>
        <w:t>Notificada la resolución por el órgano competente, las entidades propuestas cómo beneficiarias dispondrán de un plazo de cinco días para su aceptación; transcurrido este, sin que se produzca manifestación expresa, se entenderá tácitamente aceptada.</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4.</w:t>
        <w:tab/>
        <w:t>Las resoluciones que se dicten en este procedimiento agotan la vía administrativa y contra ellas cabe interponer recurso contencioso-administrativo, en el plazo de dos meses, ante el órgano competente de la jurisdicción contencioso-administrativa, de acuerdo con el dispuesto en la Ley 29/1998, del 13 de julio, reguladora de la jurisdicción contencioso-administrativa. Podrá formularse, con carácter potestativo, recurso de reposición, en el plazo de un mes, ante lo mismo órgano que dictó la resolución impugnada, de conformidad con la Ley 39/2015, del 1 de octubre, del procedimiento administrativo común de las administraciones públicas.</w:t>
      </w:r>
    </w:p>
    <w:p>
      <w:pPr>
        <w:pStyle w:val="Normal"/>
        <w:spacing w:lineRule="auto" w:line="360" w:before="240" w:after="120"/>
        <w:rPr>
          <w:rFonts w:ascii="Noto Sans" w:hAnsi="Noto Sans" w:eastAsia="Noto Sans" w:cs="Noto Sans"/>
          <w:b/>
          <w:bCs/>
          <w:kern w:val="2"/>
          <w:sz w:val="20"/>
          <w:szCs w:val="20"/>
          <w:lang w:val="es-ES" w:eastAsia="zh-CN" w:bidi="hi-IN"/>
        </w:rPr>
      </w:pPr>
      <w:r>
        <w:rPr>
          <w:rFonts w:eastAsia="Noto Sans" w:cs="Noto Sans" w:ascii="Noto Sans" w:hAnsi="Noto Sans"/>
          <w:b/>
          <w:bCs/>
          <w:kern w:val="2"/>
          <w:sz w:val="20"/>
          <w:szCs w:val="20"/>
          <w:lang w:val="es-ES" w:eastAsia="zh-CN" w:bidi="hi-IN"/>
        </w:rPr>
        <w:t xml:space="preserve">Artículo 9. Justificación y pago </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1. Las empresas que resultaran beneficiarias de los incentivos, tendrán un plazo de 15 días naturales desde la finalización del taller de empleo para realizar la contratación del alumnado seleccionado. Dado que el taller finaliza el 23.11.2024, las contrataciones deberán formalizarse antes del 08.12.2024.</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2. La justificación de la contratación del/a alumno/a se realizará por la sede electrónica una vez transcurridos los 3 meses de la contratación, siendo la fecha límite el 15.04.2025. Deberá acercarse la siguiente documentación: la. Contrato de trabajo registrado en el Servicio Público de Empleo.</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b. Documentación justificativa del alta en la Seguridad Social.</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c. Documentación justificativa de la baja en la Seguridad Social, en su caso.</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d. No supuestos de que el trabajador continuara en la empresa, se presentará el informe de vida laboral de afiliado, o cualquier otro documento que acredite su contratación en el plazo indicado en el punto 1 de este artículo y por un período mínimo de 3 meses. y. Las nóminas del trabajador junto con el justificante bancario de su pago.</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f. Declaración responsable de estar al corriente en sus deberes tributarios y con la Seguridad Social.</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 xml:space="preserve">g. Declaración complementaria de la presentada con la solicitud, del conjunto de las ayudas solicitadas, tanto las aprobadas o concedidas como las pendientes de resolución, para la misma finalidad de las distintas administraciones públicas competentes u otros entes públicos o, de ser el caso, una declaración de que no solicitó ni percibió otras ayudas o subvenciones, según el modelo del anexo. </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 xml:space="preserve">Vencido el plazo para liquidar los seguros sociales del mes de marzo, último mes del período mínimo de la contratación de 3 meses, el Ayuntamiento de Rianxo verificará de oficio que la empresa está al corriente en sus deudas con la Seguridad Social. En caso de que no se le concediera la autorización al ayuntamiento para realizar </w:t>
      </w:r>
      <w:r>
        <w:rPr>
          <w:rFonts w:eastAsia="Noto Sans" w:cs="Noto Sans" w:ascii="Noto Sans" w:hAnsi="Noto Sans"/>
          <w:bCs/>
          <w:kern w:val="2"/>
          <w:sz w:val="20"/>
          <w:szCs w:val="20"/>
          <w:lang w:val="es-ES" w:eastAsia="zh-CN" w:bidi="hi-IN"/>
        </w:rPr>
        <w:t>dicha</w:t>
      </w:r>
      <w:r>
        <w:rPr>
          <w:rFonts w:eastAsia="Noto Sans" w:cs="Noto Sans" w:ascii="Noto Sans" w:hAnsi="Noto Sans"/>
          <w:bCs/>
          <w:kern w:val="2"/>
          <w:sz w:val="20"/>
          <w:szCs w:val="20"/>
          <w:lang w:val="es-ES" w:eastAsia="zh-CN" w:bidi="hi-IN"/>
        </w:rPr>
        <w:t xml:space="preserve"> verificación, la empresa deberá presentar </w:t>
      </w:r>
      <w:r>
        <w:rPr>
          <w:rFonts w:eastAsia="Noto Sans" w:cs="Noto Sans" w:ascii="Noto Sans" w:hAnsi="Noto Sans"/>
          <w:bCs/>
          <w:kern w:val="2"/>
          <w:sz w:val="20"/>
          <w:szCs w:val="20"/>
          <w:lang w:val="es-ES" w:eastAsia="zh-CN" w:bidi="hi-IN"/>
        </w:rPr>
        <w:t xml:space="preserve">dicha justificación, </w:t>
      </w:r>
      <w:r>
        <w:rPr>
          <w:rFonts w:eastAsia="Noto Sans" w:cs="Noto Sans" w:ascii="Noto Sans" w:hAnsi="Noto Sans"/>
          <w:bCs/>
          <w:kern w:val="2"/>
          <w:sz w:val="20"/>
          <w:szCs w:val="20"/>
          <w:lang w:val="es-ES" w:eastAsia="zh-CN" w:bidi="hi-IN"/>
        </w:rPr>
        <w:t>siendo la fecha límite el 31.05.2024.</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3. Una vez presentada la cuenta justificativa, el ayuntamiento dispondrá del plazo de un mes para su aprobación y pago del importe íntegro de la ayuda, en su caso. Excepcionalmente, y por causas debidamente justificadas, el órgano concedente podrá otorgar una ampliación del plazo establecido para la presentación de la justificación que no exceda la mitad de este. El acuerdo de ampliación deberá ser notificado a las personas o entidades beneficiarias.</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4. No podrá realizarse el pago de la subvención en tanto la entidad beneficiaria no esté al corriente en el cumplimiento de sus obligaciones tributarias y frente a la Seguridad Social o tenga pendiente de pago alguna otra deuda con la Administración Pública Estatal, con la Comunidad Autónoma o con el Ayuntamiento de Rianxo, o sea deudora en virtud de resolución firme declarativa de origen de reintegro.</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5. En caso de que la empresa no acredite la contratación con los requisitos establecidos en estas bases, se iniciará el procedimiento de pérdida del derecho a la subvención por el importe íntegro.</w:t>
      </w:r>
    </w:p>
    <w:p>
      <w:pPr>
        <w:pStyle w:val="Normal"/>
        <w:spacing w:lineRule="auto" w:line="360" w:before="240" w:after="120"/>
        <w:jc w:val="both"/>
        <w:rPr>
          <w:rFonts w:ascii="Noto Sans" w:hAnsi="Noto Sans" w:eastAsia="Noto Sans" w:cs="Noto Sans"/>
          <w:bCs/>
          <w:kern w:val="2"/>
          <w:sz w:val="20"/>
          <w:szCs w:val="20"/>
          <w:lang w:val="es-ES" w:eastAsia="zh-CN" w:bidi="hi-IN"/>
        </w:rPr>
      </w:pPr>
      <w:r>
        <w:rPr>
          <w:rFonts w:eastAsia="Noto Sans" w:cs="Noto Sans" w:ascii="Noto Sans" w:hAnsi="Noto Sans"/>
          <w:bCs/>
          <w:kern w:val="2"/>
          <w:sz w:val="20"/>
          <w:szCs w:val="20"/>
          <w:lang w:val="es-ES" w:eastAsia="zh-CN" w:bidi="hi-IN"/>
        </w:rPr>
        <w:t>6. Con posterioridad al pago de la ayuda, el ayuntamiento podrá solicitar la acreditación del pago de las cotizaciones a la Seguridad Social vinculadas al contrato incentivado, si el considerarse necesario.</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10. Obligaciones de las entidades beneficiarias</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1.</w:t>
        <w:tab/>
        <w:t xml:space="preserve">Incorporar a la persona en un puesto de trabajo directamente relacionado con la formación recibida en el Obradoiro de emprego </w:t>
      </w:r>
      <w:r>
        <w:rPr>
          <w:rFonts w:eastAsia="Noto Sans" w:cs="Noto Sans" w:ascii="Noto Sans" w:hAnsi="Noto Sans"/>
          <w:b/>
          <w:bCs/>
          <w:sz w:val="20"/>
          <w:szCs w:val="20"/>
        </w:rPr>
        <w:t>“MONTE NOSO”</w:t>
      </w:r>
      <w:r>
        <w:rPr>
          <w:rFonts w:eastAsia="Noto Sans" w:cs="Noto Sans" w:ascii="Noto Sans" w:hAnsi="Noto Sans"/>
          <w:bCs/>
          <w:sz w:val="20"/>
          <w:szCs w:val="20"/>
        </w:rPr>
        <w:t xml:space="preserve"> dentro de las especialidades A</w:t>
      </w:r>
      <w:r>
        <w:rPr>
          <w:rFonts w:eastAsia="Noto Sans" w:cs="Noto Sans" w:ascii="Noto Sans" w:hAnsi="Noto Sans"/>
          <w:b/>
          <w:bCs/>
          <w:sz w:val="20"/>
          <w:szCs w:val="20"/>
        </w:rPr>
        <w:t>GAR0208: Repoblaciones forestales y tratamientos silvícolas y AGAR0309: Actividades auxiliares y conservación y mejora de montes.</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2.</w:t>
        <w:tab/>
        <w:t xml:space="preserve">Mantener en su personal a la persona contratada por el período de duración del contrato objeto de subvención. En el caso de extinción del contrato de trabajo por las causas previstas en la normativa laboral vigente con anterioridad a la finalización del período exigible, la empresa deberá comunicar esta circunstancia a la entidad promotora del </w:t>
      </w:r>
      <w:r>
        <w:rPr>
          <w:rFonts w:eastAsia="Noto Sans" w:cs="Noto Sans" w:ascii="Noto Sans" w:hAnsi="Noto Sans"/>
          <w:bCs/>
          <w:sz w:val="20"/>
          <w:szCs w:val="20"/>
        </w:rPr>
        <w:t>taller</w:t>
      </w:r>
      <w:r>
        <w:rPr>
          <w:rFonts w:eastAsia="Noto Sans" w:cs="Noto Sans" w:ascii="Noto Sans" w:hAnsi="Noto Sans"/>
          <w:bCs/>
          <w:sz w:val="20"/>
          <w:szCs w:val="20"/>
        </w:rPr>
        <w:t xml:space="preserve"> de </w:t>
      </w:r>
      <w:r>
        <w:rPr>
          <w:rFonts w:eastAsia="Noto Sans" w:cs="Noto Sans" w:ascii="Noto Sans" w:hAnsi="Noto Sans"/>
          <w:bCs/>
          <w:sz w:val="20"/>
          <w:szCs w:val="20"/>
        </w:rPr>
        <w:t>empleo</w:t>
      </w:r>
      <w:r>
        <w:rPr>
          <w:rFonts w:eastAsia="Noto Sans" w:cs="Noto Sans" w:ascii="Noto Sans" w:hAnsi="Noto Sans"/>
          <w:bCs/>
          <w:sz w:val="20"/>
          <w:szCs w:val="20"/>
        </w:rPr>
        <w:t xml:space="preserve"> en el plazo de siete días desde que se produzca, para promover su relevo en iguales condiciones, ofertando la cobertura del puesto de trabajo vacante a otras personas participantes en el </w:t>
      </w:r>
      <w:r>
        <w:rPr>
          <w:rFonts w:eastAsia="Noto Sans" w:cs="Noto Sans" w:ascii="Noto Sans" w:hAnsi="Noto Sans"/>
          <w:bCs/>
          <w:sz w:val="20"/>
          <w:szCs w:val="20"/>
        </w:rPr>
        <w:t>taller</w:t>
      </w:r>
      <w:r>
        <w:rPr>
          <w:rFonts w:eastAsia="Noto Sans" w:cs="Noto Sans" w:ascii="Noto Sans" w:hAnsi="Noto Sans"/>
          <w:bCs/>
          <w:sz w:val="20"/>
          <w:szCs w:val="20"/>
        </w:rPr>
        <w:t>, que no fueran contratadas previamente.</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3.</w:t>
        <w:tab/>
        <w:t>Como consecuencia de la contratación por la que se solicita la subvención, tiene que incrementarse el empleo neto de la entidad solicitante en el ámbito territorial de Galicia respeto al mes anterior al mes de realización de la contratación por la que se solicita la subvención. Para el cálculo del incremento del personal no se computarán las personas trabajadoras cuyo contrato de trabajo se extinga por causas objetivas o por despido disciplinario que no sean declarados improcedentes, o cuyas bajas se produjeron por dimisión de la persona trabajadora o por muerte, jubilación, incapacidad permanente total o absoluta o gran invalidez legalmente reconocidas, o por finalización del contrato.</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4.</w:t>
        <w:tab/>
        <w:t>Las contrataciones por las que se solicita subvención deberán formalizarse y comunicarse a la oficina pública de empleo en la forma reglamentariamente establecida.</w:t>
      </w:r>
    </w:p>
    <w:p>
      <w:pPr>
        <w:pStyle w:val="Normal"/>
        <w:spacing w:lineRule="auto" w:line="360" w:before="240" w:after="120"/>
        <w:ind w:hanging="284" w:left="426"/>
        <w:jc w:val="both"/>
        <w:rPr>
          <w:rFonts w:ascii="Noto Sans" w:hAnsi="Noto Sans" w:eastAsia="Noto Sans" w:cs="Noto Sans"/>
          <w:bCs/>
          <w:sz w:val="20"/>
          <w:szCs w:val="20"/>
        </w:rPr>
      </w:pPr>
      <w:r>
        <w:rPr>
          <w:rFonts w:eastAsia="Noto Sans" w:cs="Noto Sans" w:ascii="Noto Sans" w:hAnsi="Noto Sans"/>
          <w:bCs/>
          <w:sz w:val="20"/>
          <w:szCs w:val="20"/>
        </w:rPr>
        <w:t>5.</w:t>
        <w:tab/>
        <w:t>Una vez finalizado el período de cumplimiento de esta obligación, corresponderá a la entidad promotora del Obradoiro dual de emprego llevar a cabo la función de control de las subvenciones concedidas, así como la evaluación y seguimiento de este programa.</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11. Incompatibilidades y concurrencia</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1.</w:t>
        <w:tab/>
        <w:t>Las ayudas previstas en este programa para las contrataciones por cuenta ajena son incompatibles con otras que, por los mismos conceptos, puedan otorgar las administraciones públicas como medida de fomento de empleo. Con todo, serán compatibles, de ser el caso, con las bonificaciones o reducciones de cotizaciones a la Seguridad Social.</w:t>
      </w:r>
    </w:p>
    <w:p>
      <w:pPr>
        <w:pStyle w:val="Normal"/>
        <w:spacing w:lineRule="auto" w:line="360"/>
        <w:ind w:hanging="284" w:left="426"/>
        <w:jc w:val="both"/>
        <w:rPr>
          <w:rFonts w:ascii="Noto Sans" w:hAnsi="Noto Sans" w:eastAsia="Noto Sans" w:cs="Noto Sans"/>
          <w:bCs/>
          <w:sz w:val="20"/>
          <w:szCs w:val="20"/>
        </w:rPr>
      </w:pPr>
      <w:r>
        <w:rPr>
          <w:rFonts w:eastAsia="Noto Sans" w:cs="Noto Sans" w:ascii="Noto Sans" w:hAnsi="Noto Sans"/>
          <w:bCs/>
          <w:sz w:val="20"/>
          <w:szCs w:val="20"/>
        </w:rPr>
        <w:t>2.</w:t>
        <w:tab/>
        <w:t>Los incentivos establecidos en este programa serán compatibles con cualquiera otra ayuda para distinta finalidad de la Unión Europea, de otras administraciones públicas o entes públicos o personales, pero, sin que, en ningún caso, aisladamente o en concurrencia con otras puedan superar los límites establecidos por la Unión Europea y los que establece el Artículo 17.3 de la Ley 9/2007, del 13 de junio, de subvenciones de Galicia.</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12. Perdida del derecho al cobro de la subvención y reintegro</w:t>
      </w:r>
    </w:p>
    <w:p>
      <w:pPr>
        <w:pStyle w:val="Normal"/>
        <w:numPr>
          <w:ilvl w:val="0"/>
          <w:numId w:val="1"/>
        </w:numPr>
        <w:pBdr/>
        <w:tabs>
          <w:tab w:val="clear" w:pos="720"/>
          <w:tab w:val="left" w:pos="284" w:leader="none"/>
        </w:tabs>
        <w:spacing w:lineRule="auto" w:line="360"/>
        <w:ind w:hanging="283" w:left="425"/>
        <w:jc w:val="both"/>
        <w:rPr>
          <w:rFonts w:ascii="Noto Sans" w:hAnsi="Noto Sans" w:eastAsia="Noto Sans" w:cs="Noto Sans"/>
          <w:color w:val="000000"/>
          <w:sz w:val="20"/>
          <w:szCs w:val="20"/>
        </w:rPr>
      </w:pPr>
      <w:r>
        <w:rPr>
          <w:rFonts w:eastAsia="Noto Sans" w:cs="Noto Sans" w:ascii="Noto Sans" w:hAnsi="Noto Sans"/>
          <w:color w:val="000000"/>
          <w:sz w:val="20"/>
          <w:szCs w:val="20"/>
        </w:rPr>
        <w:t>Procederá la pérdida del derecho al cobro de la subvención, así como el reintegro total o parcial de las cantidades percibidas y la exigencia de los intereses de mora corresponsales desde el momento del pago de la subvención hasta la fecha en que se acuerde el origen del reintegro, en los casos previstos en el Artículo 33 de la Ley 9/2007, del 13 de junio, de subvenciones de Galicia.</w:t>
      </w:r>
    </w:p>
    <w:p>
      <w:pPr>
        <w:pStyle w:val="Normal"/>
        <w:numPr>
          <w:ilvl w:val="0"/>
          <w:numId w:val="1"/>
        </w:numPr>
        <w:pBdr/>
        <w:tabs>
          <w:tab w:val="clear" w:pos="720"/>
          <w:tab w:val="left" w:pos="284" w:leader="none"/>
        </w:tabs>
        <w:spacing w:lineRule="auto" w:line="360"/>
        <w:ind w:hanging="283" w:left="425"/>
        <w:jc w:val="both"/>
        <w:rPr>
          <w:rFonts w:ascii="Noto Sans" w:hAnsi="Noto Sans" w:eastAsia="Noto Sans" w:cs="Noto Sans"/>
          <w:color w:val="000000"/>
          <w:sz w:val="20"/>
          <w:szCs w:val="20"/>
        </w:rPr>
      </w:pPr>
      <w:r>
        <w:rPr>
          <w:rFonts w:eastAsia="Noto Sans" w:cs="Noto Sans" w:ascii="Noto Sans" w:hAnsi="Noto Sans"/>
          <w:color w:val="000000"/>
          <w:sz w:val="20"/>
          <w:szCs w:val="20"/>
        </w:rPr>
        <w:t>Las obligaciones de reintegro establecidas en esta orden se entenderán sin perjuicio del establecido en el Real decreto legislativo 5/2000, del 4 de agosto, que aprueba el texto refundido de la Ley sobre infracciones y sanciones en la orden social.</w:t>
      </w:r>
    </w:p>
    <w:p>
      <w:pPr>
        <w:pStyle w:val="Normal"/>
        <w:numPr>
          <w:ilvl w:val="0"/>
          <w:numId w:val="1"/>
        </w:numPr>
        <w:pBdr/>
        <w:tabs>
          <w:tab w:val="clear" w:pos="720"/>
          <w:tab w:val="left" w:pos="284" w:leader="none"/>
        </w:tabs>
        <w:spacing w:lineRule="auto" w:line="360"/>
        <w:ind w:hanging="283" w:left="425"/>
        <w:jc w:val="both"/>
        <w:rPr>
          <w:rFonts w:ascii="Noto Sans" w:hAnsi="Noto Sans" w:eastAsia="Noto Sans" w:cs="Noto Sans"/>
          <w:color w:val="000000"/>
          <w:sz w:val="20"/>
          <w:szCs w:val="20"/>
        </w:rPr>
      </w:pPr>
      <w:r>
        <w:rPr>
          <w:rFonts w:eastAsia="Noto Sans" w:cs="Noto Sans" w:ascii="Noto Sans" w:hAnsi="Noto Sans"/>
          <w:color w:val="000000"/>
          <w:sz w:val="20"/>
          <w:szCs w:val="20"/>
        </w:rPr>
        <w:t>Se entenderá que se produce un incumplimiento parcial y, por tanto, procederá el reintegro parcial de los incentivos cuando la persona trabajadora subvencionada cese en su relación laboral antes de que transcurra el período mínimo de subvención y la empresa no proceda a sustituirlo.</w:t>
      </w:r>
    </w:p>
    <w:p>
      <w:pPr>
        <w:pStyle w:val="Normal"/>
        <w:spacing w:lineRule="auto" w:line="360" w:before="240" w:after="120"/>
        <w:rPr>
          <w:rFonts w:ascii="Noto Sans" w:hAnsi="Noto Sans" w:eastAsia="Noto Sans" w:cs="Noto Sans"/>
          <w:b/>
          <w:sz w:val="20"/>
          <w:szCs w:val="20"/>
        </w:rPr>
      </w:pPr>
      <w:r>
        <w:rPr>
          <w:rFonts w:eastAsia="Noto Sans" w:cs="Noto Sans" w:ascii="Noto Sans" w:hAnsi="Noto Sans"/>
          <w:b/>
          <w:sz w:val="20"/>
          <w:szCs w:val="20"/>
        </w:rPr>
        <w:t>Artículo 13. Devolución voluntaria de la subvención</w:t>
      </w:r>
    </w:p>
    <w:p>
      <w:pPr>
        <w:pStyle w:val="Normal"/>
        <w:numPr>
          <w:ilvl w:val="0"/>
          <w:numId w:val="9"/>
        </w:numPr>
        <w:pBdr/>
        <w:tabs>
          <w:tab w:val="clear" w:pos="720"/>
          <w:tab w:val="left" w:pos="284" w:leader="none"/>
        </w:tabs>
        <w:spacing w:lineRule="auto" w:line="360"/>
        <w:ind w:hanging="284" w:left="426"/>
        <w:jc w:val="both"/>
        <w:rPr>
          <w:rFonts w:ascii="Noto Sans" w:hAnsi="Noto Sans" w:eastAsia="Noto Sans" w:cs="Noto Sans"/>
          <w:color w:val="000000"/>
          <w:sz w:val="20"/>
          <w:szCs w:val="20"/>
        </w:rPr>
      </w:pPr>
      <w:r>
        <w:rPr>
          <w:rFonts w:eastAsia="Noto Sans" w:cs="Noto Sans" w:ascii="Noto Sans" w:hAnsi="Noto Sans"/>
          <w:color w:val="000000"/>
          <w:sz w:val="20"/>
          <w:szCs w:val="20"/>
        </w:rPr>
        <w:t>De acuerdo con el establecido en el Artículo 64 del Reglamento de la Ley 9/2007, del 13 de junio, de subvenciones de Galicia, aprobado por el Decreto 11/2009, del 8 de enero, las entidades beneficiarias podrán realizar, sin el requerimiento previo de la Administración, la devolución total o parcial de la subvención concedida, mediante su ingreso en la cuenta de la entidad promotora del taller dual de empleo, en concepto de devolución voluntaria de la subvención.</w:t>
      </w:r>
    </w:p>
    <w:p>
      <w:pPr>
        <w:pStyle w:val="Normal"/>
        <w:numPr>
          <w:ilvl w:val="0"/>
          <w:numId w:val="9"/>
        </w:numPr>
        <w:pBdr/>
        <w:tabs>
          <w:tab w:val="clear" w:pos="720"/>
          <w:tab w:val="left" w:pos="284" w:leader="none"/>
        </w:tabs>
        <w:spacing w:lineRule="auto" w:line="360"/>
        <w:ind w:hanging="283" w:left="425"/>
        <w:jc w:val="both"/>
        <w:rPr>
          <w:rFonts w:ascii="Noto Sans" w:hAnsi="Noto Sans" w:eastAsia="Noto Sans" w:cs="Noto Sans"/>
          <w:color w:val="000000"/>
          <w:sz w:val="20"/>
          <w:szCs w:val="20"/>
        </w:rPr>
      </w:pPr>
      <w:r>
        <w:rPr>
          <w:rFonts w:eastAsia="Noto Sans" w:cs="Noto Sans" w:ascii="Noto Sans" w:hAnsi="Noto Sans"/>
          <w:color w:val="000000"/>
          <w:sz w:val="20"/>
          <w:szCs w:val="20"/>
        </w:rPr>
        <w:t>En todo caso, la entidad beneficiaria deberá presentar ante el órgano concedente copia justificativa de la devolución voluntaria realizada, en que conste la fecha del ingreso, su importe, el número del expediente y denominación de la subvención concedida.</w:t>
      </w:r>
    </w:p>
    <w:p>
      <w:pPr>
        <w:pStyle w:val="Normal"/>
        <w:pBdr/>
        <w:tabs>
          <w:tab w:val="clear" w:pos="720"/>
          <w:tab w:val="left" w:pos="284" w:leader="none"/>
        </w:tabs>
        <w:spacing w:lineRule="auto" w:line="360" w:before="0" w:after="120"/>
        <w:jc w:val="both"/>
        <w:rPr>
          <w:rFonts w:ascii="Noto Sans" w:hAnsi="Noto Sans" w:eastAsia="Noto Sans" w:cs="Noto Sans"/>
          <w:b/>
          <w:bCs/>
          <w:color w:val="000000"/>
          <w:sz w:val="20"/>
          <w:szCs w:val="20"/>
        </w:rPr>
      </w:pPr>
      <w:r>
        <w:rPr>
          <w:rFonts w:eastAsia="Noto Sans" w:cs="Noto Sans" w:ascii="Noto Sans" w:hAnsi="Noto Sans"/>
          <w:b/>
          <w:bCs/>
          <w:color w:val="000000"/>
          <w:sz w:val="20"/>
          <w:szCs w:val="20"/>
        </w:rPr>
      </w:r>
    </w:p>
    <w:p>
      <w:pPr>
        <w:pStyle w:val="Normal"/>
        <w:pBdr/>
        <w:tabs>
          <w:tab w:val="clear" w:pos="720"/>
          <w:tab w:val="left" w:pos="284" w:leader="none"/>
        </w:tabs>
        <w:spacing w:lineRule="auto" w:line="360" w:before="0" w:after="120"/>
        <w:jc w:val="both"/>
        <w:rPr>
          <w:rFonts w:ascii="Noto Sans" w:hAnsi="Noto Sans" w:eastAsia="Noto Sans" w:cs="Noto Sans"/>
          <w:b/>
          <w:bCs/>
          <w:color w:val="000000"/>
          <w:sz w:val="20"/>
          <w:szCs w:val="20"/>
        </w:rPr>
      </w:pPr>
      <w:r>
        <w:rPr>
          <w:rFonts w:eastAsia="Noto Sans" w:cs="Noto Sans" w:ascii="Noto Sans" w:hAnsi="Noto Sans"/>
          <w:b/>
          <w:bCs/>
          <w:color w:val="000000"/>
          <w:sz w:val="20"/>
          <w:szCs w:val="20"/>
        </w:rPr>
        <w:t>Artículo 14. Régimen jurídico</w:t>
      </w:r>
    </w:p>
    <w:p>
      <w:pPr>
        <w:pStyle w:val="Normal"/>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t>La normativa que regula la concesión de estas ayudas, en el no establecido en estas bases y en la Orden de 21 de abril  de 2024, de la Consellería de Promoción del Empleo e Igualdad, será la prevista en la Ley 39/2015, de 1 de octubre , de procedimiento administrativo común de las Administraciones Públicas; en la Ley 38/2003, de 17 de noviembre , general de subvenciones, y en el Real Decreto 887/2006, de 21 de julio, por lo que se aprueba el Reglamento de subvenciones; en la Ley 9/2007, de 13 de junio, de subvenciones de Galicia.</w:t>
      </w:r>
    </w:p>
    <w:p>
      <w:pPr>
        <w:pStyle w:val="Normal"/>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r>
    </w:p>
    <w:p>
      <w:pPr>
        <w:pStyle w:val="Normal"/>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t xml:space="preserve">Rianxo, </w:t>
      </w:r>
      <w:r>
        <w:rPr>
          <w:rFonts w:eastAsia="Noto Sans" w:cs="Noto Sans" w:ascii="Noto Sans" w:hAnsi="Noto Sans"/>
          <w:color w:val="000000"/>
          <w:sz w:val="20"/>
          <w:szCs w:val="20"/>
        </w:rPr>
        <w:t>firmado digitalmente</w:t>
      </w:r>
    </w:p>
    <w:p>
      <w:pPr>
        <w:pStyle w:val="Normal"/>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t>El</w:t>
      </w:r>
      <w:r>
        <w:rPr>
          <w:rFonts w:eastAsia="Noto Sans" w:cs="Noto Sans" w:ascii="Noto Sans" w:hAnsi="Noto Sans"/>
          <w:color w:val="000000"/>
          <w:sz w:val="20"/>
          <w:szCs w:val="20"/>
        </w:rPr>
        <w:t xml:space="preserve"> alcalde, Julián Bustelo Abuín.</w:t>
      </w:r>
    </w:p>
    <w:p>
      <w:pPr>
        <w:pStyle w:val="Normal"/>
        <w:pBdr/>
        <w:tabs>
          <w:tab w:val="clear" w:pos="720"/>
          <w:tab w:val="left" w:pos="284" w:leader="none"/>
        </w:tabs>
        <w:spacing w:lineRule="auto" w:line="360" w:before="0" w:after="120"/>
        <w:jc w:val="both"/>
        <w:rPr>
          <w:rFonts w:ascii="Noto Sans" w:hAnsi="Noto Sans" w:eastAsia="Noto Sans" w:cs="Noto Sans"/>
          <w:color w:val="000000"/>
          <w:sz w:val="20"/>
          <w:szCs w:val="20"/>
        </w:rPr>
      </w:pPr>
      <w:r>
        <w:rPr>
          <w:rFonts w:eastAsia="Noto Sans" w:cs="Noto Sans" w:ascii="Noto Sans" w:hAnsi="Noto Sans"/>
          <w:color w:val="000000"/>
          <w:sz w:val="20"/>
          <w:szCs w:val="20"/>
        </w:rPr>
      </w:r>
    </w:p>
    <w:sectPr>
      <w:headerReference w:type="default" r:id="rId2"/>
      <w:footerReference w:type="default" r:id="rId3"/>
      <w:type w:val="nextPage"/>
      <w:pgSz w:w="11906" w:h="16838"/>
      <w:pgMar w:left="1134" w:right="1134" w:gutter="0" w:header="720" w:top="1134" w:footer="72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font>
  <w:font w:name="Arial">
    <w:charset w:val="00"/>
    <w:family w:val="swiss"/>
    <w:pitch w:val="variable"/>
    <w:embedRegular r:id="rId5" w:fontKey="{05014A78-CABC-4EF0-12AC-5CD89AEFDE05}"/>
    <w:embedBold r:id="rId6" w:fontKey="{06014A78-CABC-4EF0-12AC-5CD89AEFDE06}"/>
    <w:embedItalic r:id="rId7" w:fontKey="{07014A78-CABC-4EF0-12AC-5CD89AEFDE07}"/>
    <w:embedBoldItalic r:id="rId8" w:fontKey="{08014A78-CABC-4EF0-12AC-5CD89AEFDE08}"/>
  </w:font>
  <w:font w:name="Liberation Serif">
    <w:altName w:val="Times New Roman"/>
    <w:charset w:val="01"/>
    <w:family w:val="roman"/>
    <w:pitch w:val="variable"/>
    <w:embedRegular r:id="rId9" w:fontKey="{09014A78-CABC-4EF0-12AC-5CD89AEFDE09}"/>
    <w:embedBold r:id="rId10" w:fontKey="{0A014A78-CABC-4EF0-12AC-5CD89AEFDE0A}"/>
    <w:embedItalic r:id="rId11" w:fontKey="{0B014A78-CABC-4EF0-12AC-5CD89AEFDE0B}"/>
    <w:embedBoldItalic r:id="rId12" w:fontKey="{0C014A78-CABC-4EF0-12AC-5CD89AEFDE0C}"/>
  </w:font>
  <w:font w:name="Times New Roman">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Liberation Sans">
    <w:altName w:val="Arial"/>
    <w:charset w:val="01"/>
    <w:family w:val="swiss"/>
    <w:pitch w:val="variable"/>
    <w:embedRegular r:id="rId13" w:fontKey="{0D014A78-CABC-4EF0-12AC-5CD89AEFDE0D}"/>
    <w:embedBold r:id="rId14" w:fontKey="{0E014A78-CABC-4EF0-12AC-5CD89AEFDE0E}"/>
    <w:embedItalic r:id="rId15" w:fontKey="{0F014A78-CABC-4EF0-12AC-5CD89AEFDE0F}"/>
    <w:embedBoldItalic r:id="rId16" w:fontKey="{10014A78-CABC-4EF0-12AC-5CD89AEFDE10}"/>
  </w:font>
  <w:font w:name="Georgia">
    <w:charset w:val="01"/>
    <w:family w:val="roman"/>
    <w:pitch w:val="variable"/>
    <w:embedRegular r:id="rId17" w:fontKey="{11014A78-CABC-4EF0-12AC-5CD89AEFDE11}"/>
    <w:embedBold r:id="rId18" w:fontKey="{12014A78-CABC-4EF0-12AC-5CD89AEFDE12}"/>
    <w:embedItalic r:id="rId19" w:fontKey="{13014A78-CABC-4EF0-12AC-5CD89AEFDE13}"/>
    <w:embedBoldItalic r:id="rId20" w:fontKey="{14014A78-CABC-4EF0-12AC-5CD89AEFDE14}"/>
  </w:font>
  <w:font w:name="Noto Sans">
    <w:charset w:val="01"/>
    <w:family w:val="roman"/>
    <w:pitch w:val="variable"/>
    <w:embedRegular r:id="rId21" w:fontKey="{15014A78-CABC-4EF0-12AC-5CD89AEFDE15}"/>
    <w:embedBold r:id="rId22" w:fontKey="{16014A78-CABC-4EF0-12AC-5CD89AEFDE16}"/>
    <w:embedItalic r:id="rId23" w:fontKey="{17014A78-CABC-4EF0-12AC-5CD89AEFDE17}"/>
    <w:embedBoldItalic r:id="rId24" w:fontKey="{18014A78-CABC-4EF0-12AC-5CD89AEFDE18}"/>
  </w:font>
  <w:font w:name="Symbol">
    <w:charset w:val="02"/>
    <w:family w:val="auto"/>
    <w:pitch w:val="default"/>
  </w:font>
  <w:font w:name="Courier New">
    <w:charset w:val="01"/>
    <w:family w:val="modern"/>
    <w:pitch w:val="fixed"/>
    <w:embedRegular r:id="rId25" w:fontKey="{19014A78-CABC-4EF0-12AC-5CD89AEFDE19}"/>
    <w:embedBold r:id="rId26" w:fontKey="{1A014A78-CABC-4EF0-12AC-5CD89AEFDE1A}"/>
    <w:embedItalic r:id="rId27" w:fontKey="{1B014A78-CABC-4EF0-12AC-5CD89AEFDE1B}"/>
    <w:embedBoldItalic r:id="rId28" w:fontKey="{1C014A78-CABC-4EF0-12AC-5CD89AEFDE1C}"/>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jc w:val="right"/>
      <w:rPr>
        <w:rFonts w:ascii="Noto Sans" w:hAnsi="Noto Sans" w:eastAsia="Noto Sans" w:cs="Noto Sans"/>
        <w:color w:val="000000"/>
        <w:sz w:val="16"/>
        <w:szCs w:val="16"/>
      </w:rPr>
    </w:pPr>
    <w:r>
      <w:rPr>
        <w:rFonts w:eastAsia="Noto Sans" w:cs="Noto Sans" w:ascii="Noto Sans" w:hAnsi="Noto Sans"/>
        <w:color w:val="000000"/>
        <w:sz w:val="16"/>
        <w:szCs w:val="16"/>
      </w:rPr>
      <w:fldChar w:fldCharType="begin"/>
    </w:r>
    <w:r>
      <w:rPr>
        <w:sz w:val="16"/>
        <w:szCs w:val="16"/>
        <w:rFonts w:eastAsia="Noto Sans" w:cs="Noto Sans" w:ascii="Noto Sans" w:hAnsi="Noto Sans"/>
        <w:color w:val="000000"/>
      </w:rPr>
      <w:instrText xml:space="preserve"> PAGE </w:instrText>
    </w:r>
    <w:r>
      <w:rPr>
        <w:sz w:val="16"/>
        <w:szCs w:val="16"/>
        <w:rFonts w:eastAsia="Noto Sans" w:cs="Noto Sans" w:ascii="Noto Sans" w:hAnsi="Noto Sans"/>
        <w:color w:val="000000"/>
      </w:rPr>
      <w:fldChar w:fldCharType="separate"/>
    </w:r>
    <w:r>
      <w:rPr>
        <w:sz w:val="16"/>
        <w:szCs w:val="16"/>
        <w:rFonts w:eastAsia="Noto Sans" w:cs="Noto Sans" w:ascii="Noto Sans" w:hAnsi="Noto Sans"/>
        <w:color w:val="000000"/>
      </w:rPr>
      <w:t>10</w:t>
    </w:r>
    <w:r>
      <w:rPr>
        <w:sz w:val="16"/>
        <w:szCs w:val="16"/>
        <w:rFonts w:eastAsia="Noto Sans" w:cs="Noto Sans" w:ascii="Noto Sans" w:hAnsi="Noto Sans"/>
        <w:color w:val="000000"/>
      </w:rPr>
      <w:fldChar w:fldCharType="end"/>
    </w:r>
    <w:r>
      <w:rPr>
        <w:rFonts w:eastAsia="Noto Sans" w:cs="Noto Sans" w:ascii="Noto Sans" w:hAnsi="Noto Sans"/>
        <w:color w:val="000000"/>
        <w:sz w:val="16"/>
        <w:szCs w:val="16"/>
      </w:rPr>
      <w:t>/5</w:t>
    </w:r>
  </w:p>
  <w:p>
    <w:pPr>
      <w:pStyle w:val="Normal"/>
      <w:pBdr/>
      <w:tabs>
        <w:tab w:val="clear" w:pos="720"/>
        <w:tab w:val="center" w:pos="4252" w:leader="none"/>
        <w:tab w:val="right" w:pos="8504" w:leader="none"/>
      </w:tabs>
      <w:rPr>
        <w:rFonts w:eastAsia="Times New Roman" w:cs="Times New Roman"/>
        <w:color w:val="000000"/>
      </w:rPr>
    </w:pPr>
    <w:r>
      <w:rPr>
        <w:rFonts w:eastAsia="Times New Roman" w:cs="Times New Roman"/>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pBdr/>
      <w:ind w:firstLine="707" w:left="7080"/>
      <w:jc w:val="right"/>
      <w:rPr>
        <w:rFonts w:eastAsia="Times New Roman" w:cs="Times New Roman"/>
        <w:color w:val="000000"/>
      </w:rPr>
    </w:pPr>
    <w:r>
      <w:rPr>
        <w:rFonts w:eastAsia="Noto Sans" w:cs="Noto Sans" w:ascii="Noto Sans" w:hAnsi="Noto Sans"/>
        <w:color w:val="000000"/>
        <w:sz w:val="16"/>
        <w:szCs w:val="16"/>
      </w:rPr>
      <w:drawing>
        <wp:anchor behindDoc="1" distT="0" distB="0" distL="0" distR="0" simplePos="0" locked="0" layoutInCell="1" allowOverlap="1" relativeHeight="11">
          <wp:simplePos x="0" y="0"/>
          <wp:positionH relativeFrom="column">
            <wp:posOffset>0</wp:posOffset>
          </wp:positionH>
          <wp:positionV relativeFrom="paragraph">
            <wp:posOffset>635</wp:posOffset>
          </wp:positionV>
          <wp:extent cx="1600200" cy="41910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1600200" cy="419100"/>
                  </a:xfrm>
                  <a:prstGeom prst="rect">
                    <a:avLst/>
                  </a:prstGeom>
                </pic:spPr>
              </pic:pic>
            </a:graphicData>
          </a:graphic>
        </wp:anchor>
      </w:drawing>
    </w:r>
    <w:r>
      <w:rPr>
        <w:rFonts w:eastAsia="Noto Sans" w:cs="Noto Sans" w:ascii="Noto Sans" w:hAnsi="Noto Sans"/>
        <w:color w:val="000000"/>
        <w:sz w:val="16"/>
        <w:szCs w:val="16"/>
      </w:rPr>
      <w:t>Concello de Rianxo</w:t>
    </w:r>
  </w:p>
  <w:p>
    <w:pPr>
      <w:pStyle w:val="Normal"/>
      <w:widowControl/>
      <w:pBdr/>
      <w:jc w:val="right"/>
      <w:rPr>
        <w:rFonts w:eastAsia="Times New Roman" w:cs="Times New Roman"/>
        <w:color w:val="000000"/>
      </w:rPr>
    </w:pPr>
    <w:r>
      <w:rPr>
        <w:rFonts w:eastAsia="Noto Sans" w:cs="Noto Sans" w:ascii="Noto Sans" w:hAnsi="Noto Sans"/>
        <w:color w:val="000000"/>
        <w:sz w:val="16"/>
        <w:szCs w:val="16"/>
      </w:rPr>
      <w:t>Praza Castelao 1, 15920 Rianxo</w:t>
    </w:r>
  </w:p>
  <w:p>
    <w:pPr>
      <w:pStyle w:val="Normal"/>
      <w:widowControl/>
      <w:pBdr/>
      <w:jc w:val="right"/>
      <w:rPr>
        <w:rFonts w:eastAsia="Times New Roman" w:cs="Times New Roman"/>
        <w:color w:val="000000"/>
      </w:rPr>
    </w:pPr>
    <w:r>
      <w:rPr>
        <w:rFonts w:eastAsia="Noto Sans" w:cs="Noto Sans" w:ascii="Noto Sans" w:hAnsi="Noto Sans"/>
        <w:color w:val="000000"/>
        <w:sz w:val="16"/>
        <w:szCs w:val="16"/>
      </w:rPr>
      <w:t>Tfno. 981 860 075 Fax 981 866 628</w:t>
    </w:r>
  </w:p>
  <w:p>
    <w:pPr>
      <w:pStyle w:val="Normal"/>
      <w:widowControl/>
      <w:pBdr/>
      <w:jc w:val="right"/>
      <w:rPr>
        <w:rFonts w:ascii="Noto Sans" w:hAnsi="Noto Sans" w:eastAsia="Noto Sans" w:cs="Noto Sans"/>
        <w:color w:val="000000"/>
        <w:sz w:val="16"/>
        <w:szCs w:val="16"/>
      </w:rPr>
    </w:pPr>
    <w:r>
      <w:rPr>
        <w:rFonts w:eastAsia="Noto Sans" w:cs="Noto Sans" w:ascii="Noto Sans" w:hAnsi="Noto Sans"/>
        <w:color w:val="000000"/>
        <w:sz w:val="16"/>
        <w:szCs w:val="16"/>
      </w:rPr>
      <w:t>rianxo.gal concelloderianxo.gal</w:t>
    </w:r>
  </w:p>
  <w:p>
    <w:pPr>
      <w:pStyle w:val="Normal"/>
      <w:widowControl/>
      <w:pBdr/>
      <w:jc w:val="right"/>
      <w:rPr>
        <w:rFonts w:eastAsia="Times New Roman" w:cs="Times New Roman"/>
        <w:color w:val="000000"/>
      </w:rPr>
    </w:pPr>
    <w:r>
      <w:rPr>
        <w:rFonts w:eastAsia="Times New Roman" w:cs="Times New Roman"/>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lvl w:ilvl="0">
      <w:start w:val="1"/>
      <w:numFmt w:val="decimal"/>
      <w:lvlText w:val="%1."/>
      <w:lvlJc w:val="left"/>
      <w:pPr>
        <w:tabs>
          <w:tab w:val="num" w:pos="0"/>
        </w:tabs>
        <w:ind w:left="502" w:hanging="360"/>
      </w:pPr>
      <w:rPr>
        <w:u w:val="none"/>
      </w:rPr>
    </w:lvl>
    <w:lvl w:ilvl="1">
      <w:start w:val="1"/>
      <w:numFmt w:val="lowerLetter"/>
      <w:lvlText w:val="%2."/>
      <w:lvlJc w:val="left"/>
      <w:pPr>
        <w:tabs>
          <w:tab w:val="num" w:pos="0"/>
        </w:tabs>
        <w:ind w:left="1222" w:hanging="360"/>
      </w:pPr>
      <w:rPr>
        <w:u w:val="none"/>
      </w:rPr>
    </w:lvl>
    <w:lvl w:ilvl="2">
      <w:start w:val="1"/>
      <w:numFmt w:val="lowerRoman"/>
      <w:lvlText w:val="%3."/>
      <w:lvlJc w:val="right"/>
      <w:pPr>
        <w:tabs>
          <w:tab w:val="num" w:pos="0"/>
        </w:tabs>
        <w:ind w:left="1942" w:hanging="360"/>
      </w:pPr>
      <w:rPr>
        <w:u w:val="none"/>
      </w:rPr>
    </w:lvl>
    <w:lvl w:ilvl="3">
      <w:start w:val="1"/>
      <w:numFmt w:val="decimal"/>
      <w:lvlText w:val="%4."/>
      <w:lvlJc w:val="left"/>
      <w:pPr>
        <w:tabs>
          <w:tab w:val="num" w:pos="0"/>
        </w:tabs>
        <w:ind w:left="2662" w:hanging="360"/>
      </w:pPr>
      <w:rPr>
        <w:u w:val="none"/>
      </w:rPr>
    </w:lvl>
    <w:lvl w:ilvl="4">
      <w:start w:val="1"/>
      <w:numFmt w:val="lowerLetter"/>
      <w:lvlText w:val="%5."/>
      <w:lvlJc w:val="left"/>
      <w:pPr>
        <w:tabs>
          <w:tab w:val="num" w:pos="0"/>
        </w:tabs>
        <w:ind w:left="3382" w:hanging="360"/>
      </w:pPr>
      <w:rPr>
        <w:u w:val="none"/>
      </w:rPr>
    </w:lvl>
    <w:lvl w:ilvl="5">
      <w:start w:val="1"/>
      <w:numFmt w:val="lowerRoman"/>
      <w:lvlText w:val="%6."/>
      <w:lvlJc w:val="right"/>
      <w:pPr>
        <w:tabs>
          <w:tab w:val="num" w:pos="0"/>
        </w:tabs>
        <w:ind w:left="4102" w:hanging="360"/>
      </w:pPr>
      <w:rPr>
        <w:u w:val="none"/>
      </w:rPr>
    </w:lvl>
    <w:lvl w:ilvl="6">
      <w:start w:val="1"/>
      <w:numFmt w:val="decimal"/>
      <w:lvlText w:val="%7."/>
      <w:lvlJc w:val="left"/>
      <w:pPr>
        <w:tabs>
          <w:tab w:val="num" w:pos="0"/>
        </w:tabs>
        <w:ind w:left="4822" w:hanging="360"/>
      </w:pPr>
      <w:rPr>
        <w:u w:val="none"/>
      </w:rPr>
    </w:lvl>
    <w:lvl w:ilvl="7">
      <w:start w:val="1"/>
      <w:numFmt w:val="lowerLetter"/>
      <w:lvlText w:val="%8."/>
      <w:lvlJc w:val="left"/>
      <w:pPr>
        <w:tabs>
          <w:tab w:val="num" w:pos="0"/>
        </w:tabs>
        <w:ind w:left="5542" w:hanging="360"/>
      </w:pPr>
      <w:rPr>
        <w:u w:val="none"/>
      </w:rPr>
    </w:lvl>
    <w:lvl w:ilvl="8">
      <w:start w:val="1"/>
      <w:numFmt w:val="lowerRoman"/>
      <w:lvlText w:val="%9."/>
      <w:lvlJc w:val="right"/>
      <w:pPr>
        <w:tabs>
          <w:tab w:val="num" w:pos="0"/>
        </w:tabs>
        <w:ind w:left="6262" w:hanging="360"/>
      </w:pPr>
      <w:rPr>
        <w:u w:val="none"/>
      </w:rPr>
    </w:lvl>
  </w:abstractNum>
  <w:abstractNum w:abstractNumId="4">
    <w:lvl w:ilvl="0">
      <w:start w:val="1"/>
      <w:numFmt w:val="decimal"/>
      <w:lvlText w:val="%1."/>
      <w:lvlJc w:val="left"/>
      <w:pPr>
        <w:tabs>
          <w:tab w:val="num" w:pos="0"/>
        </w:tabs>
        <w:ind w:left="2629"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2912"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687" w:hanging="360"/>
      </w:pPr>
      <w:rPr/>
    </w:lvl>
    <w:lvl w:ilvl="2">
      <w:start w:val="1"/>
      <w:numFmt w:val="lowerRoman"/>
      <w:lvlText w:val="%3."/>
      <w:lvlJc w:val="right"/>
      <w:pPr>
        <w:tabs>
          <w:tab w:val="num" w:pos="0"/>
        </w:tabs>
        <w:ind w:left="33" w:hanging="180"/>
      </w:pPr>
      <w:rPr/>
    </w:lvl>
    <w:lvl w:ilvl="3">
      <w:start w:val="1"/>
      <w:numFmt w:val="decimal"/>
      <w:lvlText w:val="%4."/>
      <w:lvlJc w:val="left"/>
      <w:pPr>
        <w:tabs>
          <w:tab w:val="num" w:pos="0"/>
        </w:tabs>
        <w:ind w:left="753" w:hanging="360"/>
      </w:pPr>
      <w:rPr/>
    </w:lvl>
    <w:lvl w:ilvl="4">
      <w:start w:val="1"/>
      <w:numFmt w:val="lowerLetter"/>
      <w:lvlText w:val="%5."/>
      <w:lvlJc w:val="left"/>
      <w:pPr>
        <w:tabs>
          <w:tab w:val="num" w:pos="0"/>
        </w:tabs>
        <w:ind w:left="1473" w:hanging="360"/>
      </w:pPr>
      <w:rPr/>
    </w:lvl>
    <w:lvl w:ilvl="5">
      <w:start w:val="1"/>
      <w:numFmt w:val="lowerRoman"/>
      <w:lvlText w:val="%6."/>
      <w:lvlJc w:val="right"/>
      <w:pPr>
        <w:tabs>
          <w:tab w:val="num" w:pos="0"/>
        </w:tabs>
        <w:ind w:left="2193" w:hanging="180"/>
      </w:pPr>
      <w:rPr/>
    </w:lvl>
    <w:lvl w:ilvl="6">
      <w:start w:val="1"/>
      <w:numFmt w:val="decimal"/>
      <w:lvlText w:val="%7."/>
      <w:lvlJc w:val="left"/>
      <w:pPr>
        <w:tabs>
          <w:tab w:val="num" w:pos="0"/>
        </w:tabs>
        <w:ind w:left="2913" w:hanging="360"/>
      </w:pPr>
      <w:rPr/>
    </w:lvl>
    <w:lvl w:ilvl="7">
      <w:start w:val="1"/>
      <w:numFmt w:val="lowerLetter"/>
      <w:lvlText w:val="%8."/>
      <w:lvlJc w:val="left"/>
      <w:pPr>
        <w:tabs>
          <w:tab w:val="num" w:pos="0"/>
        </w:tabs>
        <w:ind w:left="3633" w:hanging="360"/>
      </w:pPr>
      <w:rPr/>
    </w:lvl>
    <w:lvl w:ilvl="8">
      <w:start w:val="1"/>
      <w:numFmt w:val="lowerRoman"/>
      <w:lvlText w:val="%9."/>
      <w:lvlJc w:val="right"/>
      <w:pPr>
        <w:tabs>
          <w:tab w:val="num" w:pos="0"/>
        </w:tabs>
        <w:ind w:left="4353" w:hanging="180"/>
      </w:pPr>
      <w:rPr/>
    </w:lvl>
  </w:abstractNum>
  <w:abstractNum w:abstractNumId="7">
    <w:lvl w:ilvl="0">
      <w:start w:val="1"/>
      <w:numFmt w:val="lowerLetter"/>
      <w:lvlText w:val="%1)"/>
      <w:lvlJc w:val="left"/>
      <w:pPr>
        <w:tabs>
          <w:tab w:val="num" w:pos="0"/>
        </w:tabs>
        <w:ind w:left="786" w:hanging="360"/>
      </w:pPr>
      <w:rPr/>
    </w:lvl>
    <w:lvl w:ilvl="1">
      <w:start w:val="1"/>
      <w:numFmt w:val="lowerLetter"/>
      <w:lvlText w:val="%2."/>
      <w:lvlJc w:val="left"/>
      <w:pPr>
        <w:tabs>
          <w:tab w:val="num" w:pos="0"/>
        </w:tabs>
        <w:ind w:left="-686" w:hanging="360"/>
      </w:pPr>
      <w:rPr/>
    </w:lvl>
    <w:lvl w:ilvl="2">
      <w:start w:val="1"/>
      <w:numFmt w:val="lowerRoman"/>
      <w:lvlText w:val="%3."/>
      <w:lvlJc w:val="right"/>
      <w:pPr>
        <w:tabs>
          <w:tab w:val="num" w:pos="0"/>
        </w:tabs>
        <w:ind w:left="34" w:hanging="180"/>
      </w:pPr>
      <w:rPr/>
    </w:lvl>
    <w:lvl w:ilvl="3">
      <w:start w:val="1"/>
      <w:numFmt w:val="decimal"/>
      <w:lvlText w:val="%4."/>
      <w:lvlJc w:val="left"/>
      <w:pPr>
        <w:tabs>
          <w:tab w:val="num" w:pos="0"/>
        </w:tabs>
        <w:ind w:left="754" w:hanging="360"/>
      </w:pPr>
      <w:rPr/>
    </w:lvl>
    <w:lvl w:ilvl="4">
      <w:start w:val="1"/>
      <w:numFmt w:val="lowerLetter"/>
      <w:lvlText w:val="%5."/>
      <w:lvlJc w:val="left"/>
      <w:pPr>
        <w:tabs>
          <w:tab w:val="num" w:pos="0"/>
        </w:tabs>
        <w:ind w:left="1474" w:hanging="360"/>
      </w:pPr>
      <w:rPr/>
    </w:lvl>
    <w:lvl w:ilvl="5">
      <w:start w:val="1"/>
      <w:numFmt w:val="lowerRoman"/>
      <w:lvlText w:val="%6."/>
      <w:lvlJc w:val="right"/>
      <w:pPr>
        <w:tabs>
          <w:tab w:val="num" w:pos="0"/>
        </w:tabs>
        <w:ind w:left="2194" w:hanging="180"/>
      </w:pPr>
      <w:rPr/>
    </w:lvl>
    <w:lvl w:ilvl="6">
      <w:start w:val="1"/>
      <w:numFmt w:val="decimal"/>
      <w:lvlText w:val="%7."/>
      <w:lvlJc w:val="left"/>
      <w:pPr>
        <w:tabs>
          <w:tab w:val="num" w:pos="0"/>
        </w:tabs>
        <w:ind w:left="2914" w:hanging="360"/>
      </w:pPr>
      <w:rPr/>
    </w:lvl>
    <w:lvl w:ilvl="7">
      <w:start w:val="1"/>
      <w:numFmt w:val="lowerLetter"/>
      <w:lvlText w:val="%8."/>
      <w:lvlJc w:val="left"/>
      <w:pPr>
        <w:tabs>
          <w:tab w:val="num" w:pos="0"/>
        </w:tabs>
        <w:ind w:left="3634" w:hanging="360"/>
      </w:pPr>
      <w:rPr/>
    </w:lvl>
    <w:lvl w:ilvl="8">
      <w:start w:val="1"/>
      <w:numFmt w:val="lowerRoman"/>
      <w:lvlText w:val="%9."/>
      <w:lvlJc w:val="right"/>
      <w:pPr>
        <w:tabs>
          <w:tab w:val="num" w:pos="0"/>
        </w:tabs>
        <w:ind w:left="4354" w:hanging="180"/>
      </w:pPr>
      <w:rPr/>
    </w:lvl>
  </w:abstractNum>
  <w:abstractNum w:abstractNumId="8">
    <w:lvl w:ilvl="0">
      <w:start w:val="1"/>
      <w:numFmt w:val="bullet"/>
      <w:lvlText w:val=""/>
      <w:lvlJc w:val="left"/>
      <w:pPr>
        <w:tabs>
          <w:tab w:val="num" w:pos="0"/>
        </w:tabs>
        <w:ind w:left="862" w:hanging="360"/>
      </w:pPr>
      <w:rPr>
        <w:rFonts w:ascii="Symbol" w:hAnsi="Symbol" w:cs="Symbol" w:hint="default"/>
      </w:rPr>
    </w:lvl>
    <w:lvl w:ilvl="1">
      <w:start w:val="1"/>
      <w:numFmt w:val="bullet"/>
      <w:lvlText w:val="o"/>
      <w:lvlJc w:val="left"/>
      <w:pPr>
        <w:tabs>
          <w:tab w:val="num" w:pos="0"/>
        </w:tabs>
        <w:ind w:left="1582" w:hanging="360"/>
      </w:pPr>
      <w:rPr>
        <w:rFonts w:ascii="Courier New" w:hAnsi="Courier New" w:cs="Courier New" w:hint="default"/>
      </w:rPr>
    </w:lvl>
    <w:lvl w:ilvl="2">
      <w:start w:val="1"/>
      <w:numFmt w:val="bullet"/>
      <w:lvlText w:val=""/>
      <w:lvlJc w:val="left"/>
      <w:pPr>
        <w:tabs>
          <w:tab w:val="num" w:pos="0"/>
        </w:tabs>
        <w:ind w:left="2302" w:hanging="360"/>
      </w:pPr>
      <w:rPr>
        <w:rFonts w:ascii="Wingdings" w:hAnsi="Wingdings" w:cs="Wingdings" w:hint="default"/>
      </w:rPr>
    </w:lvl>
    <w:lvl w:ilvl="3">
      <w:start w:val="1"/>
      <w:numFmt w:val="bullet"/>
      <w:lvlText w:val=""/>
      <w:lvlJc w:val="left"/>
      <w:pPr>
        <w:tabs>
          <w:tab w:val="num" w:pos="0"/>
        </w:tabs>
        <w:ind w:left="3022" w:hanging="360"/>
      </w:pPr>
      <w:rPr>
        <w:rFonts w:ascii="Symbol" w:hAnsi="Symbol" w:cs="Symbol" w:hint="default"/>
      </w:rPr>
    </w:lvl>
    <w:lvl w:ilvl="4">
      <w:start w:val="1"/>
      <w:numFmt w:val="bullet"/>
      <w:lvlText w:val="o"/>
      <w:lvlJc w:val="left"/>
      <w:pPr>
        <w:tabs>
          <w:tab w:val="num" w:pos="0"/>
        </w:tabs>
        <w:ind w:left="3742" w:hanging="360"/>
      </w:pPr>
      <w:rPr>
        <w:rFonts w:ascii="Courier New" w:hAnsi="Courier New" w:cs="Courier New" w:hint="default"/>
      </w:rPr>
    </w:lvl>
    <w:lvl w:ilvl="5">
      <w:start w:val="1"/>
      <w:numFmt w:val="bullet"/>
      <w:lvlText w:val=""/>
      <w:lvlJc w:val="left"/>
      <w:pPr>
        <w:tabs>
          <w:tab w:val="num" w:pos="0"/>
        </w:tabs>
        <w:ind w:left="4462" w:hanging="360"/>
      </w:pPr>
      <w:rPr>
        <w:rFonts w:ascii="Wingdings" w:hAnsi="Wingdings" w:cs="Wingdings" w:hint="default"/>
      </w:rPr>
    </w:lvl>
    <w:lvl w:ilvl="6">
      <w:start w:val="1"/>
      <w:numFmt w:val="bullet"/>
      <w:lvlText w:val=""/>
      <w:lvlJc w:val="left"/>
      <w:pPr>
        <w:tabs>
          <w:tab w:val="num" w:pos="0"/>
        </w:tabs>
        <w:ind w:left="5182" w:hanging="360"/>
      </w:pPr>
      <w:rPr>
        <w:rFonts w:ascii="Symbol" w:hAnsi="Symbol" w:cs="Symbol" w:hint="default"/>
      </w:rPr>
    </w:lvl>
    <w:lvl w:ilvl="7">
      <w:start w:val="1"/>
      <w:numFmt w:val="bullet"/>
      <w:lvlText w:val="o"/>
      <w:lvlJc w:val="left"/>
      <w:pPr>
        <w:tabs>
          <w:tab w:val="num" w:pos="0"/>
        </w:tabs>
        <w:ind w:left="5902" w:hanging="360"/>
      </w:pPr>
      <w:rPr>
        <w:rFonts w:ascii="Courier New" w:hAnsi="Courier New" w:cs="Courier New" w:hint="default"/>
      </w:rPr>
    </w:lvl>
    <w:lvl w:ilvl="8">
      <w:start w:val="1"/>
      <w:numFmt w:val="bullet"/>
      <w:lvlText w:val=""/>
      <w:lvlJc w:val="left"/>
      <w:pPr>
        <w:tabs>
          <w:tab w:val="num" w:pos="0"/>
        </w:tabs>
        <w:ind w:left="6622" w:hanging="360"/>
      </w:pPr>
      <w:rPr>
        <w:rFonts w:ascii="Wingdings" w:hAnsi="Wingdings" w:cs="Wingdings" w:hint="default"/>
      </w:rPr>
    </w:lvl>
  </w:abstractNum>
  <w:abstractNum w:abstractNumId="9">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89"/>
  <w:embedTrueType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gl-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6da2"/>
    <w:pPr>
      <w:widowControl w:val="false"/>
      <w:suppressAutoHyphens w:val="true"/>
      <w:bidi w:val="0"/>
      <w:spacing w:before="0" w:after="0"/>
      <w:jc w:val="left"/>
      <w:textAlignment w:val="baseline"/>
    </w:pPr>
    <w:rPr>
      <w:rFonts w:eastAsia="SimSun" w:cs="Mangal" w:ascii="Times New Roman" w:hAnsi="Times New Roman"/>
      <w:color w:val="auto"/>
      <w:kern w:val="2"/>
      <w:sz w:val="24"/>
      <w:szCs w:val="24"/>
      <w:lang w:val="es-ES" w:eastAsia="zh-CN" w:bidi="hi-IN"/>
    </w:rPr>
  </w:style>
  <w:style w:type="paragraph" w:styleId="Heading1">
    <w:name w:val="Heading 1"/>
    <w:basedOn w:val="Normal"/>
    <w:next w:val="Normal"/>
    <w:uiPriority w:val="9"/>
    <w:qFormat/>
    <w:pPr>
      <w:keepNext w:val="true"/>
      <w:keepLines/>
      <w:spacing w:before="480" w:after="120"/>
      <w:outlineLvl w:val="0"/>
    </w:pPr>
    <w:rPr>
      <w:b/>
      <w:sz w:val="48"/>
      <w:szCs w:val="48"/>
    </w:rPr>
  </w:style>
  <w:style w:type="paragraph" w:styleId="Heading2">
    <w:name w:val="Heading 2"/>
    <w:basedOn w:val="Normal"/>
    <w:next w:val="Normal"/>
    <w:uiPriority w:val="9"/>
    <w:semiHidden/>
    <w:unhideWhenUsed/>
    <w:qFormat/>
    <w:pPr>
      <w:keepNext w:val="true"/>
      <w:keepLines/>
      <w:spacing w:before="360" w:after="80"/>
      <w:outlineLvl w:val="1"/>
    </w:pPr>
    <w:rPr>
      <w:b/>
      <w:sz w:val="36"/>
      <w:szCs w:val="36"/>
    </w:rPr>
  </w:style>
  <w:style w:type="paragraph" w:styleId="Heading3">
    <w:name w:val="Heading 3"/>
    <w:basedOn w:val="Normal"/>
    <w:next w:val="Normal"/>
    <w:uiPriority w:val="9"/>
    <w:semiHidden/>
    <w:unhideWhenUsed/>
    <w:qFormat/>
    <w:pPr>
      <w:keepNext w:val="true"/>
      <w:keepLines/>
      <w:spacing w:before="280" w:after="80"/>
      <w:outlineLvl w:val="2"/>
    </w:pPr>
    <w:rPr>
      <w:b/>
      <w:sz w:val="28"/>
      <w:szCs w:val="28"/>
    </w:rPr>
  </w:style>
  <w:style w:type="paragraph" w:styleId="Heading4">
    <w:name w:val="Heading 4"/>
    <w:basedOn w:val="Normal"/>
    <w:next w:val="Normal"/>
    <w:uiPriority w:val="9"/>
    <w:semiHidden/>
    <w:unhideWhenUsed/>
    <w:qFormat/>
    <w:pPr>
      <w:keepNext w:val="true"/>
      <w:keepLines/>
      <w:spacing w:before="240" w:after="40"/>
      <w:outlineLvl w:val="3"/>
    </w:pPr>
    <w:rPr>
      <w:b/>
    </w:rPr>
  </w:style>
  <w:style w:type="paragraph" w:styleId="Heading5">
    <w:name w:val="Heading 5"/>
    <w:basedOn w:val="Normal"/>
    <w:next w:val="Normal"/>
    <w:uiPriority w:val="9"/>
    <w:semiHidden/>
    <w:unhideWhenUsed/>
    <w:qFormat/>
    <w:pPr>
      <w:keepNext w:val="true"/>
      <w:keepLines/>
      <w:spacing w:before="220" w:after="40"/>
      <w:outlineLvl w:val="4"/>
    </w:pPr>
    <w:rPr>
      <w:b/>
      <w:sz w:val="22"/>
      <w:szCs w:val="22"/>
    </w:rPr>
  </w:style>
  <w:style w:type="paragraph" w:styleId="Heading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266da2"/>
    <w:rPr>
      <w:rFonts w:ascii="Times New Roman" w:hAnsi="Times New Roman" w:eastAsia="SimSun" w:cs="Mangal"/>
      <w:kern w:val="2"/>
      <w:sz w:val="24"/>
      <w:szCs w:val="24"/>
      <w:lang w:val="gl-ES" w:eastAsia="zh-CN" w:bidi="hi-IN"/>
    </w:rPr>
  </w:style>
  <w:style w:type="character" w:styleId="PiedepginaCar" w:customStyle="1">
    <w:name w:val="Pie de página Car"/>
    <w:basedOn w:val="DefaultParagraphFont"/>
    <w:uiPriority w:val="99"/>
    <w:qFormat/>
    <w:rsid w:val="00266da2"/>
    <w:rPr>
      <w:rFonts w:ascii="Times New Roman" w:hAnsi="Times New Roman" w:eastAsia="SimSun" w:cs="Mangal"/>
      <w:kern w:val="2"/>
      <w:sz w:val="24"/>
      <w:szCs w:val="21"/>
      <w:lang w:val="gl-ES" w:eastAsia="zh-CN" w:bidi="hi-IN"/>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itle">
    <w:name w:val="Title"/>
    <w:basedOn w:val="Normal"/>
    <w:next w:val="Normal"/>
    <w:uiPriority w:val="10"/>
    <w:qFormat/>
    <w:pPr>
      <w:keepNext w:val="true"/>
      <w:keepLines/>
      <w:spacing w:before="480" w:after="120"/>
    </w:pPr>
    <w:rPr>
      <w:b/>
      <w:sz w:val="72"/>
      <w:szCs w:val="72"/>
    </w:rPr>
  </w:style>
  <w:style w:type="paragraph" w:styleId="Standard" w:customStyle="1">
    <w:name w:val="Standard"/>
    <w:qFormat/>
    <w:rsid w:val="00266da2"/>
    <w:pPr>
      <w:widowControl w:val="false"/>
      <w:suppressAutoHyphens w:val="true"/>
      <w:bidi w:val="0"/>
      <w:spacing w:before="0" w:after="0"/>
      <w:jc w:val="left"/>
      <w:textAlignment w:val="baseline"/>
    </w:pPr>
    <w:rPr>
      <w:rFonts w:eastAsia="SimSun" w:cs="Mangal" w:ascii="Times New Roman" w:hAnsi="Times New Roman"/>
      <w:color w:val="auto"/>
      <w:kern w:val="2"/>
      <w:sz w:val="24"/>
      <w:szCs w:val="24"/>
      <w:lang w:eastAsia="zh-CN" w:bidi="hi-IN" w:val="gl-ES"/>
    </w:rPr>
  </w:style>
  <w:style w:type="paragraph" w:styleId="Textbody" w:customStyle="1">
    <w:name w:val="Text body"/>
    <w:basedOn w:val="Standard"/>
    <w:qFormat/>
    <w:rsid w:val="00266da2"/>
    <w:pPr>
      <w:spacing w:before="0" w:after="120"/>
    </w:pPr>
    <w:rPr/>
  </w:style>
  <w:style w:type="paragraph" w:styleId="Cabeceiraerodap">
    <w:name w:val="Cabeceira e rodapé"/>
    <w:basedOn w:val="Normal"/>
    <w:qFormat/>
    <w:pPr/>
    <w:rPr/>
  </w:style>
  <w:style w:type="paragraph" w:styleId="Header">
    <w:name w:val="Header"/>
    <w:basedOn w:val="Standard"/>
    <w:link w:val="EncabezadoCar"/>
    <w:rsid w:val="00266da2"/>
    <w:pPr>
      <w:suppressLineNumbers/>
      <w:tabs>
        <w:tab w:val="clear" w:pos="720"/>
        <w:tab w:val="center" w:pos="4819" w:leader="none"/>
        <w:tab w:val="right" w:pos="9638" w:leader="none"/>
      </w:tabs>
    </w:pPr>
    <w:rPr/>
  </w:style>
  <w:style w:type="paragraph" w:styleId="Footer">
    <w:name w:val="Footer"/>
    <w:basedOn w:val="Normal"/>
    <w:link w:val="PiedepginaCar"/>
    <w:uiPriority w:val="99"/>
    <w:unhideWhenUsed/>
    <w:rsid w:val="00266da2"/>
    <w:pPr>
      <w:tabs>
        <w:tab w:val="clear" w:pos="720"/>
        <w:tab w:val="center" w:pos="4252" w:leader="none"/>
        <w:tab w:val="right" w:pos="8504" w:leader="none"/>
      </w:tabs>
    </w:pPr>
    <w:rPr>
      <w:szCs w:val="21"/>
    </w:rPr>
  </w:style>
  <w:style w:type="paragraph" w:styleId="NormalWeb">
    <w:name w:val="Normal (Web)"/>
    <w:basedOn w:val="Normal"/>
    <w:uiPriority w:val="99"/>
    <w:unhideWhenUsed/>
    <w:qFormat/>
    <w:rsid w:val="00575938"/>
    <w:pPr>
      <w:widowControl/>
      <w:suppressAutoHyphens w:val="false"/>
      <w:spacing w:lineRule="auto" w:line="276" w:beforeAutospacing="1" w:after="142"/>
      <w:textAlignment w:val="auto"/>
    </w:pPr>
    <w:rPr>
      <w:rFonts w:eastAsia="Times New Roman" w:cs="Times New Roman"/>
      <w:kern w:val="0"/>
      <w:lang w:eastAsia="es-ES" w:bidi="ar-SA"/>
    </w:rPr>
  </w:style>
  <w:style w:type="paragraph" w:styleId="ListParagraph">
    <w:name w:val="List Paragraph"/>
    <w:basedOn w:val="Normal"/>
    <w:uiPriority w:val="34"/>
    <w:qFormat/>
    <w:rsid w:val="00cb663a"/>
    <w:pPr>
      <w:spacing w:before="0" w:after="0"/>
      <w:ind w:left="720"/>
      <w:contextualSpacing/>
    </w:pPr>
    <w:rPr>
      <w:szCs w:val="21"/>
    </w:rPr>
  </w:style>
  <w:style w:type="paragraph" w:styleId="Subtitle">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styleId="Tablaconcuadrcula">
    <w:name w:val="Table Grid"/>
    <w:basedOn w:val="Tablanormal"/>
    <w:uiPriority w:val="39"/>
    <w:rsid w:val="009853a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roundtripDataSignature="AMtx7mj9O+cUuC0Yksv3cMfANqW4HmVOlw==">CgMxLjA4AHIhMVdIeWxmQUNLMkNqX1IyaFFVN25rc2lmM3VyQjZmNkJK</go:docsCustomData>
</go:gDocsCustomXmlDataStorage>
</file>

<file path=customXml/itemProps1.xml><?xml version="1.0" encoding="utf-8"?>
<ds:datastoreItem xmlns:ds="http://schemas.openxmlformats.org/officeDocument/2006/customXml" ds:itemID="{576A7846-35DE-4779-B7A9-8EB3EA9361A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Application>LibreOffice/7.6.7.2$Linux_X86_64 LibreOffice_project/60$Build-2</Application>
  <AppVersion>15.0000</AppVersion>
  <Pages>10</Pages>
  <Words>3689</Words>
  <Characters>19685</Characters>
  <CharactersWithSpaces>23241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2024-10-29T15:14:00Z</dcterms:created>
  <dc:creator>Pablo Paz León</dc:creator>
  <dc:description/>
  <dc:language>gl-ES</dc:language>
  <cp:lastModifiedBy/>
  <dcterms:modified xsi:type="dcterms:W3CDTF">2024-10-31T11:44:12Z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