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rPr>
          <w:b/>
          <w:lang w:eastAsia="zh-CN"/>
        </w:rPr>
      </w:pPr>
      <w:r>
        <w:rPr>
          <w:b/>
          <w:lang w:eastAsia="zh-CN"/>
        </w:rPr>
        <w:t xml:space="preserve">CONVENIO DE COLABORACIÓN ENTRE El AYUNTAMIENTO DE FENE Y AVV SANTA EULALIA DE LIMODRE PARA La ORGANIZACIÓN DE La FIESTA DE La OREJA </w:t>
      </w:r>
    </w:p>
    <w:p>
      <w:pPr>
        <w:pStyle w:val="Normal"/>
        <w:suppressAutoHyphens w:val="true"/>
        <w:rPr>
          <w:b/>
          <w:lang w:eastAsia="zh-CN"/>
        </w:rPr>
      </w:pPr>
      <w:r>
        <w:rPr>
          <w:b/>
          <w:lang w:eastAsia="zh-CN"/>
        </w:rPr>
      </w:r>
    </w:p>
    <w:p>
      <w:pPr>
        <w:pStyle w:val="Normal"/>
        <w:suppressAutoHyphens w:val="true"/>
        <w:rPr>
          <w:bCs/>
          <w:lang w:eastAsia="zh-CN"/>
        </w:rPr>
      </w:pPr>
      <w:r>
        <w:rPr>
          <w:bCs/>
          <w:lang w:eastAsia="zh-CN"/>
        </w:rPr>
        <w:t>Fene, 10 de octubre de 2024</w:t>
      </w:r>
    </w:p>
    <w:p>
      <w:pPr>
        <w:pStyle w:val="Normal"/>
        <w:suppressAutoHyphens w:val="true"/>
        <w:jc w:val="center"/>
        <w:rPr>
          <w:b/>
          <w:lang w:eastAsia="zh-CN"/>
        </w:rPr>
      </w:pPr>
      <w:r>
        <w:rPr>
          <w:b/>
          <w:lang w:eastAsia="zh-CN"/>
        </w:rPr>
        <w:t>REUNIDOS</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De una parte, D. Juventino José Trigo Rey, DNI núm. 76 404 053 P, alcalde del Ayuntamiento de Fene, en nombre y representación del ayuntamiento, en virtud de las facultades que le atribuye el artículo 21.1 b de la Ley 7/1985, de 2 de abril , reguladora de las bases de régimen local.</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De otra parte, D. Ignacio Martínez Martínez, DNI núm. 32 674 570 B, en nombre y representación de AVV Santa Eulalia de Limodre, con CIF G15357056.</w:t>
      </w:r>
    </w:p>
    <w:p>
      <w:pPr>
        <w:pStyle w:val="Normal"/>
        <w:suppressAutoHyphens w:val="true"/>
        <w:rPr>
          <w:bCs/>
          <w:lang w:eastAsia="zh-CN"/>
        </w:rPr>
      </w:pPr>
      <w:r>
        <w:rPr>
          <w:bCs/>
          <w:lang w:eastAsia="zh-CN"/>
        </w:rPr>
      </w:r>
    </w:p>
    <w:p>
      <w:pPr>
        <w:pStyle w:val="Normal"/>
        <w:suppressAutoHyphens w:val="true"/>
        <w:jc w:val="center"/>
        <w:rPr>
          <w:b/>
          <w:lang w:eastAsia="zh-CN"/>
        </w:rPr>
      </w:pPr>
      <w:r>
        <w:rPr>
          <w:b/>
          <w:lang w:eastAsia="zh-CN"/>
        </w:rPr>
        <w:t>MANIFIESTAN</w:t>
      </w:r>
    </w:p>
    <w:p>
      <w:pPr>
        <w:pStyle w:val="Normal"/>
        <w:suppressAutoHyphens w:val="true"/>
        <w:rPr>
          <w:bCs/>
          <w:lang w:eastAsia="zh-CN"/>
        </w:rPr>
      </w:pPr>
      <w:r>
        <w:rPr>
          <w:bCs/>
          <w:lang w:eastAsia="zh-CN"/>
        </w:rPr>
      </w:r>
    </w:p>
    <w:p>
      <w:pPr>
        <w:pStyle w:val="Normal"/>
        <w:suppressAutoHyphens w:val="true"/>
        <w:rPr>
          <w:bCs/>
          <w:lang w:eastAsia="zh-CN"/>
        </w:rPr>
      </w:pPr>
      <w:r>
        <w:rPr>
          <w:b/>
          <w:lang w:eastAsia="zh-CN"/>
        </w:rPr>
        <w:t>PRIMERO:</w:t>
      </w:r>
      <w:r>
        <w:rPr>
          <w:bCs/>
          <w:lang w:eastAsia="zh-CN"/>
        </w:rPr>
        <w:t xml:space="preserve"> Que luego de la aprobación definitiva de la modificación del Anexo I de subvenciones nominativas de las Bases de Ejecución del presupuesto prorrogado 2024, el Ayuntamiento de Fene (BOP núm. 116 del 17.06.2024), previno una subvención nominativa a la entidad AVV SANTA EULALIA DE LIMODRE por importe máximo de MIL DOSCIENTOS EUROS #1.200,00€# con cargo a la aplicación presupuestaria 334.48900.</w:t>
      </w:r>
    </w:p>
    <w:p>
      <w:pPr>
        <w:pStyle w:val="Normal"/>
        <w:suppressAutoHyphens w:val="true"/>
        <w:rPr>
          <w:bCs/>
          <w:lang w:eastAsia="zh-CN"/>
        </w:rPr>
      </w:pPr>
      <w:r>
        <w:rPr>
          <w:bCs/>
          <w:lang w:eastAsia="zh-CN"/>
        </w:rPr>
      </w:r>
    </w:p>
    <w:p>
      <w:pPr>
        <w:pStyle w:val="Normal"/>
        <w:suppressAutoHyphens w:val="true"/>
        <w:rPr>
          <w:bCs/>
          <w:lang w:eastAsia="zh-CN"/>
        </w:rPr>
      </w:pPr>
      <w:r>
        <w:rPr>
          <w:b/>
          <w:lang w:eastAsia="zh-CN"/>
        </w:rPr>
        <w:t>SEGUNDO:</w:t>
      </w:r>
      <w:r>
        <w:rPr>
          <w:bCs/>
          <w:lang w:eastAsia="zh-CN"/>
        </w:rPr>
        <w:t xml:space="preserve"> El procedimiento de concesión de la subvención fue iniciado la instancia del Ayuntamiento. La entidad acompaña junto con la solicitud a siguiente documentación:</w:t>
      </w:r>
    </w:p>
    <w:p>
      <w:pPr>
        <w:pStyle w:val="Normal"/>
        <w:suppressAutoHyphens w:val="true"/>
        <w:rPr>
          <w:bCs/>
          <w:lang w:eastAsia="zh-CN"/>
        </w:rPr>
      </w:pPr>
      <w:r>
        <w:rPr>
          <w:bCs/>
          <w:lang w:eastAsia="zh-CN"/>
        </w:rPr>
        <w:t>la)</w:t>
        <w:tab/>
        <w:t>Acreditación de la personalidad de su representante.</w:t>
      </w:r>
    </w:p>
    <w:p>
      <w:pPr>
        <w:pStyle w:val="Normal"/>
        <w:suppressAutoHyphens w:val="true"/>
        <w:rPr>
          <w:bCs/>
          <w:lang w:eastAsia="zh-CN"/>
        </w:rPr>
      </w:pPr>
      <w:r>
        <w:rPr>
          <w:bCs/>
          <w:lang w:eastAsia="zh-CN"/>
        </w:rPr>
        <w:t>b)</w:t>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pPr>
        <w:pStyle w:val="Normal"/>
        <w:suppressAutoHyphens w:val="true"/>
        <w:rPr>
          <w:bCs/>
          <w:lang w:eastAsia="zh-CN"/>
        </w:rPr>
      </w:pPr>
      <w:r>
        <w:rPr>
          <w:bCs/>
          <w:lang w:eastAsia="zh-CN"/>
        </w:rPr>
        <w:t>c)</w:t>
        <w:tab/>
        <w:t>Declaración jurada de se fueron solicitadas o no otras subvenciones para la misma finalidad, procedentes de las distintas administraciones públicas o cualquiera de sus organismos dependientes, entes o sociedades, o de otros organismos privados. No caso de tener concedidas subvenciones, indicación de su cuantía y ente concedente.</w:t>
      </w:r>
    </w:p>
    <w:p>
      <w:pPr>
        <w:pStyle w:val="Normal"/>
        <w:suppressAutoHyphens w:val="true"/>
        <w:rPr>
          <w:bCs/>
          <w:lang w:eastAsia="zh-CN"/>
        </w:rPr>
      </w:pPr>
      <w:r>
        <w:rPr>
          <w:bCs/>
          <w:lang w:eastAsia="zh-CN"/>
        </w:rPr>
        <w:t>d)</w:t>
        <w:tab/>
        <w:t>Acreditaciones vigentes de que la entidad está al corriente de sus deberes tributarios en general (Estado y Comunidad Autónoma), y en concreto, con el Ayuntamiento de Fene y con la Seguridad Social.</w:t>
      </w:r>
    </w:p>
    <w:p>
      <w:pPr>
        <w:pStyle w:val="Normal"/>
        <w:suppressAutoHyphens w:val="true"/>
        <w:rPr>
          <w:bCs/>
          <w:lang w:eastAsia="zh-CN"/>
        </w:rPr>
      </w:pPr>
      <w:r>
        <w:rPr>
          <w:bCs/>
          <w:lang w:eastAsia="zh-CN"/>
        </w:rPr>
        <w:t>y)</w:t>
        <w:tab/>
        <w:t>Declaración responsable de no estar incursa la entidad en ninguna de las causas que determina el art. 13.2 de la Ley 38/2003 general de subvenciones (art. 10.2 Ley 9/2007, de 13 de junio , de subvenciones de Galicia).</w:t>
      </w:r>
    </w:p>
    <w:p>
      <w:pPr>
        <w:pStyle w:val="Normal"/>
        <w:suppressAutoHyphens w:val="true"/>
        <w:rPr>
          <w:bCs/>
          <w:lang w:eastAsia="zh-CN"/>
        </w:rPr>
      </w:pPr>
      <w:r>
        <w:rPr>
          <w:bCs/>
          <w:lang w:eastAsia="zh-CN"/>
        </w:rPr>
        <w:t>f)</w:t>
        <w:tab/>
        <w:t>Obra en poder del Ayuntamiento certificación de los datos bancarios de la entidad.</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r>
    </w:p>
    <w:p>
      <w:pPr>
        <w:pStyle w:val="Normal"/>
        <w:suppressAutoHyphens w:val="true"/>
        <w:rPr>
          <w:bCs/>
          <w:lang w:eastAsia="zh-CN"/>
        </w:rPr>
      </w:pPr>
      <w:r>
        <w:rPr>
          <w:b/>
          <w:lang w:eastAsia="zh-CN"/>
        </w:rPr>
        <w:t>TERCERO:</w:t>
      </w:r>
      <w:r>
        <w:rPr>
          <w:bCs/>
          <w:lang w:eastAsia="zh-CN"/>
        </w:rPr>
        <w:t xml:space="preserve"> Teniendo en cuenta el artículo 2.1 de la Ley 38/2003, de 17 de noviembre, General de Subvenciones, que exige para que las disposiciones de dinero realizadas por las entidades locales tengan la condición de subvenciones, que no tengan contraprestación directa del beneficiario, que estén sujetas al cumplimiento de un determinado objetivo, la realización duna actividad o la adopción de un comportamiento singular, cumpliendo los deberes materiales y formales que se habían establecido, y que estas conductas tengan por objeto el fomento de una actividad de utilidad pública, interés social o la promoción de una finalidad pública.</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Finalmente, y con el fin de dar cumplimiento al previsto en el artículo 28.1 de la Ley 38/2003, de 17 de noviembre que considera los convenios como los instrumentos habituales para la canalización de las subvenciones directas, @ambos las partes acuerdan establecer el presente convenio de conformidad con las siguientes:</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r>
    </w:p>
    <w:p>
      <w:pPr>
        <w:pStyle w:val="Normal"/>
        <w:suppressAutoHyphens w:val="true"/>
        <w:jc w:val="center"/>
        <w:rPr>
          <w:b/>
          <w:lang w:eastAsia="zh-CN"/>
        </w:rPr>
      </w:pPr>
      <w:r>
        <w:rPr>
          <w:b/>
          <w:lang w:eastAsia="zh-CN"/>
        </w:rPr>
        <w:t>CLÁUSULAS</w:t>
      </w:r>
    </w:p>
    <w:p>
      <w:pPr>
        <w:pStyle w:val="Normal"/>
        <w:suppressAutoHyphens w:val="true"/>
        <w:rPr>
          <w:b/>
          <w:lang w:eastAsia="zh-CN"/>
        </w:rPr>
      </w:pPr>
      <w:r>
        <w:rPr>
          <w:b/>
          <w:lang w:eastAsia="zh-CN"/>
        </w:rPr>
      </w:r>
    </w:p>
    <w:p>
      <w:pPr>
        <w:pStyle w:val="Normal"/>
        <w:suppressAutoHyphens w:val="true"/>
        <w:rPr>
          <w:b/>
          <w:lang w:eastAsia="zh-CN"/>
        </w:rPr>
      </w:pPr>
      <w:r>
        <w:rPr>
          <w:b/>
          <w:lang w:eastAsia="zh-CN"/>
        </w:rPr>
        <w:t>PRIMERA. FUNDAMENTO LEGAL:</w:t>
      </w:r>
    </w:p>
    <w:p>
      <w:pPr>
        <w:pStyle w:val="Normal"/>
        <w:suppressAutoHyphens w:val="true"/>
        <w:rPr>
          <w:bCs/>
          <w:lang w:eastAsia="zh-CN"/>
        </w:rPr>
      </w:pPr>
      <w:r>
        <w:rPr>
          <w:bCs/>
          <w:lang w:eastAsia="zh-CN"/>
        </w:rPr>
        <w:t>El presente convenio se regirá por el dispuesto en la Ley 38/2006, de 26 de noviembre, General de Subvenciones  y Reglamento de desarrollo; Ley 9/2007, de 13 de junio, de subvenciones de Galicia; Ley 7/1985, de Bases del Régimen Local; Ley 39/2015, de 1 de octubre , de Régimen  Jurídico de las Administraciones Públicas y Procedimiento Administrativo Común; Ley 47/2003, General Presupuestaria; RDL 2/2004, de 5 de marzo por lo que se aprueba el Texto Refundido de la Ley Reguladora de las Haciendas Locales; RD 500/90, de 20 de abril por lo que se desarrolla el Capítulo I del Título VI de la Ley 38/88, de 28 de diciembre, las Bases de Ejecución del Presupuesto de 2022 y demás normativa  que resulte de aplicación.</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SEGUNDA. CRÉDITO PRESUPUESTARIO:</w:t>
      </w:r>
    </w:p>
    <w:p>
      <w:pPr>
        <w:pStyle w:val="Normal"/>
        <w:suppressAutoHyphens w:val="true"/>
        <w:rPr>
          <w:bCs/>
          <w:lang w:eastAsia="zh-CN"/>
        </w:rPr>
      </w:pPr>
      <w:r>
        <w:rPr>
          <w:bCs/>
          <w:lang w:eastAsia="zh-CN"/>
        </w:rPr>
        <w:t>El Ayuntamiento de Fene destina la cantidad máxima de #1.200,00€# con cargo a la partida 334.48900 del presupuesto prorrogado 2024. @Dito cantidad debe destinarse única y exclusivamente a la financiación de los gastos de la organización de la FIESTA DE La OREJA que se especifica en la memoria y en el presupuesto de gastos que presenta la entidad con RXE núm. 999-2471, del 05.09.2024.</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TERCERA. OBJETO Y PERÍODO DE VIGENCIA DEL CONVENIO:</w:t>
      </w:r>
    </w:p>
    <w:p>
      <w:pPr>
        <w:pStyle w:val="Normal"/>
        <w:suppressAutoHyphens w:val="true"/>
        <w:rPr>
          <w:bCs/>
          <w:lang w:eastAsia="zh-CN"/>
        </w:rPr>
      </w:pPr>
      <w:r>
        <w:rPr>
          <w:bCs/>
          <w:lang w:eastAsia="zh-CN"/>
        </w:rPr>
        <w:t>Este convenio de colaboración tiene por objeto facultar a la entidad AVV SANTA EULALIA DE LIMODRE  para organizar y desarrollar las actividades de la FIESTA DE La OREJA.</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El período de vigencia del presente convenio abarca de 1 de enero  a 10 de diciembre  de 2024.</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CUARTA. GASTOS SUBVENCIONABLES:</w:t>
      </w:r>
    </w:p>
    <w:p>
      <w:pPr>
        <w:pStyle w:val="Normal"/>
        <w:suppressAutoHyphens w:val="true"/>
        <w:rPr>
          <w:bCs/>
          <w:lang w:eastAsia="zh-CN"/>
        </w:rPr>
      </w:pPr>
      <w:r>
        <w:rPr>
          <w:bCs/>
          <w:lang w:eastAsia="zh-CN"/>
        </w:rPr>
        <w:t>Serán subvencionables todos los gastos corrientes derivados de la organización de la actividad subvencionada consignados en el presupuesto de ingresos y gastos relacionados en la solicitud de subvención hasta un máximo de #1.200,00€# y que se habían realizado durante de 1 de enero  a 10 de diciembre  de 2024.</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QUINTA. DOCUMENTACIÓN:</w:t>
      </w:r>
    </w:p>
    <w:p>
      <w:pPr>
        <w:pStyle w:val="Normal"/>
        <w:suppressAutoHyphens w:val="true"/>
        <w:rPr>
          <w:bCs/>
          <w:lang w:eastAsia="zh-CN"/>
        </w:rPr>
      </w:pPr>
      <w:r>
        <w:rPr>
          <w:bCs/>
          <w:lang w:eastAsia="zh-CN"/>
        </w:rPr>
        <w:t>Para la plena efectividad del presente convenio, deberá acercarse la siguiente documentación:</w:t>
      </w:r>
    </w:p>
    <w:p>
      <w:pPr>
        <w:pStyle w:val="Normal"/>
        <w:suppressAutoHyphens w:val="true"/>
        <w:rPr>
          <w:bCs/>
          <w:lang w:eastAsia="zh-CN"/>
        </w:rPr>
      </w:pPr>
      <w:r>
        <w:rPr>
          <w:bCs/>
          <w:lang w:eastAsia="zh-CN"/>
        </w:rPr>
        <w:t>la)</w:t>
        <w:tab/>
        <w:t>Acreditación de la personalidad de su representante mediante la presentación de la fotocopia del DNI de la persona que va a suscribir el presente convenio.</w:t>
      </w:r>
    </w:p>
    <w:p>
      <w:pPr>
        <w:pStyle w:val="Normal"/>
        <w:suppressAutoHyphens w:val="true"/>
        <w:rPr>
          <w:bCs/>
          <w:lang w:eastAsia="zh-CN"/>
        </w:rPr>
      </w:pPr>
      <w:r>
        <w:rPr>
          <w:bCs/>
          <w:lang w:eastAsia="zh-CN"/>
        </w:rPr>
        <w:t>b)</w:t>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pPr>
        <w:pStyle w:val="Normal"/>
        <w:suppressAutoHyphens w:val="true"/>
        <w:rPr>
          <w:bCs/>
          <w:lang w:eastAsia="zh-CN"/>
        </w:rPr>
      </w:pPr>
      <w:r>
        <w:rPr>
          <w:bCs/>
          <w:lang w:eastAsia="zh-CN"/>
        </w:rPr>
        <w:t>c)</w:t>
        <w:tab/>
        <w:t>Declaración jurada de se fueron solicitadas o no otras subvenciones para la misma finalidad, procedentes de las distintas administraciones públicas o cualquiera de sus organismos dependientes, entes o sociedades, o de otros organismos privados.</w:t>
      </w:r>
    </w:p>
    <w:p>
      <w:pPr>
        <w:pStyle w:val="Normal"/>
        <w:suppressAutoHyphens w:val="true"/>
        <w:rPr>
          <w:bCs/>
          <w:lang w:eastAsia="zh-CN"/>
        </w:rPr>
      </w:pPr>
      <w:r>
        <w:rPr>
          <w:bCs/>
          <w:lang w:eastAsia="zh-CN"/>
        </w:rPr>
        <w:t>d)</w:t>
        <w:tab/>
        <w:t>Declaración jurada de que la entidad está al corriente de sus deberes tributarios en general (Estado y Comunidad Autónoma),  con el Ayuntamiento de Fene, y con la Seguridad Social.</w:t>
      </w:r>
    </w:p>
    <w:p>
      <w:pPr>
        <w:pStyle w:val="Normal"/>
        <w:suppressAutoHyphens w:val="true"/>
        <w:rPr>
          <w:bCs/>
          <w:lang w:eastAsia="zh-CN"/>
        </w:rPr>
      </w:pPr>
      <w:r>
        <w:rPr>
          <w:bCs/>
          <w:lang w:eastAsia="zh-CN"/>
        </w:rPr>
        <w:t>y)</w:t>
        <w:tab/>
        <w:t>Declaración responsable de no estar incursa la entidad en ninguna de las causas que determina el artículo 13.2 de la Ley 38/2003 general de subvenciones.</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En caso de que alguna de la antedita documentación obrara en poder del ayuntamiento, se exime de su presentación.</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En todo caso, la dicha documentación deberá constar en el momento de la firma del presente convenio.</w:t>
      </w:r>
    </w:p>
    <w:p>
      <w:pPr>
        <w:pStyle w:val="Normal"/>
        <w:suppressAutoHyphens w:val="true"/>
        <w:rPr>
          <w:bCs/>
          <w:lang w:eastAsia="zh-CN"/>
        </w:rPr>
      </w:pPr>
      <w:r>
        <w:rPr>
          <w:bCs/>
          <w:lang w:eastAsia="zh-CN"/>
        </w:rPr>
      </w:r>
    </w:p>
    <w:p>
      <w:pPr>
        <w:pStyle w:val="Normal"/>
        <w:suppressAutoHyphens w:val="true"/>
        <w:rPr>
          <w:bCs/>
          <w:lang w:eastAsia="zh-CN"/>
        </w:rPr>
      </w:pPr>
      <w:r>
        <w:rPr>
          <w:b/>
          <w:lang w:eastAsia="zh-CN"/>
        </w:rPr>
        <w:t>SEXTA. DEBERES DE La ENTIDAD BENEFICIARIA</w:t>
      </w:r>
      <w:r>
        <w:rPr>
          <w:bCs/>
          <w:lang w:eastAsia="zh-CN"/>
        </w:rPr>
        <w:t>:</w:t>
      </w:r>
    </w:p>
    <w:p>
      <w:pPr>
        <w:pStyle w:val="Normal"/>
        <w:suppressAutoHyphens w:val="true"/>
        <w:rPr>
          <w:bCs/>
          <w:lang w:eastAsia="zh-CN"/>
        </w:rPr>
      </w:pPr>
      <w:r>
        <w:rPr>
          <w:bCs/>
          <w:lang w:eastAsia="zh-CN"/>
        </w:rPr>
        <w:t>Son deberes del beneficiario:</w:t>
      </w:r>
    </w:p>
    <w:p>
      <w:pPr>
        <w:pStyle w:val="Normal"/>
        <w:suppressAutoHyphens w:val="true"/>
        <w:rPr>
          <w:bCs/>
          <w:lang w:eastAsia="zh-CN"/>
        </w:rPr>
      </w:pPr>
      <w:r>
        <w:rPr>
          <w:bCs/>
          <w:lang w:eastAsia="zh-CN"/>
        </w:rPr>
        <w:t></w:t>
      </w:r>
      <w:r>
        <w:rPr>
          <w:bCs/>
          <w:lang w:eastAsia="zh-CN"/>
        </w:rPr>
        <w:tab/>
        <w:t>Llevar a cabo las actividades que se establecen en la memoria presentada al efecto de la obtención de esta subvención.</w:t>
      </w:r>
    </w:p>
    <w:p>
      <w:pPr>
        <w:pStyle w:val="Normal"/>
        <w:suppressAutoHyphens w:val="true"/>
        <w:rPr>
          <w:bCs/>
          <w:lang w:eastAsia="zh-CN"/>
        </w:rPr>
      </w:pPr>
      <w:r>
        <w:rPr>
          <w:bCs/>
          <w:lang w:eastAsia="zh-CN"/>
        </w:rPr>
        <w:t></w:t>
      </w:r>
      <w:r>
        <w:rPr>
          <w:bCs/>
          <w:lang w:eastAsia="zh-CN"/>
        </w:rPr>
        <w:tab/>
        <w:t>Lucir el logotipo del Ayuntamiento de Fene y hacer constar la cooperación del ayuntamiento en todas las actuaciones  que se desarrollen al amparo de este convenio. La publicidad y difusión de la actividad se realizará en lengua gallega.</w:t>
      </w:r>
    </w:p>
    <w:p>
      <w:pPr>
        <w:pStyle w:val="Normal"/>
        <w:suppressAutoHyphens w:val="true"/>
        <w:rPr>
          <w:bCs/>
          <w:lang w:eastAsia="zh-CN"/>
        </w:rPr>
      </w:pPr>
      <w:r>
        <w:rPr>
          <w:bCs/>
          <w:lang w:eastAsia="zh-CN"/>
        </w:rPr>
        <w:t></w:t>
      </w:r>
      <w:r>
        <w:rPr>
          <w:bCs/>
          <w:lang w:eastAsia="zh-CN"/>
        </w:rPr>
        <w:tab/>
        <w:t>La entidad AVV SANTA EULALIA DE LIMODRE asume los deberes derivados de la gestión y organización de las actividades para la FIESTA DE La OREJA.</w:t>
      </w:r>
    </w:p>
    <w:p>
      <w:pPr>
        <w:pStyle w:val="Normal"/>
        <w:suppressAutoHyphens w:val="true"/>
        <w:rPr>
          <w:bCs/>
          <w:lang w:eastAsia="zh-CN"/>
        </w:rPr>
      </w:pPr>
      <w:r>
        <w:rPr>
          <w:bCs/>
          <w:lang w:eastAsia="zh-CN"/>
        </w:rPr>
        <w:t></w:t>
      </w:r>
      <w:r>
        <w:rPr>
          <w:bCs/>
          <w:lang w:eastAsia="zh-CN"/>
        </w:rPr>
        <w:tab/>
        <w:t>Cumplir con los deberes que vienen impuestas por la normativa reguladora de las subvenciones públicas.</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SÉPTIMA. JUSTIFICACIÓN Y PAGO:</w:t>
      </w:r>
    </w:p>
    <w:p>
      <w:pPr>
        <w:pStyle w:val="Normal"/>
        <w:suppressAutoHyphens w:val="true"/>
        <w:rPr>
          <w:bCs/>
          <w:lang w:eastAsia="zh-CN"/>
        </w:rPr>
      </w:pPr>
      <w:r>
        <w:rPr>
          <w:bCs/>
          <w:lang w:eastAsia="zh-CN"/>
        </w:rPr>
        <w:t>El pago de la subvención se efectuará mediante lo ingreso en la cuenta bancaria señalada al efecto  por el beneficiario.</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Una vez realizada la actividad subvencionada, el beneficiario deberá presentar la cuenta justificativa como máximo antes de las 14.00 horas del día 11 de diciembre de 2024.</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El importe de los gastos justificativos deberá ser, como mínimo, el importe de la cantidad asignada en este convenio. En caso de no justificar el importe total del convenio se verá reducido proporcionalmente el importe a percibir.</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Para la justificación de las cantidades asignadas en este convenio, deberá presentarse la siguiente documentación:</w:t>
      </w:r>
    </w:p>
    <w:p>
      <w:pPr>
        <w:pStyle w:val="Normal"/>
        <w:suppressAutoHyphens w:val="true"/>
        <w:rPr>
          <w:bCs/>
          <w:lang w:eastAsia="zh-CN"/>
        </w:rPr>
      </w:pPr>
      <w:r>
        <w:rPr>
          <w:bCs/>
          <w:lang w:eastAsia="zh-CN"/>
        </w:rPr>
        <w:t>•</w:t>
      </w:r>
      <w:r>
        <w:rPr>
          <w:bCs/>
          <w:lang w:eastAsia="zh-CN"/>
        </w:rPr>
        <w:tab/>
        <w:t xml:space="preserve">Memoria explicativa y detallada de las actividades que se realizaron, con expresa mención de los resultados obtenidos, incluyendo una relación de los gastos ocasionados por las actividades que se realizaron y de los ingresos que se obtuvieron para las @dito actividades. </w:t>
      </w:r>
    </w:p>
    <w:p>
      <w:pPr>
        <w:pStyle w:val="Normal"/>
        <w:suppressAutoHyphens w:val="true"/>
        <w:rPr>
          <w:bCs/>
          <w:lang w:eastAsia="zh-CN"/>
        </w:rPr>
      </w:pPr>
      <w:r>
        <w:rPr>
          <w:bCs/>
          <w:lang w:eastAsia="zh-CN"/>
        </w:rPr>
        <w:t>•</w:t>
      </w:r>
      <w:r>
        <w:rPr>
          <w:bCs/>
          <w:lang w:eastAsia="zh-CN"/>
        </w:rPr>
        <w:tab/>
        <w:t>Declaración jurada que acredite el cumplimiento de la finalidad de la subvención mediante la realización de las actividades para las que se concedió la subvención.</w:t>
      </w:r>
    </w:p>
    <w:p>
      <w:pPr>
        <w:pStyle w:val="Normal"/>
        <w:suppressAutoHyphens w:val="true"/>
        <w:rPr>
          <w:bCs/>
          <w:lang w:eastAsia="zh-CN"/>
        </w:rPr>
      </w:pPr>
      <w:r>
        <w:rPr>
          <w:bCs/>
          <w:lang w:eastAsia="zh-CN"/>
        </w:rPr>
        <w:t>•</w:t>
      </w:r>
      <w:r>
        <w:rPr>
          <w:bCs/>
          <w:lang w:eastAsia="zh-CN"/>
        </w:rPr>
        <w:tab/>
        <w:t>Declaración jurada que acredite que no se obtuvo ninguna otra subvención o ayuda para la misma finalidad, o, por lo contrario, donde conste una relación detallada de otras subvenciones o ayudas concedidas para la misma finalidad.</w:t>
      </w:r>
    </w:p>
    <w:p>
      <w:pPr>
        <w:pStyle w:val="Normal"/>
        <w:suppressAutoHyphens w:val="true"/>
        <w:rPr>
          <w:bCs/>
          <w:lang w:eastAsia="zh-CN"/>
        </w:rPr>
      </w:pPr>
      <w:r>
        <w:rPr>
          <w:bCs/>
          <w:lang w:eastAsia="zh-CN"/>
        </w:rPr>
        <w:t>•</w:t>
      </w:r>
      <w:r>
        <w:rPr>
          <w:bCs/>
          <w:lang w:eastAsia="zh-CN"/>
        </w:rPr>
        <w:tab/>
        <w:t>Relación clasificada de los gastos realizados en cada período subvencionable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trabajador/a y mes: la fecha, el  importe  bruto de la nómina y el importe de la seguridad social con cargo a la entidad.</w:t>
      </w:r>
    </w:p>
    <w:p>
      <w:pPr>
        <w:pStyle w:val="Normal"/>
        <w:suppressAutoHyphens w:val="true"/>
        <w:rPr>
          <w:bCs/>
          <w:lang w:eastAsia="zh-CN"/>
        </w:rPr>
      </w:pPr>
      <w:r>
        <w:rPr>
          <w:bCs/>
          <w:lang w:eastAsia="zh-CN"/>
        </w:rPr>
        <w:t>•</w:t>
      </w:r>
      <w:r>
        <w:rPr>
          <w:bCs/>
          <w:lang w:eastAsia="zh-CN"/>
        </w:rPr>
        <w:tab/>
        <w:t>Original o fotocopia #cotejar de las facturas representativas de los gastos realizados. Las facturas deberán cumplir los requisitos exigidos por el Real decreto 1619/2012, de 30 de noviembre , por lo que se aprueba el reglamento por lo que se regulan los deberes de facturación.</w:t>
      </w:r>
    </w:p>
    <w:p>
      <w:pPr>
        <w:pStyle w:val="Normal"/>
        <w:suppressAutoHyphens w:val="true"/>
        <w:rPr>
          <w:bCs/>
          <w:lang w:eastAsia="zh-CN"/>
        </w:rPr>
      </w:pPr>
      <w:r>
        <w:rPr>
          <w:bCs/>
          <w:lang w:eastAsia="zh-CN"/>
        </w:rPr>
        <w:t>En caso de que la realización de las actividades objeto de la subvención generen gastos de personal, se justificarán mediante nómina, factura o documento equivalente (originales o #fotocopia cotejadas).</w:t>
      </w:r>
    </w:p>
    <w:p>
      <w:pPr>
        <w:pStyle w:val="Normal"/>
        <w:suppressAutoHyphens w:val="true"/>
        <w:rPr>
          <w:bCs/>
          <w:lang w:eastAsia="zh-CN"/>
        </w:rPr>
      </w:pPr>
      <w:r>
        <w:rPr>
          <w:bCs/>
          <w:lang w:eastAsia="zh-CN"/>
        </w:rPr>
        <w:t>Deberá extenderse en el original de la nómina, factura o documento equivalente o substitutivo una diligencia en la que se haga constar que la nómina, factura o documento equivalente o substitutivo se utilizó como justificante de gasto para la justificación de este convenio, con indicación en su caso, del porcentaje a aplicar. No caso de presentar fotocopias, deberá extenderse la diligencia antes de hacer la copia.</w:t>
      </w:r>
    </w:p>
    <w:p>
      <w:pPr>
        <w:pStyle w:val="Normal"/>
        <w:suppressAutoHyphens w:val="true"/>
        <w:rPr>
          <w:bCs/>
          <w:lang w:eastAsia="zh-CN"/>
        </w:rPr>
      </w:pPr>
      <w:r>
        <w:rPr>
          <w:bCs/>
          <w:lang w:eastAsia="zh-CN"/>
        </w:rPr>
        <w:t>•</w:t>
      </w:r>
      <w:r>
        <w:rPr>
          <w:bCs/>
          <w:lang w:eastAsia="zh-CN"/>
        </w:rPr>
        <w:tab/>
        <w:t>Justificantes de pago de los gastos mediante extractos o #certificación bancarias en los que conste el beneficiario, el importe y la fecha de pago. Excepcionalmente, en caso de que el pago se efectuara en metálico (forma de pago no admitida para los gastos de importe superior a 100 euros) se acercará declaración jurada del tesorero de la entidad sobre este extremo en la que se recogerá una relación de los pagos efectuados en metálico señalando: número de factura, concepto, importe y fecha de pago.</w:t>
      </w:r>
    </w:p>
    <w:p>
      <w:pPr>
        <w:pStyle w:val="Normal"/>
        <w:suppressAutoHyphens w:val="true"/>
        <w:rPr>
          <w:bCs/>
          <w:lang w:eastAsia="zh-CN"/>
        </w:rPr>
      </w:pPr>
      <w:r>
        <w:rPr>
          <w:bCs/>
          <w:lang w:eastAsia="zh-CN"/>
        </w:rPr>
        <w:t>•</w:t>
      </w:r>
      <w:r>
        <w:rPr>
          <w:bCs/>
          <w:lang w:eastAsia="zh-CN"/>
        </w:rPr>
        <w:tab/>
        <w:t>Autorización para que el Ayuntamiento compruebe de oficio que la entidad está al corriente de sus deberes tributarios en general (Estado y Comunidad Autónoma), y en concreto, con el Ayuntamiento de Fene, y con la Seguridad Social, y que no es deudor por resolución de origen de reintegro.</w:t>
      </w:r>
    </w:p>
    <w:p>
      <w:pPr>
        <w:pStyle w:val="Normal"/>
        <w:suppressAutoHyphens w:val="true"/>
        <w:rPr>
          <w:bCs/>
          <w:lang w:eastAsia="zh-CN"/>
        </w:rPr>
      </w:pPr>
      <w:r>
        <w:rPr>
          <w:bCs/>
          <w:lang w:eastAsia="zh-CN"/>
        </w:rPr>
        <w:t>•</w:t>
      </w:r>
      <w:r>
        <w:rPr>
          <w:bCs/>
          <w:lang w:eastAsia="zh-CN"/>
        </w:rPr>
        <w:tab/>
        <w:t xml:space="preserve"> Acreditación gráfica/declaración responsable del cumplimiento del deber de hacer consta la colaboración del Ayuntamiento de Fene en toda la información que se haga de las actividades subvencionadas (folletos, carteles, libros, vídeos, CD´s, etc) o, en su defecto, declaración responsable acreditando que se hizo constar esta colaboración.</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De no presentar la justificación en el plazo establecido, o no desistir de forma motivada y por escrito en el mismo plazo, se incoará expediente de anulación del correspondiente compromiso que implicará la pérdida del derecho de cobro de la subvención.</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Este plazo se entenderá sin perjuicio del plazo de diez días, que se concederá en el caso de presentación de documentación incompleta o defectuosa para su rectificación.</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Mediante Resolución de la Alcaldía se acreditará el cumplimiento de la finalidad, que constituye el objeto del presente convenio, procediéndose a la aprobación de la cuenta justificativa presentada por el beneficiario. Todo esto, siempre y cuando la documentación justificativa fuera la correcta.</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r>
    </w:p>
    <w:p>
      <w:pPr>
        <w:pStyle w:val="Normal"/>
        <w:suppressAutoHyphens w:val="true"/>
        <w:rPr>
          <w:b/>
          <w:lang w:eastAsia="zh-CN"/>
        </w:rPr>
      </w:pPr>
      <w:r>
        <w:rPr>
          <w:b/>
          <w:lang w:eastAsia="zh-CN"/>
        </w:rPr>
        <w:t>OCTAVA. MODIFICACIÓN:</w:t>
      </w:r>
    </w:p>
    <w:p>
      <w:pPr>
        <w:pStyle w:val="Normal"/>
        <w:suppressAutoHyphens w:val="true"/>
        <w:rPr>
          <w:bCs/>
          <w:lang w:eastAsia="zh-CN"/>
        </w:rPr>
      </w:pPr>
      <w:r>
        <w:rPr>
          <w:bCs/>
          <w:lang w:eastAsia="zh-CN"/>
        </w:rPr>
        <w:t>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NOVENA. CAUSAS DE RESOLUCIÓN:</w:t>
      </w:r>
    </w:p>
    <w:p>
      <w:pPr>
        <w:pStyle w:val="Normal"/>
        <w:suppressAutoHyphens w:val="true"/>
        <w:rPr>
          <w:bCs/>
          <w:lang w:eastAsia="zh-CN"/>
        </w:rPr>
      </w:pPr>
      <w:r>
        <w:rPr>
          <w:bCs/>
          <w:lang w:eastAsia="zh-CN"/>
        </w:rPr>
        <w:t>Serán causas de resolución de este convenio:</w:t>
      </w:r>
    </w:p>
    <w:p>
      <w:pPr>
        <w:pStyle w:val="Normal"/>
        <w:suppressAutoHyphens w:val="true"/>
        <w:rPr>
          <w:bCs/>
          <w:lang w:eastAsia="zh-CN"/>
        </w:rPr>
      </w:pPr>
      <w:r>
        <w:rPr>
          <w:bCs/>
          <w:lang w:eastAsia="zh-CN"/>
        </w:rPr>
        <w:t>•</w:t>
      </w:r>
      <w:r>
        <w:rPr>
          <w:bCs/>
          <w:lang w:eastAsia="zh-CN"/>
        </w:rPr>
        <w:tab/>
        <w:t>El incumplimiento de cualquiera de las cláusulas establecidas en el presente convenio.</w:t>
      </w:r>
    </w:p>
    <w:p>
      <w:pPr>
        <w:pStyle w:val="Normal"/>
        <w:suppressAutoHyphens w:val="true"/>
        <w:rPr>
          <w:bCs/>
          <w:lang w:eastAsia="zh-CN"/>
        </w:rPr>
      </w:pPr>
      <w:r>
        <w:rPr>
          <w:bCs/>
          <w:lang w:eastAsia="zh-CN"/>
        </w:rPr>
        <w:t>•</w:t>
      </w:r>
      <w:r>
        <w:rPr>
          <w:bCs/>
          <w:lang w:eastAsia="zh-CN"/>
        </w:rPr>
        <w:tab/>
        <w:t>La aplicación de los fondos otorgados en el convenio para fines distintos de los que motivaron su concesión.</w:t>
      </w:r>
    </w:p>
    <w:p>
      <w:pPr>
        <w:pStyle w:val="Normal"/>
        <w:suppressAutoHyphens w:val="true"/>
        <w:rPr>
          <w:bCs/>
          <w:lang w:eastAsia="zh-CN"/>
        </w:rPr>
      </w:pPr>
      <w:r>
        <w:rPr>
          <w:bCs/>
          <w:lang w:eastAsia="zh-CN"/>
        </w:rPr>
        <w:t>•</w:t>
      </w:r>
      <w:r>
        <w:rPr>
          <w:bCs/>
          <w:lang w:eastAsia="zh-CN"/>
        </w:rPr>
        <w:tab/>
        <w:t>La falta de justificación del empleo de las cuantías recibidas.</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DÉCIMA. CONTROL FINANCIERO, REINTEGRO DE La SUBVENCIÓN Y SANCIONES:</w:t>
      </w:r>
    </w:p>
    <w:p>
      <w:pPr>
        <w:pStyle w:val="Normal"/>
        <w:suppressAutoHyphens w:val="true"/>
        <w:rPr>
          <w:bCs/>
          <w:lang w:eastAsia="zh-CN"/>
        </w:rPr>
      </w:pPr>
      <w:r>
        <w:rPr>
          <w:bCs/>
          <w:lang w:eastAsia="zh-CN"/>
        </w:rPr>
        <w:t>Conforme al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todas las demás deberes formales y materiales que le impone el presente convenio de colaboración.</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No que respeta al reintegro de subvenciones e imposición de las correspondientes sanciones se estará al dispuesto en los artículos 41 y siguientes de la Ley General de Subvenciones.</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UNDÉCIMA. NATURALEZA:</w:t>
      </w:r>
    </w:p>
    <w:p>
      <w:pPr>
        <w:pStyle w:val="Normal"/>
        <w:suppressAutoHyphens w:val="true"/>
        <w:rPr>
          <w:bCs/>
          <w:lang w:eastAsia="zh-CN"/>
        </w:rPr>
      </w:pPr>
      <w:r>
        <w:rPr>
          <w:bCs/>
          <w:lang w:eastAsia="zh-CN"/>
        </w:rPr>
        <w:t>El presente convenio tiene naturaleza administrativa, las resoluciones que se adopten pondrán fin a la vía administrativa, por lo tanto, contra ellas solo cabe recurso ante la jurisdicción contencioso-administrativa.</w:t>
      </w:r>
    </w:p>
    <w:p>
      <w:pPr>
        <w:pStyle w:val="Normal"/>
        <w:suppressAutoHyphens w:val="true"/>
        <w:rPr>
          <w:bCs/>
          <w:lang w:eastAsia="zh-CN"/>
        </w:rPr>
      </w:pPr>
      <w:r>
        <w:rPr>
          <w:bCs/>
          <w:lang w:eastAsia="zh-CN"/>
        </w:rPr>
      </w:r>
    </w:p>
    <w:p>
      <w:pPr>
        <w:pStyle w:val="Normal"/>
        <w:suppressAutoHyphens w:val="true"/>
        <w:rPr>
          <w:b/>
          <w:lang w:eastAsia="zh-CN"/>
        </w:rPr>
      </w:pPr>
      <w:r>
        <w:rPr>
          <w:b/>
          <w:lang w:eastAsia="zh-CN"/>
        </w:rPr>
        <w:t>DUODÉCIMA. INTERPRETACIÓN:</w:t>
      </w:r>
    </w:p>
    <w:p>
      <w:pPr>
        <w:pStyle w:val="Normal"/>
        <w:suppressAutoHyphens w:val="true"/>
        <w:rPr>
          <w:bCs/>
          <w:lang w:eastAsia="zh-CN"/>
        </w:rPr>
      </w:pPr>
      <w:r>
        <w:rPr>
          <w:bCs/>
          <w:lang w:eastAsia="zh-CN"/>
        </w:rPr>
        <w:t>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las Bases de ejecución del presupuesto prorrogado 2024.</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Y en prueba de su conformidad firman el presente convenio por duplicado ejemplar, en el lugar y fecha señalados en el @encabezamento.</w:t>
      </w:r>
    </w:p>
    <w:p>
      <w:pPr>
        <w:pStyle w:val="Normal"/>
        <w:suppressAutoHyphens w:val="true"/>
        <w:rPr>
          <w:bCs/>
          <w:lang w:eastAsia="zh-CN"/>
        </w:rPr>
      </w:pPr>
      <w:r>
        <w:rPr>
          <w:bCs/>
          <w:lang w:eastAsia="zh-CN"/>
        </w:rPr>
      </w:r>
    </w:p>
    <w:p>
      <w:pPr>
        <w:pStyle w:val="Normal"/>
        <w:suppressAutoHyphens w:val="true"/>
        <w:rPr>
          <w:bCs/>
          <w:lang w:eastAsia="zh-CN"/>
        </w:rPr>
      </w:pPr>
      <w:r>
        <w:rPr>
          <w:bCs/>
          <w:lang w:eastAsia="zh-CN"/>
        </w:rPr>
        <w:t>El alcalde</w:t>
        <w:tab/>
        <w:tab/>
        <w:tab/>
        <w:tab/>
        <w:tab/>
        <w:t>AVV Santa Eulalia de Limodre</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871" w:right="794" w:gutter="0" w:header="709" w:top="2268" w:footer="567" w:bottom="794"/>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swiss"/>
    <w:pitch w:val="variable"/>
  </w:font>
  <w:font w:name="Segoe UI">
    <w:charset w:val="00"/>
    <w:family w:val="swiss"/>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tab/>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rStyle w:val="PageNumber"/>
      </w:rPr>
      <w:t xml:space="preserve"> de </w:t>
    </w:r>
    <w:r>
      <w:rPr>
        <w:rStyle w:val="PageNumber"/>
      </w:rPr>
      <w:fldChar w:fldCharType="begin"/>
    </w:r>
    <w:r>
      <w:rPr>
        <w:rStyle w:val="PageNumber"/>
      </w:rPr>
      <w:instrText xml:space="preserve"> NUMPAGES </w:instrText>
    </w:r>
    <w:r>
      <w:rPr>
        <w:rStyle w:val="PageNumber"/>
      </w:rPr>
      <w:fldChar w:fldCharType="separate"/>
    </w:r>
    <w:r>
      <w:rPr>
        <w:rStyle w:val="PageNumber"/>
      </w:rPr>
      <w:t>4</w:t>
    </w:r>
    <w:r>
      <w:rPr>
        <w:rStyle w:val="PageNumber"/>
      </w:rPr>
      <w:fldChar w:fldCharType="end"/>
    </w:r>
  </w:p>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8504"/>
        <w:tab w:val="center" w:pos="4252" w:leader="none"/>
        <w:tab w:val="right" w:pos="9214" w:leader="none"/>
      </w:tabs>
      <w:rPr/>
    </w:pPr>
    <w:r>
      <mc:AlternateContent>
        <mc:Choice Requires="wps">
          <w:drawing>
            <wp:anchor behindDoc="1" distT="0" distB="0" distL="0" distR="635" simplePos="0" locked="0" layoutInCell="1" allowOverlap="1" relativeHeight="8" wp14:anchorId="6292323C">
              <wp:simplePos x="0" y="0"/>
              <wp:positionH relativeFrom="column">
                <wp:posOffset>-709295</wp:posOffset>
              </wp:positionH>
              <wp:positionV relativeFrom="paragraph">
                <wp:posOffset>79375</wp:posOffset>
              </wp:positionV>
              <wp:extent cx="6076315" cy="228600"/>
              <wp:effectExtent l="635" t="0" r="0" b="0"/>
              <wp:wrapNone/>
              <wp:docPr id="5" name="Cuadro de texto 2"/>
              <a:graphic xmlns:a="http://schemas.openxmlformats.org/drawingml/2006/main">
                <a:graphicData uri="http://schemas.microsoft.com/office/word/2010/wordprocessingShape">
                  <wps:wsp>
                    <wps:cNvSpPr/>
                    <wps:spPr>
                      <a:xfrm>
                        <a:off x="0" y="0"/>
                        <a:ext cx="6076440" cy="228600"/>
                      </a:xfrm>
                      <a:prstGeom prst="rect">
                        <a:avLst/>
                      </a:prstGeom>
                      <a:solidFill>
                        <a:srgbClr val="ffffff"/>
                      </a:solidFill>
                      <a:ln w="0">
                        <a:noFill/>
                      </a:ln>
                    </wps:spPr>
                    <wps:style>
                      <a:lnRef idx="0"/>
                      <a:fillRef idx="0"/>
                      <a:effectRef idx="0"/>
                      <a:fontRef idx="minor"/>
                    </wps:style>
                    <wps:txbx>
                      <w:txbxContent>
                        <w:p>
                          <w:pPr>
                            <w:pStyle w:val="Contenidodelmarco"/>
                            <w:rPr/>
                          </w:pPr>
                          <w:r>
                            <w:rPr>
                              <w:szCs w:val="15"/>
                            </w:rPr>
                            <w:t>Pza. do Alcalde Ramón José Souto González, s/n,</w:t>
                          </w:r>
                          <w:r>
                            <w:rPr>
                              <w:rStyle w:val="PageNumber"/>
                              <w:rFonts w:ascii="Arial" w:hAnsi="Arial"/>
                              <w:sz w:val="20"/>
                            </w:rPr>
                            <w:t xml:space="preserve"> 15500 Fene.  Tfno.: 981 49 27 07  Fax: 981 49 27 88 </w:t>
                          </w:r>
                        </w:p>
                      </w:txbxContent>
                    </wps:txbx>
                    <wps:bodyPr anchor="t" upright="1">
                      <a:noAutofit/>
                    </wps:bodyPr>
                  </wps:wsp>
                </a:graphicData>
              </a:graphic>
            </wp:anchor>
          </w:drawing>
        </mc:Choice>
        <mc:Fallback>
          <w:pict>
            <v:rect id="shape_0" ID="Cuadro de texto 2" path="m0,0l-2147483645,0l-2147483645,-2147483646l0,-2147483646xe" fillcolor="white" stroked="f" o:allowincell="f" style="position:absolute;margin-left:-55.85pt;margin-top:6.25pt;width:478.4pt;height:17.95pt;mso-wrap-style:square;v-text-anchor:top" wp14:anchorId="6292323C">
              <v:fill o:detectmouseclick="t" type="solid" color2="black"/>
              <v:stroke color="#3465a4" joinstyle="round" endcap="flat"/>
              <v:textbox>
                <w:txbxContent>
                  <w:p>
                    <w:pPr>
                      <w:pStyle w:val="Contenidodelmarco"/>
                      <w:rPr/>
                    </w:pPr>
                    <w:r>
                      <w:rPr>
                        <w:szCs w:val="15"/>
                      </w:rPr>
                      <w:t>Pza. do Alcalde Ramón José Souto González, s/n,</w:t>
                    </w:r>
                    <w:r>
                      <w:rPr>
                        <w:rStyle w:val="PageNumber"/>
                        <w:rFonts w:ascii="Arial" w:hAnsi="Arial"/>
                        <w:sz w:val="20"/>
                      </w:rPr>
                      <w:t xml:space="preserve"> 15500 Fene.  Tfno.: 981 49 27 07  Fax: 981 49 27 88 </w:t>
                    </w:r>
                  </w:p>
                </w:txbxContent>
              </v:textbox>
              <w10:wrap type="none"/>
            </v:rect>
          </w:pict>
        </mc:Fallback>
      </mc:AlternateContent>
      <mc:AlternateContent>
        <mc:Choice Requires="wps">
          <w:drawing>
            <wp:anchor behindDoc="1" distT="0" distB="0" distL="0" distR="0" simplePos="0" locked="0" layoutInCell="1" allowOverlap="1" relativeHeight="16" wp14:anchorId="5526F40E">
              <wp:simplePos x="0" y="0"/>
              <wp:positionH relativeFrom="column">
                <wp:posOffset>-650875</wp:posOffset>
              </wp:positionH>
              <wp:positionV relativeFrom="paragraph">
                <wp:posOffset>264160</wp:posOffset>
              </wp:positionV>
              <wp:extent cx="6480175" cy="114300"/>
              <wp:effectExtent l="0" t="0" r="0" b="0"/>
              <wp:wrapNone/>
              <wp:docPr id="6" name="Cuadro de texto 3"/>
              <a:graphic xmlns:a="http://schemas.openxmlformats.org/drawingml/2006/main">
                <a:graphicData uri="http://schemas.microsoft.com/office/word/2010/wordprocessingShape">
                  <wps:wsp>
                    <wps:cNvSpPr/>
                    <wps:spPr>
                      <a:xfrm>
                        <a:off x="0" y="0"/>
                        <a:ext cx="6480000" cy="114480"/>
                      </a:xfrm>
                      <a:prstGeom prst="rect">
                        <a:avLst/>
                      </a:prstGeom>
                      <a:solidFill>
                        <a:srgbClr val="008000"/>
                      </a:solidFill>
                      <a:ln w="0">
                        <a:noFill/>
                      </a:ln>
                    </wps:spPr>
                    <wps:style>
                      <a:lnRef idx="0"/>
                      <a:fillRef idx="0"/>
                      <a:effectRef idx="0"/>
                      <a:fontRef idx="minor"/>
                    </wps:style>
                    <wps:txbx>
                      <w:txbxContent>
                        <w:p>
                          <w:pPr>
                            <w:pStyle w:val="Contenidodelmarco"/>
                            <w:rPr/>
                          </w:pPr>
                          <w:r>
                            <w:rPr/>
                          </w:r>
                        </w:p>
                      </w:txbxContent>
                    </wps:txbx>
                    <wps:bodyPr anchor="t" upright="1">
                      <a:noAutofit/>
                    </wps:bodyPr>
                  </wps:wsp>
                </a:graphicData>
              </a:graphic>
            </wp:anchor>
          </w:drawing>
        </mc:Choice>
        <mc:Fallback>
          <w:pict>
            <v:rect id="shape_0" ID="Cuadro de texto 3" path="m0,0l-2147483645,0l-2147483645,-2147483646l0,-2147483646xe" fillcolor="green" stroked="f" o:allowincell="f" style="position:absolute;margin-left:-51.25pt;margin-top:20.8pt;width:510.2pt;height:8.95pt;mso-wrap-style:none;v-text-anchor:middle" wp14:anchorId="5526F40E">
              <v:fill o:detectmouseclick="t" type="solid" color2="#ff7fff"/>
              <v:stroke color="#3465a4" joinstyle="round" endcap="flat"/>
              <v:textbox>
                <w:txbxContent>
                  <w:p>
                    <w:pPr>
                      <w:pStyle w:val="Contenidodelmarco"/>
                      <w:rPr/>
                    </w:pPr>
                    <w:r>
                      <w:rPr/>
                    </w:r>
                  </w:p>
                </w:txbxContent>
              </v:textbox>
              <w10:wrap type="none"/>
            </v:rect>
          </w:pict>
        </mc:Fallback>
      </mc:AlternateContent>
    </w:r>
    <w:r>
      <w:rPr/>
      <w:tab/>
      <w:tab/>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Style w:val="PageNumber"/>
      </w:rPr>
      <w:t xml:space="preserve"> de </w:t>
    </w:r>
    <w:r>
      <w:rPr>
        <w:rStyle w:val="PageNumber"/>
      </w:rPr>
      <w:fldChar w:fldCharType="begin"/>
    </w:r>
    <w:r>
      <w:rPr>
        <w:rStyle w:val="PageNumber"/>
      </w:rPr>
      <w:instrText xml:space="preserve"> NUMPAGES </w:instrText>
    </w:r>
    <w:r>
      <w:rPr>
        <w:rStyle w:val="PageNumber"/>
      </w:rPr>
      <w:fldChar w:fldCharType="separate"/>
    </w:r>
    <w:r>
      <w:rPr>
        <w:rStyle w:val="PageNumber"/>
      </w:rPr>
      <w:t>4</w:t>
    </w:r>
    <w:r>
      <w:rPr>
        <w:rStyle w:val="PageNumbe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8504"/>
        <w:tab w:val="center" w:pos="4252" w:leader="none"/>
        <w:tab w:val="right" w:pos="9214" w:leader="none"/>
      </w:tabs>
      <w:rPr/>
    </w:pPr>
    <w:r>
      <mc:AlternateContent>
        <mc:Choice Requires="wps">
          <w:drawing>
            <wp:anchor behindDoc="1" distT="0" distB="0" distL="0" distR="635" simplePos="0" locked="0" layoutInCell="1" allowOverlap="1" relativeHeight="8" wp14:anchorId="6292323C">
              <wp:simplePos x="0" y="0"/>
              <wp:positionH relativeFrom="column">
                <wp:posOffset>-709295</wp:posOffset>
              </wp:positionH>
              <wp:positionV relativeFrom="paragraph">
                <wp:posOffset>79375</wp:posOffset>
              </wp:positionV>
              <wp:extent cx="6076315" cy="228600"/>
              <wp:effectExtent l="635" t="0" r="0" b="0"/>
              <wp:wrapNone/>
              <wp:docPr id="7" name="Cuadro de texto 2"/>
              <a:graphic xmlns:a="http://schemas.openxmlformats.org/drawingml/2006/main">
                <a:graphicData uri="http://schemas.microsoft.com/office/word/2010/wordprocessingShape">
                  <wps:wsp>
                    <wps:cNvSpPr/>
                    <wps:spPr>
                      <a:xfrm>
                        <a:off x="0" y="0"/>
                        <a:ext cx="6076440" cy="228600"/>
                      </a:xfrm>
                      <a:prstGeom prst="rect">
                        <a:avLst/>
                      </a:prstGeom>
                      <a:solidFill>
                        <a:srgbClr val="ffffff"/>
                      </a:solidFill>
                      <a:ln w="0">
                        <a:noFill/>
                      </a:ln>
                    </wps:spPr>
                    <wps:style>
                      <a:lnRef idx="0"/>
                      <a:fillRef idx="0"/>
                      <a:effectRef idx="0"/>
                      <a:fontRef idx="minor"/>
                    </wps:style>
                    <wps:txbx>
                      <w:txbxContent>
                        <w:p>
                          <w:pPr>
                            <w:pStyle w:val="Contenidodelmarco"/>
                            <w:rPr/>
                          </w:pPr>
                          <w:r>
                            <w:rPr>
                              <w:szCs w:val="15"/>
                            </w:rPr>
                            <w:t>Pza. do Alcalde Ramón José Souto González, s/n,</w:t>
                          </w:r>
                          <w:r>
                            <w:rPr>
                              <w:rStyle w:val="PageNumber"/>
                              <w:rFonts w:ascii="Arial" w:hAnsi="Arial"/>
                              <w:sz w:val="20"/>
                            </w:rPr>
                            <w:t xml:space="preserve"> 15500 Fene.  Tfno.: 981 49 27 07  Fax: 981 49 27 88 </w:t>
                          </w:r>
                        </w:p>
                      </w:txbxContent>
                    </wps:txbx>
                    <wps:bodyPr anchor="t" upright="1">
                      <a:noAutofit/>
                    </wps:bodyPr>
                  </wps:wsp>
                </a:graphicData>
              </a:graphic>
            </wp:anchor>
          </w:drawing>
        </mc:Choice>
        <mc:Fallback>
          <w:pict>
            <v:rect id="shape_0" ID="Cuadro de texto 2" path="m0,0l-2147483645,0l-2147483645,-2147483646l0,-2147483646xe" fillcolor="white" stroked="f" o:allowincell="f" style="position:absolute;margin-left:-55.85pt;margin-top:6.25pt;width:478.4pt;height:17.95pt;mso-wrap-style:square;v-text-anchor:top" wp14:anchorId="6292323C">
              <v:fill o:detectmouseclick="t" type="solid" color2="black"/>
              <v:stroke color="#3465a4" joinstyle="round" endcap="flat"/>
              <v:textbox>
                <w:txbxContent>
                  <w:p>
                    <w:pPr>
                      <w:pStyle w:val="Contenidodelmarco"/>
                      <w:rPr/>
                    </w:pPr>
                    <w:r>
                      <w:rPr>
                        <w:szCs w:val="15"/>
                      </w:rPr>
                      <w:t>Pza. do Alcalde Ramón José Souto González, s/n,</w:t>
                    </w:r>
                    <w:r>
                      <w:rPr>
                        <w:rStyle w:val="PageNumber"/>
                        <w:rFonts w:ascii="Arial" w:hAnsi="Arial"/>
                        <w:sz w:val="20"/>
                      </w:rPr>
                      <w:t xml:space="preserve"> 15500 Fene.  Tfno.: 981 49 27 07  Fax: 981 49 27 88 </w:t>
                    </w:r>
                  </w:p>
                </w:txbxContent>
              </v:textbox>
              <w10:wrap type="none"/>
            </v:rect>
          </w:pict>
        </mc:Fallback>
      </mc:AlternateContent>
      <mc:AlternateContent>
        <mc:Choice Requires="wps">
          <w:drawing>
            <wp:anchor behindDoc="1" distT="0" distB="0" distL="0" distR="0" simplePos="0" locked="0" layoutInCell="1" allowOverlap="1" relativeHeight="16" wp14:anchorId="5526F40E">
              <wp:simplePos x="0" y="0"/>
              <wp:positionH relativeFrom="column">
                <wp:posOffset>-650875</wp:posOffset>
              </wp:positionH>
              <wp:positionV relativeFrom="paragraph">
                <wp:posOffset>264160</wp:posOffset>
              </wp:positionV>
              <wp:extent cx="6480175" cy="114300"/>
              <wp:effectExtent l="0" t="0" r="0" b="0"/>
              <wp:wrapNone/>
              <wp:docPr id="8" name="Cuadro de texto 3"/>
              <a:graphic xmlns:a="http://schemas.openxmlformats.org/drawingml/2006/main">
                <a:graphicData uri="http://schemas.microsoft.com/office/word/2010/wordprocessingShape">
                  <wps:wsp>
                    <wps:cNvSpPr/>
                    <wps:spPr>
                      <a:xfrm>
                        <a:off x="0" y="0"/>
                        <a:ext cx="6480000" cy="114480"/>
                      </a:xfrm>
                      <a:prstGeom prst="rect">
                        <a:avLst/>
                      </a:prstGeom>
                      <a:solidFill>
                        <a:srgbClr val="008000"/>
                      </a:solidFill>
                      <a:ln w="0">
                        <a:noFill/>
                      </a:ln>
                    </wps:spPr>
                    <wps:style>
                      <a:lnRef idx="0"/>
                      <a:fillRef idx="0"/>
                      <a:effectRef idx="0"/>
                      <a:fontRef idx="minor"/>
                    </wps:style>
                    <wps:txbx>
                      <w:txbxContent>
                        <w:p>
                          <w:pPr>
                            <w:pStyle w:val="Contenidodelmarco"/>
                            <w:rPr/>
                          </w:pPr>
                          <w:r>
                            <w:rPr/>
                          </w:r>
                        </w:p>
                      </w:txbxContent>
                    </wps:txbx>
                    <wps:bodyPr anchor="t" upright="1">
                      <a:noAutofit/>
                    </wps:bodyPr>
                  </wps:wsp>
                </a:graphicData>
              </a:graphic>
            </wp:anchor>
          </w:drawing>
        </mc:Choice>
        <mc:Fallback>
          <w:pict>
            <v:rect id="shape_0" ID="Cuadro de texto 3" path="m0,0l-2147483645,0l-2147483645,-2147483646l0,-2147483646xe" fillcolor="green" stroked="f" o:allowincell="f" style="position:absolute;margin-left:-51.25pt;margin-top:20.8pt;width:510.2pt;height:8.95pt;mso-wrap-style:none;v-text-anchor:middle" wp14:anchorId="5526F40E">
              <v:fill o:detectmouseclick="t" type="solid" color2="#ff7fff"/>
              <v:stroke color="#3465a4" joinstyle="round" endcap="flat"/>
              <v:textbox>
                <w:txbxContent>
                  <w:p>
                    <w:pPr>
                      <w:pStyle w:val="Contenidodelmarco"/>
                      <w:rPr/>
                    </w:pPr>
                    <w:r>
                      <w:rPr/>
                    </w:r>
                  </w:p>
                </w:txbxContent>
              </v:textbox>
              <w10:wrap type="none"/>
            </v:rect>
          </w:pict>
        </mc:Fallback>
      </mc:AlternateContent>
    </w:r>
    <w:r>
      <w:rPr/>
      <w:tab/>
      <w:tab/>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Style w:val="PageNumber"/>
      </w:rPr>
      <w:t xml:space="preserve"> de </w:t>
    </w:r>
    <w:r>
      <w:rPr>
        <w:rStyle w:val="PageNumber"/>
      </w:rPr>
      <w:fldChar w:fldCharType="begin"/>
    </w:r>
    <w:r>
      <w:rPr>
        <w:rStyle w:val="PageNumber"/>
      </w:rPr>
      <w:instrText xml:space="preserve"> NUMPAGES </w:instrText>
    </w:r>
    <w:r>
      <w:rPr>
        <w:rStyle w:val="PageNumber"/>
      </w:rPr>
      <w:fldChar w:fldCharType="separate"/>
    </w:r>
    <w:r>
      <w:rPr>
        <w:rStyle w:val="PageNumber"/>
      </w:rPr>
      <w:t>4</w:t>
    </w:r>
    <w:r>
      <w:rPr>
        <w:rStyle w:val="PageNumbe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drawing>
        <wp:anchor behindDoc="1" distT="0" distB="0" distL="114300" distR="114300" simplePos="0" locked="0" layoutInCell="0" allowOverlap="1" relativeHeight="21">
          <wp:simplePos x="0" y="0"/>
          <wp:positionH relativeFrom="page">
            <wp:posOffset>180340</wp:posOffset>
          </wp:positionH>
          <wp:positionV relativeFrom="page">
            <wp:posOffset>252095</wp:posOffset>
          </wp:positionV>
          <wp:extent cx="935990" cy="1170305"/>
          <wp:effectExtent l="0" t="0" r="0" b="0"/>
          <wp:wrapSquare wrapText="bothSides"/>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tretch>
                    <a:fillRect/>
                  </a:stretch>
                </pic:blipFill>
                <pic:spPr bwMode="auto">
                  <a:xfrm>
                    <a:off x="0" y="0"/>
                    <a:ext cx="935990" cy="1170305"/>
                  </a:xfrm>
                  <a:prstGeom prst="rect">
                    <a:avLst/>
                  </a:prstGeom>
                  <a:noFill/>
                </pic:spPr>
              </pic:pic>
            </a:graphicData>
          </a:graphic>
        </wp:anchor>
      </w:drawing>
      <mc:AlternateContent>
        <mc:Choice Requires="wps">
          <w:drawing>
            <wp:anchor behindDoc="1" distT="0" distB="0" distL="0" distR="8890" simplePos="0" locked="0" layoutInCell="1" allowOverlap="1" relativeHeight="28" wp14:anchorId="69EB97E6">
              <wp:simplePos x="0" y="0"/>
              <wp:positionH relativeFrom="column">
                <wp:posOffset>-1038860</wp:posOffset>
              </wp:positionH>
              <wp:positionV relativeFrom="paragraph">
                <wp:posOffset>4496435</wp:posOffset>
              </wp:positionV>
              <wp:extent cx="162560" cy="914400"/>
              <wp:effectExtent l="0" t="0" r="0" b="0"/>
              <wp:wrapNone/>
              <wp:docPr id="2" name="Cuadro de texto 1"/>
              <a:graphic xmlns:a="http://schemas.openxmlformats.org/drawingml/2006/main">
                <a:graphicData uri="http://schemas.microsoft.com/office/word/2010/wordprocessingShape">
                  <wps:wsp>
                    <wps:cNvSpPr/>
                    <wps:spPr>
                      <a:xfrm>
                        <a:off x="0" y="0"/>
                        <a:ext cx="162720" cy="914400"/>
                      </a:xfrm>
                      <a:prstGeom prst="rect">
                        <a:avLst/>
                      </a:prstGeom>
                      <a:solidFill>
                        <a:srgbClr val="ffffff"/>
                      </a:solidFill>
                      <a:ln w="0">
                        <a:noFill/>
                      </a:ln>
                    </wps:spPr>
                    <wps:style>
                      <a:lnRef idx="0"/>
                      <a:fillRef idx="0"/>
                      <a:effectRef idx="0"/>
                      <a:fontRef idx="minor"/>
                    </wps:style>
                    <wps:txbx>
                      <w:txbxContent>
                        <w:p>
                          <w:pPr>
                            <w:pStyle w:val="Contenidodelmarco"/>
                            <w:rPr>
                              <w:rFonts w:ascii="Times New Roman" w:hAnsi="Times New Roman" w:cs="Times New Roman"/>
                              <w:sz w:val="16"/>
                            </w:rPr>
                          </w:pPr>
                          <w:r>
                            <w:rPr>
                              <w:rFonts w:cs="Times New Roman" w:ascii="Times New Roman" w:hAnsi="Times New Roman"/>
                              <w:sz w:val="16"/>
                            </w:rPr>
                            <w:t>C.I.F.: P-1503600-G</w:t>
                          </w:r>
                        </w:p>
                        <w:p>
                          <w:pPr>
                            <w:pStyle w:val="Contenidodelmarco"/>
                            <w:rPr/>
                          </w:pPr>
                          <w:r>
                            <w:rPr/>
                          </w:r>
                        </w:p>
                      </w:txbxContent>
                    </wps:txbx>
                    <wps:bodyPr lIns="0" rIns="0" tIns="0" bIns="0" anchor="t" vert="vert270" upright="1">
                      <a:noAutofit/>
                    </wps:bodyPr>
                  </wps:wsp>
                </a:graphicData>
              </a:graphic>
            </wp:anchor>
          </w:drawing>
        </mc:Choice>
        <mc:Fallback>
          <w:pict>
            <v:rect id="shape_0" ID="Cuadro de texto 1" path="m0,0l-2147483645,0l-2147483645,-2147483646l0,-2147483646xe" fillcolor="white" stroked="f" o:allowincell="f" style="position:absolute;margin-left:-81.8pt;margin-top:354.05pt;width:12.75pt;height:71.95pt;mso-wrap-style:square;v-text-anchor:top" wp14:anchorId="69EB97E6">
              <v:fill o:detectmouseclick="t" type="solid" color2="black"/>
              <v:stroke color="#3465a4" joinstyle="round" endcap="flat"/>
              <v:textbox style="mso-layout-flow-alt:bottom-to-top">
                <w:txbxContent>
                  <w:p>
                    <w:pPr>
                      <w:pStyle w:val="Contenidodelmarco"/>
                      <w:rPr>
                        <w:rFonts w:ascii="Times New Roman" w:hAnsi="Times New Roman" w:cs="Times New Roman"/>
                        <w:sz w:val="16"/>
                      </w:rPr>
                    </w:pPr>
                    <w:r>
                      <w:rPr>
                        <w:rFonts w:cs="Times New Roman" w:ascii="Times New Roman" w:hAnsi="Times New Roman"/>
                        <w:sz w:val="16"/>
                      </w:rPr>
                      <w:t>C.I.F.: P-1503600-G</w:t>
                    </w:r>
                  </w:p>
                  <w:p>
                    <w:pPr>
                      <w:pStyle w:val="Contenidodelmarco"/>
                      <w:rPr/>
                    </w:pPr>
                    <w:r>
                      <w:rPr/>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drawing>
        <wp:anchor behindDoc="1" distT="0" distB="0" distL="114300" distR="114300" simplePos="0" locked="0" layoutInCell="0" allowOverlap="1" relativeHeight="21">
          <wp:simplePos x="0" y="0"/>
          <wp:positionH relativeFrom="page">
            <wp:posOffset>180340</wp:posOffset>
          </wp:positionH>
          <wp:positionV relativeFrom="page">
            <wp:posOffset>252095</wp:posOffset>
          </wp:positionV>
          <wp:extent cx="935990" cy="1170305"/>
          <wp:effectExtent l="0" t="0" r="0" b="0"/>
          <wp:wrapSquare wrapText="bothSides"/>
          <wp:docPr id="3"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
                  <pic:cNvPicPr>
                    <a:picLocks noChangeAspect="1" noChangeArrowheads="1"/>
                  </pic:cNvPicPr>
                </pic:nvPicPr>
                <pic:blipFill>
                  <a:blip r:embed="rId1"/>
                  <a:stretch>
                    <a:fillRect/>
                  </a:stretch>
                </pic:blipFill>
                <pic:spPr bwMode="auto">
                  <a:xfrm>
                    <a:off x="0" y="0"/>
                    <a:ext cx="935990" cy="1170305"/>
                  </a:xfrm>
                  <a:prstGeom prst="rect">
                    <a:avLst/>
                  </a:prstGeom>
                  <a:noFill/>
                </pic:spPr>
              </pic:pic>
            </a:graphicData>
          </a:graphic>
        </wp:anchor>
      </w:drawing>
      <mc:AlternateContent>
        <mc:Choice Requires="wps">
          <w:drawing>
            <wp:anchor behindDoc="1" distT="0" distB="0" distL="0" distR="8890" simplePos="0" locked="0" layoutInCell="1" allowOverlap="1" relativeHeight="28" wp14:anchorId="69EB97E6">
              <wp:simplePos x="0" y="0"/>
              <wp:positionH relativeFrom="column">
                <wp:posOffset>-1038860</wp:posOffset>
              </wp:positionH>
              <wp:positionV relativeFrom="paragraph">
                <wp:posOffset>4496435</wp:posOffset>
              </wp:positionV>
              <wp:extent cx="162560" cy="914400"/>
              <wp:effectExtent l="0" t="0" r="0" b="0"/>
              <wp:wrapNone/>
              <wp:docPr id="4" name="Cuadro de texto 1"/>
              <a:graphic xmlns:a="http://schemas.openxmlformats.org/drawingml/2006/main">
                <a:graphicData uri="http://schemas.microsoft.com/office/word/2010/wordprocessingShape">
                  <wps:wsp>
                    <wps:cNvSpPr/>
                    <wps:spPr>
                      <a:xfrm>
                        <a:off x="0" y="0"/>
                        <a:ext cx="162720" cy="914400"/>
                      </a:xfrm>
                      <a:prstGeom prst="rect">
                        <a:avLst/>
                      </a:prstGeom>
                      <a:solidFill>
                        <a:srgbClr val="ffffff"/>
                      </a:solidFill>
                      <a:ln w="0">
                        <a:noFill/>
                      </a:ln>
                    </wps:spPr>
                    <wps:style>
                      <a:lnRef idx="0"/>
                      <a:fillRef idx="0"/>
                      <a:effectRef idx="0"/>
                      <a:fontRef idx="minor"/>
                    </wps:style>
                    <wps:txbx>
                      <w:txbxContent>
                        <w:p>
                          <w:pPr>
                            <w:pStyle w:val="Contenidodelmarco"/>
                            <w:rPr>
                              <w:rFonts w:ascii="Times New Roman" w:hAnsi="Times New Roman" w:cs="Times New Roman"/>
                              <w:sz w:val="16"/>
                            </w:rPr>
                          </w:pPr>
                          <w:r>
                            <w:rPr>
                              <w:rFonts w:cs="Times New Roman" w:ascii="Times New Roman" w:hAnsi="Times New Roman"/>
                              <w:sz w:val="16"/>
                            </w:rPr>
                            <w:t>C.I.F.: P-1503600-G</w:t>
                          </w:r>
                        </w:p>
                        <w:p>
                          <w:pPr>
                            <w:pStyle w:val="Contenidodelmarco"/>
                            <w:rPr/>
                          </w:pPr>
                          <w:r>
                            <w:rPr/>
                          </w:r>
                        </w:p>
                      </w:txbxContent>
                    </wps:txbx>
                    <wps:bodyPr lIns="0" rIns="0" tIns="0" bIns="0" anchor="t" vert="vert270" upright="1">
                      <a:noAutofit/>
                    </wps:bodyPr>
                  </wps:wsp>
                </a:graphicData>
              </a:graphic>
            </wp:anchor>
          </w:drawing>
        </mc:Choice>
        <mc:Fallback>
          <w:pict>
            <v:rect id="shape_0" ID="Cuadro de texto 1" path="m0,0l-2147483645,0l-2147483645,-2147483646l0,-2147483646xe" fillcolor="white" stroked="f" o:allowincell="f" style="position:absolute;margin-left:-81.8pt;margin-top:354.05pt;width:12.75pt;height:71.95pt;mso-wrap-style:square;v-text-anchor:top" wp14:anchorId="69EB97E6">
              <v:fill o:detectmouseclick="t" type="solid" color2="black"/>
              <v:stroke color="#3465a4" joinstyle="round" endcap="flat"/>
              <v:textbox style="mso-layout-flow-alt:bottom-to-top">
                <w:txbxContent>
                  <w:p>
                    <w:pPr>
                      <w:pStyle w:val="Contenidodelmarco"/>
                      <w:rPr>
                        <w:rFonts w:ascii="Times New Roman" w:hAnsi="Times New Roman" w:cs="Times New Roman"/>
                        <w:sz w:val="16"/>
                      </w:rPr>
                    </w:pPr>
                    <w:r>
                      <w:rPr>
                        <w:rFonts w:cs="Times New Roman" w:ascii="Times New Roman" w:hAnsi="Times New Roman"/>
                        <w:sz w:val="16"/>
                      </w:rPr>
                      <w:t>C.I.F.: P-1503600-G</w:t>
                    </w:r>
                  </w:p>
                  <w:p>
                    <w:pPr>
                      <w:pStyle w:val="Contenidodelmarco"/>
                      <w:rPr/>
                    </w:pPr>
                    <w:r>
                      <w:rPr/>
                    </w:r>
                  </w:p>
                </w:txbxContent>
              </v:textbox>
              <w10:wrap type="none"/>
            </v:rect>
          </w:pict>
        </mc:Fallback>
      </mc:AlternateContent>
    </w:r>
  </w:p>
</w:hdr>
</file>

<file path=word/settings.xml><?xml version="1.0" encoding="utf-8"?>
<w:settings xmlns:w="http://schemas.openxmlformats.org/wordprocessingml/2006/main">
  <w:zoom w:percent="13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zh-TW"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Verdana" w:hAnsi="Verdana" w:eastAsia="新細明體" w:cs="Arial" w:cstheme="minorBidi" w:eastAsiaTheme="minorEastAsia"/>
        <w:sz w:val="18"/>
        <w:szCs w:val="18"/>
        <w:lang w:val="es-ES" w:eastAsia="zh-TW"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15ffe"/>
    <w:pPr>
      <w:widowControl/>
      <w:bidi w:val="0"/>
      <w:spacing w:lineRule="auto" w:line="240" w:before="0" w:after="0"/>
      <w:jc w:val="both"/>
    </w:pPr>
    <w:rPr>
      <w:rFonts w:ascii="Verdana" w:hAnsi="Verdana" w:eastAsia="新細明體" w:cs="Arial" w:cstheme="minorBidi" w:eastAsiaTheme="minorEastAsia"/>
      <w:color w:val="auto"/>
      <w:kern w:val="0"/>
      <w:sz w:val="18"/>
      <w:szCs w:val="18"/>
      <w:lang w:val="gl-ES" w:eastAsia="zh-TW"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BalloonText"/>
    <w:uiPriority w:val="99"/>
    <w:semiHidden/>
    <w:qFormat/>
    <w:rsid w:val="00c520e4"/>
    <w:rPr>
      <w:rFonts w:ascii="Segoe UI" w:hAnsi="Segoe UI" w:cs="Segoe UI"/>
      <w:sz w:val="18"/>
      <w:szCs w:val="18"/>
    </w:rPr>
  </w:style>
  <w:style w:type="character" w:styleId="EncabezadoCar" w:customStyle="1">
    <w:name w:val="Encabezado Car"/>
    <w:basedOn w:val="DefaultParagraphFont"/>
    <w:uiPriority w:val="99"/>
    <w:qFormat/>
    <w:rsid w:val="007a23ed"/>
    <w:rPr/>
  </w:style>
  <w:style w:type="character" w:styleId="PiedepginaCar" w:customStyle="1">
    <w:name w:val="Pie de página Car"/>
    <w:basedOn w:val="DefaultParagraphFont"/>
    <w:uiPriority w:val="99"/>
    <w:qFormat/>
    <w:rsid w:val="007a23ed"/>
    <w:rPr/>
  </w:style>
  <w:style w:type="character" w:styleId="PageNumber">
    <w:name w:val="page number"/>
    <w:basedOn w:val="DefaultParagraphFont"/>
    <w:rsid w:val="00d1500f"/>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BalloonText">
    <w:name w:val="Balloon Text"/>
    <w:basedOn w:val="Normal"/>
    <w:link w:val="TextodegloboCar"/>
    <w:uiPriority w:val="99"/>
    <w:semiHidden/>
    <w:unhideWhenUsed/>
    <w:qFormat/>
    <w:rsid w:val="00c520e4"/>
    <w:pPr/>
    <w:rPr>
      <w:rFonts w:ascii="Segoe UI" w:hAnsi="Segoe UI" w:cs="Segoe UI"/>
    </w:rPr>
  </w:style>
  <w:style w:type="paragraph" w:styleId="Cabeceraypie">
    <w:name w:val="Cabecera y pie"/>
    <w:basedOn w:val="Normal"/>
    <w:qFormat/>
    <w:pPr/>
    <w:rPr/>
  </w:style>
  <w:style w:type="paragraph" w:styleId="Header">
    <w:name w:val="header"/>
    <w:basedOn w:val="Normal"/>
    <w:link w:val="EncabezadoCar"/>
    <w:uiPriority w:val="99"/>
    <w:unhideWhenUsed/>
    <w:rsid w:val="007a23ed"/>
    <w:pPr>
      <w:tabs>
        <w:tab w:val="clear" w:pos="708"/>
        <w:tab w:val="center" w:pos="4252" w:leader="none"/>
        <w:tab w:val="right" w:pos="8504" w:leader="none"/>
      </w:tabs>
    </w:pPr>
    <w:rPr/>
  </w:style>
  <w:style w:type="paragraph" w:styleId="Footer">
    <w:name w:val="footer"/>
    <w:basedOn w:val="Normal"/>
    <w:link w:val="PiedepginaCar"/>
    <w:unhideWhenUsed/>
    <w:rsid w:val="007a23ed"/>
    <w:pPr>
      <w:tabs>
        <w:tab w:val="clear" w:pos="708"/>
        <w:tab w:val="center" w:pos="4252" w:leader="none"/>
        <w:tab w:val="right" w:pos="8504" w:leader="none"/>
      </w:tabs>
    </w:pPr>
    <w:rPr/>
  </w:style>
  <w:style w:type="paragraph" w:styleId="NormalWeb">
    <w:name w:val="Normal (Web)"/>
    <w:basedOn w:val="Normal"/>
    <w:qFormat/>
    <w:rsid w:val="00ab16c9"/>
    <w:pPr>
      <w:spacing w:beforeAutospacing="1" w:afterAutospacing="1"/>
      <w:jc w:val="left"/>
    </w:pPr>
    <w:rPr>
      <w:rFonts w:ascii="Times New Roman" w:hAnsi="Times New Roman" w:eastAsia="Times New Roman" w:cs="Times New Roman"/>
      <w:sz w:val="24"/>
      <w:szCs w:val="24"/>
      <w:lang w:val="es-ES" w:eastAsia="es-ES"/>
    </w:rPr>
  </w:style>
  <w:style w:type="paragraph" w:styleId="ListParagraph">
    <w:name w:val="List Paragraph"/>
    <w:basedOn w:val="Normal"/>
    <w:uiPriority w:val="34"/>
    <w:qFormat/>
    <w:rsid w:val="00084b96"/>
    <w:pPr>
      <w:spacing w:before="0" w:after="0"/>
      <w:ind w:left="720"/>
      <w:contextualSpacing/>
    </w:pPr>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0731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4CF4-BAFF-4EC1-8339-5B9CF547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Application>LibreOffice/24.8.0.3$Windows_X86_64 LibreOffice_project/0bdf1299c94fe897b119f97f3c613e9dca6be583</Application>
  <AppVersion>15.0000</AppVersion>
  <Pages>6</Pages>
  <Words>2387</Words>
  <Characters>12612</Characters>
  <CharactersWithSpaces>14951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2015-03-23T11:18:00Z</dcterms:created>
  <dc:creator>Fernando Horjales</dc:creator>
  <dc:description/>
  <dc:language>es-ES</dc:language>
  <cp:lastModifiedBy>Yolanda Cinza</cp:lastModifiedBy>
  <cp:lastPrinted>2023-02-21T15:02:00Z</cp:lastPrinted>
  <dcterms:modified xsi:type="dcterms:W3CDTF">2024-10-15T10:49:00Z</dcterms:modified>
  <cp:revision>88</cp:revision>
  <dc:subject/>
  <dc:title/>
</cp:coreProperties>
</file>

<file path=docProps/custom.xml><?xml version="1.0" encoding="utf-8"?>
<Properties xmlns="http://schemas.openxmlformats.org/officeDocument/2006/custom-properties" xmlns:vt="http://schemas.openxmlformats.org/officeDocument/2006/docPropsVTypes"/>
</file>