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stndar"/>
        <w:bidi w:val="0"/>
        <w:spacing w:lineRule="auto" w:line="276" w:before="0" w:after="283"/>
        <w:jc w:val="both"/>
        <w:rPr>
          <w:rFonts w:ascii="Trebuchet MS" w:hAnsi="Trebuchet MS" w:cs="Trebuchet MS"/>
          <w:b w:val="false"/>
          <w:b w:val="false"/>
          <w:bCs w:val="false"/>
          <w:i w:val="false"/>
          <w:i w:val="false"/>
          <w:iCs w:val="false"/>
          <w:sz w:val="22"/>
          <w:szCs w:val="22"/>
          <w:shd w:fill="auto" w:val="clear"/>
          <w:lang w:val="gl-ES"/>
        </w:rPr>
      </w:pPr>
      <w:r>
        <w:rPr>
          <w:rFonts w:cs="Trebuchet MS" w:ascii="Trebuchet MS" w:hAnsi="Trebuchet MS"/>
          <w:b w:val="false"/>
          <w:bCs w:val="false"/>
          <w:i w:val="false"/>
          <w:iCs w:val="false"/>
          <w:sz w:val="22"/>
          <w:szCs w:val="22"/>
          <w:shd w:fill="auto" w:val="clear"/>
          <w:lang w:val="gl-ES"/>
        </w:rPr>
      </w:r>
    </w:p>
    <w:p>
      <w:pPr>
        <w:pStyle w:val="Estndar"/>
        <w:bidi w:val="0"/>
        <w:spacing w:lineRule="auto" w:line="276" w:before="0" w:after="283"/>
        <w:jc w:val="both"/>
        <w:rPr>
          <w:rFonts w:ascii="Trebuchet MS" w:hAnsi="Trebuchet MS" w:cs="Trebuchet MS"/>
          <w:b/>
          <w:b/>
          <w:bCs/>
          <w:i w:val="false"/>
          <w:i w:val="false"/>
          <w:iCs w:val="false"/>
          <w:sz w:val="22"/>
          <w:szCs w:val="22"/>
          <w:shd w:fill="auto" w:val="clear"/>
          <w:lang w:val="gl-ES"/>
        </w:rPr>
      </w:pPr>
      <w:r>
        <w:rPr>
          <w:rFonts w:cs="Trebuchet MS" w:ascii="Trebuchet MS" w:hAnsi="Trebuchet MS"/>
          <w:b/>
          <w:bCs/>
          <w:i w:val="false"/>
          <w:iCs w:val="false"/>
          <w:sz w:val="22"/>
          <w:szCs w:val="22"/>
          <w:shd w:fill="auto" w:val="clear"/>
          <w:lang w:val="gl-ES"/>
        </w:rPr>
        <w:drawing>
          <wp:inline distT="0" distB="0" distL="0" distR="0">
            <wp:extent cx="697230" cy="697230"/>
            <wp:effectExtent l="0" t="0" r="0" b="0"/>
            <wp:docPr id="1" name="Imagen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38" t="-38" r="-38" b="-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" cy="697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Estndar"/>
        <w:bidi w:val="0"/>
        <w:spacing w:lineRule="auto" w:line="276" w:before="0" w:after="283"/>
        <w:jc w:val="both"/>
        <w:rPr>
          <w:rFonts w:ascii="Trebuchet MS" w:hAnsi="Trebuchet MS" w:cs="Trebuchet MS"/>
          <w:b/>
          <w:b/>
          <w:bCs/>
          <w:i w:val="false"/>
          <w:i w:val="false"/>
          <w:iCs w:val="false"/>
          <w:sz w:val="22"/>
          <w:szCs w:val="22"/>
          <w:shd w:fill="auto" w:val="clear"/>
          <w:lang w:val="gl-ES"/>
        </w:rPr>
      </w:pPr>
      <w:r>
        <w:rPr>
          <w:rFonts w:cs="Trebuchet MS" w:ascii="Trebuchet MS" w:hAnsi="Trebuchet MS"/>
          <w:b/>
          <w:bCs/>
          <w:i w:val="false"/>
          <w:iCs w:val="false"/>
          <w:sz w:val="22"/>
          <w:szCs w:val="22"/>
          <w:shd w:fill="auto" w:val="clear"/>
          <w:lang w:val="gl-ES"/>
        </w:rPr>
        <w:t xml:space="preserve">orzamento 2023 e orzamento 2024 </w:t>
      </w:r>
    </w:p>
    <w:p>
      <w:pPr>
        <w:pStyle w:val="Estndar"/>
        <w:bidi w:val="0"/>
        <w:spacing w:lineRule="auto" w:line="276" w:before="0" w:after="283"/>
        <w:jc w:val="both"/>
        <w:rPr>
          <w:rFonts w:ascii="Trebuchet MS" w:hAnsi="Trebuchet MS" w:cs="Trebuchet MS"/>
          <w:b w:val="false"/>
          <w:b w:val="false"/>
          <w:bCs w:val="false"/>
          <w:i w:val="false"/>
          <w:i w:val="false"/>
          <w:iCs w:val="false"/>
          <w:sz w:val="22"/>
          <w:szCs w:val="22"/>
          <w:shd w:fill="auto" w:val="clear"/>
          <w:lang w:val="gl-ES"/>
        </w:rPr>
      </w:pPr>
      <w:r>
        <w:rPr>
          <w:rFonts w:cs="Trebuchet MS" w:ascii="Trebuchet MS" w:hAnsi="Trebuchet MS"/>
          <w:b w:val="false"/>
          <w:bCs w:val="false"/>
          <w:i w:val="false"/>
          <w:iCs w:val="false"/>
          <w:sz w:val="22"/>
          <w:szCs w:val="22"/>
          <w:shd w:fill="auto" w:val="clear"/>
          <w:lang w:val="gl-ES"/>
        </w:rPr>
        <w:t>Título IX. RETRIBUCIÓNS DEDICACIÓNS EXCLUSIVAS. INDEMNIZACIÓNS MEMBROS DA CORPORACIÓN. ASIGNACIÓNS A GRUPOS POLÍTICOS. OUTRAS INDEMNIZACIÓNS.</w:t>
      </w:r>
    </w:p>
    <w:p>
      <w:pPr>
        <w:pStyle w:val="Normal"/>
        <w:tabs>
          <w:tab w:val="clear" w:pos="709"/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bidi w:val="0"/>
        <w:spacing w:lineRule="auto" w:line="276" w:before="0" w:after="283"/>
        <w:jc w:val="both"/>
        <w:rPr/>
      </w:pPr>
      <w:r>
        <w:rPr>
          <w:rFonts w:eastAsia="Lucida Sans Unicode" w:cs="Trebuchet MS" w:ascii="Trebuchet MS" w:hAnsi="Trebuchet MS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2"/>
          <w:szCs w:val="22"/>
          <w:u w:val="single"/>
          <w:shd w:fill="auto" w:val="clear"/>
          <w:lang w:val="gl-ES" w:eastAsia="zxx" w:bidi="zxx"/>
        </w:rPr>
        <w:t>(...)</w:t>
      </w:r>
    </w:p>
    <w:p>
      <w:pPr>
        <w:pStyle w:val="Estndar"/>
        <w:tabs>
          <w:tab w:val="clear" w:pos="709"/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bidi w:val="0"/>
        <w:spacing w:lineRule="auto" w:line="276" w:before="0" w:after="283"/>
        <w:jc w:val="both"/>
        <w:rPr/>
      </w:pPr>
      <w:r>
        <w:rPr>
          <w:rFonts w:cs="Trebuchet MS" w:ascii="Trebuchet MS" w:hAnsi="Trebuchet MS"/>
          <w:b w:val="false"/>
          <w:bCs w:val="false"/>
          <w:sz w:val="22"/>
          <w:szCs w:val="22"/>
          <w:u w:val="single"/>
          <w:shd w:fill="auto" w:val="clear"/>
          <w:lang w:val="gl-ES"/>
        </w:rPr>
        <w:t>BASE 43. Asignacións aos grupos políticos</w:t>
      </w:r>
      <w:r>
        <w:rPr>
          <w:rFonts w:cs="Trebuchet MS" w:ascii="Trebuchet MS" w:hAnsi="Trebuchet MS"/>
          <w:b w:val="false"/>
          <w:bCs w:val="false"/>
          <w:sz w:val="22"/>
          <w:szCs w:val="22"/>
          <w:u w:val="none"/>
          <w:shd w:fill="auto" w:val="clear"/>
          <w:lang w:val="gl-ES"/>
        </w:rPr>
        <w:t>.</w:t>
      </w:r>
    </w:p>
    <w:p>
      <w:pPr>
        <w:pStyle w:val="Textopredeterminado"/>
        <w:tabs>
          <w:tab w:val="clear" w:pos="709"/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bidi w:val="0"/>
        <w:spacing w:lineRule="auto" w:line="276" w:before="0" w:after="283"/>
        <w:jc w:val="both"/>
        <w:rPr/>
      </w:pPr>
      <w:r>
        <w:rPr>
          <w:rFonts w:cs="Trebuchet MS" w:ascii="Trebuchet MS" w:hAnsi="Trebuchet MS"/>
          <w:b w:val="false"/>
          <w:bCs w:val="false"/>
          <w:sz w:val="22"/>
          <w:szCs w:val="22"/>
          <w:u w:val="none"/>
          <w:lang w:val="gl-ES"/>
        </w:rPr>
        <w:t xml:space="preserve">1. </w:t>
      </w:r>
      <w:r>
        <w:rPr>
          <w:rFonts w:cs="Trebuchet MS" w:ascii="Trebuchet MS" w:hAnsi="Trebuchet MS"/>
          <w:sz w:val="22"/>
          <w:szCs w:val="22"/>
          <w:lang w:val="gl-ES"/>
        </w:rPr>
        <w:t>Virán determinadas por unha co</w:t>
      </w:r>
      <w:r>
        <w:rPr>
          <w:rFonts w:cs="Trebuchet MS" w:ascii="Trebuchet MS" w:hAnsi="Trebuchet MS"/>
          <w:b w:val="false"/>
          <w:bCs w:val="false"/>
          <w:i w:val="false"/>
          <w:iCs w:val="false"/>
          <w:sz w:val="22"/>
          <w:szCs w:val="22"/>
          <w:lang w:val="gl-ES"/>
        </w:rPr>
        <w:t>ta fixa e unha cota variable.</w:t>
      </w:r>
      <w:r>
        <w:rPr>
          <w:rFonts w:cs="Trebuchet MS" w:ascii="Trebuchet MS" w:hAnsi="Trebuchet MS"/>
          <w:sz w:val="22"/>
          <w:szCs w:val="22"/>
          <w:lang w:val="gl-ES"/>
        </w:rPr>
        <w:t xml:space="preserve"> En aplicación do disposto no artigo 73.3 da Lei 7/1985, de 2 de abril, modificado pola Lei 57/2003, de 16 de decembro, de medidas para a modernización do Goberno Local, asígnase aos distintos grupos políticos da Corporación unha dotación económica que constará de: </w:t>
      </w:r>
    </w:p>
    <w:tbl>
      <w:tblPr>
        <w:tblW w:w="6180" w:type="dxa"/>
        <w:jc w:val="center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555"/>
        <w:gridCol w:w="3625"/>
      </w:tblGrid>
      <w:tr>
        <w:trPr/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jc w:val="both"/>
              <w:rPr>
                <w:rFonts w:ascii="Trebuchet MS" w:hAnsi="Trebuchet MS" w:cs="Trebuchet MS"/>
                <w:sz w:val="22"/>
                <w:szCs w:val="22"/>
                <w:lang w:val="gl-ES"/>
              </w:rPr>
            </w:pPr>
            <w:r>
              <w:rPr>
                <w:rFonts w:cs="Trebuchet MS" w:ascii="Trebuchet MS" w:hAnsi="Trebuchet MS"/>
                <w:sz w:val="22"/>
                <w:szCs w:val="22"/>
                <w:lang w:val="gl-ES"/>
              </w:rPr>
              <w:t>COMPOÑENTE FIXA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idodelatabla"/>
              <w:bidi w:val="0"/>
              <w:jc w:val="both"/>
              <w:rPr>
                <w:rFonts w:ascii="Trebuchet MS" w:hAnsi="Trebuchet MS" w:cs="Trebuchet MS"/>
                <w:sz w:val="22"/>
                <w:szCs w:val="22"/>
                <w:lang w:val="gl-ES"/>
              </w:rPr>
            </w:pPr>
            <w:r>
              <w:rPr>
                <w:rFonts w:cs="Trebuchet MS" w:ascii="Trebuchet MS" w:hAnsi="Trebuchet MS"/>
                <w:sz w:val="22"/>
                <w:szCs w:val="22"/>
                <w:lang w:val="gl-ES"/>
              </w:rPr>
              <w:t>100,00 euros por grupo e mes</w:t>
            </w:r>
          </w:p>
        </w:tc>
      </w:tr>
      <w:tr>
        <w:trPr/>
        <w:tc>
          <w:tcPr>
            <w:tcW w:w="25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jc w:val="both"/>
              <w:rPr>
                <w:rFonts w:ascii="Trebuchet MS" w:hAnsi="Trebuchet MS" w:cs="Trebuchet MS"/>
                <w:sz w:val="22"/>
                <w:szCs w:val="22"/>
                <w:lang w:val="gl-ES"/>
              </w:rPr>
            </w:pPr>
            <w:r>
              <w:rPr>
                <w:rFonts w:cs="Trebuchet MS" w:ascii="Trebuchet MS" w:hAnsi="Trebuchet MS"/>
                <w:sz w:val="22"/>
                <w:szCs w:val="22"/>
                <w:lang w:val="gl-ES"/>
              </w:rPr>
              <w:t>COMPOÑENTE VARIABLE</w:t>
            </w:r>
          </w:p>
        </w:tc>
        <w:tc>
          <w:tcPr>
            <w:tcW w:w="3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idodelatabla"/>
              <w:bidi w:val="0"/>
              <w:jc w:val="both"/>
              <w:rPr>
                <w:rFonts w:ascii="Trebuchet MS" w:hAnsi="Trebuchet MS" w:cs="Trebuchet MS"/>
                <w:sz w:val="22"/>
                <w:szCs w:val="22"/>
                <w:lang w:val="gl-ES"/>
              </w:rPr>
            </w:pPr>
            <w:r>
              <w:rPr>
                <w:rFonts w:cs="Trebuchet MS" w:ascii="Trebuchet MS" w:hAnsi="Trebuchet MS"/>
                <w:sz w:val="22"/>
                <w:szCs w:val="22"/>
                <w:lang w:val="gl-ES"/>
              </w:rPr>
              <w:t>50,00 euros por concelleiro e mes.</w:t>
            </w:r>
          </w:p>
        </w:tc>
      </w:tr>
    </w:tbl>
    <w:p>
      <w:pPr>
        <w:pStyle w:val="Textopredeterminado"/>
        <w:tabs>
          <w:tab w:val="clear" w:pos="709"/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bidi w:val="0"/>
        <w:spacing w:lineRule="auto" w:line="276" w:before="0" w:after="283"/>
        <w:jc w:val="both"/>
        <w:rPr>
          <w:sz w:val="22"/>
          <w:szCs w:val="22"/>
          <w:lang w:val="gl-ES"/>
        </w:rPr>
      </w:pPr>
      <w:r>
        <w:rPr>
          <w:sz w:val="22"/>
          <w:szCs w:val="22"/>
          <w:lang w:val="gl-ES"/>
        </w:rPr>
      </w:r>
    </w:p>
    <w:p>
      <w:pPr>
        <w:pStyle w:val="Textopredeterminado"/>
        <w:tabs>
          <w:tab w:val="clear" w:pos="709"/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bidi w:val="0"/>
        <w:spacing w:lineRule="auto" w:line="276" w:before="0" w:after="283"/>
        <w:jc w:val="both"/>
        <w:rPr/>
      </w:pPr>
      <w:r>
        <w:rPr>
          <w:rFonts w:cs="Trebuchet MS" w:ascii="Trebuchet MS" w:hAnsi="Trebuchet MS"/>
          <w:sz w:val="22"/>
          <w:szCs w:val="22"/>
          <w:shd w:fill="auto" w:val="clear"/>
          <w:lang w:val="gl-ES"/>
        </w:rPr>
        <w:t xml:space="preserve">2. Nos anos electorais, de existir cambios, calcularanse as cantidades </w:t>
      </w:r>
      <w:r>
        <w:rPr>
          <w:rFonts w:eastAsia="Times New Roman" w:cs="Trebuchet MS" w:ascii="Trebuchet MS" w:hAnsi="Trebuchet MS"/>
          <w:color w:val="000000"/>
          <w:kern w:val="2"/>
          <w:sz w:val="22"/>
          <w:szCs w:val="22"/>
          <w:shd w:fill="auto" w:val="clear"/>
          <w:lang w:val="gl-ES" w:eastAsia="zh-CN" w:bidi="ar-SA"/>
        </w:rPr>
        <w:t>en proporción ao tempo afectado.</w:t>
      </w:r>
    </w:p>
    <w:p>
      <w:pPr>
        <w:pStyle w:val="Estndar"/>
        <w:tabs>
          <w:tab w:val="clear" w:pos="709"/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bidi w:val="0"/>
        <w:spacing w:lineRule="auto" w:line="276" w:before="0" w:after="283"/>
        <w:jc w:val="both"/>
        <w:rPr/>
      </w:pPr>
      <w:r>
        <w:rPr>
          <w:rFonts w:cs="Trebuchet MS" w:ascii="Trebuchet MS" w:hAnsi="Trebuchet MS"/>
          <w:b w:val="false"/>
          <w:bCs w:val="false"/>
          <w:sz w:val="22"/>
          <w:szCs w:val="22"/>
          <w:lang w:val="gl-ES"/>
        </w:rPr>
        <w:t xml:space="preserve">3. </w:t>
      </w:r>
      <w:r>
        <w:rPr>
          <w:rFonts w:cs="Trebuchet MS" w:ascii="Trebuchet MS" w:hAnsi="Trebuchet MS"/>
          <w:b w:val="false"/>
          <w:bCs w:val="false"/>
          <w:i w:val="false"/>
          <w:iCs w:val="false"/>
          <w:sz w:val="22"/>
          <w:szCs w:val="22"/>
          <w:lang w:val="gl-ES"/>
        </w:rPr>
        <w:t>Limitacións.</w:t>
      </w:r>
      <w:r>
        <w:rPr>
          <w:rFonts w:cs="Trebuchet MS" w:ascii="Trebuchet MS" w:hAnsi="Trebuchet MS"/>
          <w:b/>
          <w:sz w:val="22"/>
          <w:szCs w:val="22"/>
          <w:lang w:val="gl-ES"/>
        </w:rPr>
        <w:t xml:space="preserve"> </w:t>
      </w:r>
      <w:r>
        <w:rPr>
          <w:rFonts w:cs="Trebuchet MS" w:ascii="Trebuchet MS" w:hAnsi="Trebuchet MS"/>
          <w:sz w:val="22"/>
          <w:szCs w:val="22"/>
          <w:lang w:val="gl-ES"/>
        </w:rPr>
        <w:t xml:space="preserve">A contía que perciban os distintos grupos políticos non poderá adicarse ao pagamento de remuneracións de persoal de calquera tipo ao servizo da corporación ou a adquisición de bens que poidan constituír activos fixos de carácter patrimonial. </w:t>
      </w:r>
    </w:p>
    <w:p>
      <w:pPr>
        <w:pStyle w:val="Estndar"/>
        <w:tabs>
          <w:tab w:val="clear" w:pos="709"/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bidi w:val="0"/>
        <w:spacing w:lineRule="auto" w:line="276" w:before="0" w:after="283"/>
        <w:jc w:val="both"/>
        <w:rPr/>
      </w:pPr>
      <w:r>
        <w:rPr>
          <w:rFonts w:cs="Trebuchet MS" w:ascii="Trebuchet MS" w:hAnsi="Trebuchet MS"/>
          <w:b w:val="false"/>
          <w:bCs w:val="false"/>
          <w:i w:val="false"/>
          <w:iCs w:val="false"/>
          <w:sz w:val="22"/>
          <w:szCs w:val="22"/>
          <w:lang w:val="gl-ES"/>
        </w:rPr>
        <w:t xml:space="preserve">4. Obrigas. </w:t>
      </w:r>
      <w:r>
        <w:rPr>
          <w:rFonts w:cs="Trebuchet MS" w:ascii="Trebuchet MS" w:hAnsi="Trebuchet MS"/>
          <w:sz w:val="22"/>
          <w:szCs w:val="22"/>
          <w:lang w:val="gl-ES"/>
        </w:rPr>
        <w:t>Establécese a o</w:t>
      </w:r>
      <w:r>
        <w:rPr>
          <w:rFonts w:cs="Trebuchet MS" w:ascii="Trebuchet MS" w:hAnsi="Trebuchet MS"/>
          <w:sz w:val="22"/>
          <w:szCs w:val="22"/>
          <w:shd w:fill="auto" w:val="clear"/>
          <w:lang w:val="gl-ES"/>
        </w:rPr>
        <w:t>briga de que cada grupo deberá levar unha contabilidade específica da dotación económica descrita, que porá a disposición do Pleno da Corporación sempre que este o solicite. Con esta finalidade, cada grupo deberá ter asignado un número de identificación fiscal, independente do número do partido de referencia.</w:t>
      </w:r>
    </w:p>
    <w:p>
      <w:pPr>
        <w:pStyle w:val="Estndar"/>
        <w:tabs>
          <w:tab w:val="clear" w:pos="709"/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bidi w:val="0"/>
        <w:spacing w:lineRule="auto" w:line="276" w:before="0" w:after="283"/>
        <w:jc w:val="both"/>
        <w:rPr/>
      </w:pPr>
      <w:r>
        <w:rPr>
          <w:rFonts w:cs="Trebuchet MS" w:ascii="Trebuchet MS" w:hAnsi="Trebuchet MS"/>
          <w:b w:val="false"/>
          <w:bCs w:val="false"/>
          <w:i w:val="false"/>
          <w:iCs w:val="false"/>
          <w:sz w:val="22"/>
          <w:szCs w:val="22"/>
          <w:shd w:fill="auto" w:val="clear"/>
          <w:lang w:val="gl-ES"/>
        </w:rPr>
        <w:t>5. Xustificacións.</w:t>
      </w:r>
      <w:r>
        <w:rPr>
          <w:rFonts w:cs="Trebuchet MS" w:ascii="Trebuchet MS" w:hAnsi="Trebuchet MS"/>
          <w:sz w:val="22"/>
          <w:szCs w:val="22"/>
          <w:shd w:fill="auto" w:val="clear"/>
          <w:lang w:val="gl-ES"/>
        </w:rPr>
        <w:t xml:space="preserve"> As subvencións a grupos políticos deberán xustificarse</w:t>
      </w:r>
      <w:r>
        <w:rPr>
          <w:rFonts w:cs="Trebuchet MS" w:ascii="Trebuchet MS" w:hAnsi="Trebuchet MS"/>
          <w:b/>
          <w:i/>
          <w:sz w:val="22"/>
          <w:szCs w:val="22"/>
          <w:shd w:fill="auto" w:val="clear"/>
          <w:lang w:val="gl-ES"/>
        </w:rPr>
        <w:t xml:space="preserve"> </w:t>
      </w:r>
      <w:r>
        <w:rPr>
          <w:rFonts w:cs="Trebuchet MS" w:ascii="Trebuchet MS" w:hAnsi="Trebuchet MS"/>
          <w:sz w:val="22"/>
          <w:szCs w:val="22"/>
          <w:shd w:fill="auto" w:val="clear"/>
          <w:lang w:val="gl-ES"/>
        </w:rPr>
        <w:t xml:space="preserve">mediante a presentación de facturas do gasto anual realizado, sen prexuízo de que o libramento dos pagos trimestrais aos que se refire o seguinte parágrafo, se realicen contra declaración xurada do voceiro do grupo municipal relativa á aplicación dos fondos recibidos. </w:t>
      </w:r>
    </w:p>
    <w:p>
      <w:pPr>
        <w:pStyle w:val="Estndar"/>
        <w:tabs>
          <w:tab w:val="clear" w:pos="709"/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bidi w:val="0"/>
        <w:spacing w:lineRule="auto" w:line="276" w:before="0" w:after="283"/>
        <w:jc w:val="both"/>
        <w:rPr/>
      </w:pPr>
      <w:r>
        <w:rPr>
          <w:rFonts w:cs="Trebuchet MS" w:ascii="Trebuchet MS" w:hAnsi="Trebuchet MS"/>
          <w:b w:val="false"/>
          <w:bCs w:val="false"/>
          <w:i w:val="false"/>
          <w:iCs w:val="false"/>
          <w:sz w:val="22"/>
          <w:szCs w:val="22"/>
          <w:shd w:fill="auto" w:val="clear"/>
          <w:lang w:val="gl-ES"/>
        </w:rPr>
        <w:t xml:space="preserve">6. Liberación de fondos. </w:t>
      </w:r>
      <w:r>
        <w:rPr>
          <w:rFonts w:cs="Trebuchet MS" w:ascii="Trebuchet MS" w:hAnsi="Trebuchet MS"/>
          <w:sz w:val="22"/>
          <w:szCs w:val="22"/>
          <w:shd w:fill="auto" w:val="clear"/>
          <w:lang w:val="gl-ES"/>
        </w:rPr>
        <w:t xml:space="preserve">As asignacións aos grupos políticos aprobaranse trimestralmente (trimestre vencido) pola Xunta de Goberno Local, realizando as fases ADO contables correspondentes. </w:t>
      </w:r>
    </w:p>
    <w:p>
      <w:pPr>
        <w:pStyle w:val="Estndar"/>
        <w:tabs>
          <w:tab w:val="clear" w:pos="709"/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bidi w:val="0"/>
        <w:spacing w:lineRule="auto" w:line="276" w:before="0" w:after="283"/>
        <w:jc w:val="both"/>
        <w:rPr>
          <w:rFonts w:ascii="Trebuchet MS" w:hAnsi="Trebuchet MS" w:cs="Trebuchet MS"/>
          <w:sz w:val="22"/>
          <w:szCs w:val="22"/>
          <w:shd w:fill="auto" w:val="clear"/>
          <w:lang w:val="gl-ES"/>
        </w:rPr>
      </w:pPr>
      <w:r>
        <w:rPr>
          <w:rFonts w:cs="Trebuchet MS" w:ascii="Trebuchet MS" w:hAnsi="Trebuchet MS"/>
          <w:sz w:val="22"/>
          <w:szCs w:val="22"/>
          <w:shd w:fill="auto" w:val="clear"/>
          <w:lang w:val="gl-ES"/>
        </w:rPr>
        <w:t xml:space="preserve">Os fondos anticiparanse trimestralmente (previa aprobación) debendo xustificarse a aplicación dos fondos recibidos por exercicio vencido e sempre con anterioridade ao libramento dos fondos correspondentes ao primeiro mes do exercicio seguinte. </w:t>
      </w:r>
    </w:p>
    <w:p>
      <w:pPr>
        <w:pStyle w:val="Estndar"/>
        <w:tabs>
          <w:tab w:val="clear" w:pos="709"/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bidi w:val="0"/>
        <w:spacing w:lineRule="auto" w:line="276" w:before="0" w:after="283"/>
        <w:jc w:val="both"/>
        <w:rPr>
          <w:rFonts w:ascii="Trebuchet MS" w:hAnsi="Trebuchet MS" w:cs="Trebuchet MS"/>
          <w:sz w:val="22"/>
          <w:szCs w:val="22"/>
          <w:shd w:fill="auto" w:val="clear"/>
          <w:lang w:val="gl-ES"/>
        </w:rPr>
      </w:pPr>
      <w:r>
        <w:rPr>
          <w:rFonts w:cs="Trebuchet MS" w:ascii="Trebuchet MS" w:hAnsi="Trebuchet MS"/>
          <w:sz w:val="22"/>
          <w:szCs w:val="22"/>
          <w:shd w:fill="auto" w:val="clear"/>
          <w:lang w:val="gl-ES"/>
        </w:rPr>
        <w:t>O prazo de xustificación dos fondos recibidos no último exercicio rematará o último día do primeiro trimestre natural seguinte. A non xustificación en prazo implicará o reintegro dos fondos recibidos, previa notificación ao interesado concedendo un prazo de 10 días para a xustificación.</w:t>
      </w:r>
    </w:p>
    <w:p>
      <w:pPr>
        <w:pStyle w:val="Normal"/>
        <w:bidi w:val="0"/>
        <w:spacing w:lineRule="auto" w:line="276" w:before="0" w:after="283"/>
        <w:jc w:val="both"/>
        <w:rPr>
          <w:rFonts w:ascii="Trebuchet MS" w:hAnsi="Trebuchet MS" w:cs="Trebuchet MS"/>
          <w:b w:val="false"/>
          <w:b w:val="false"/>
          <w:bCs w:val="false"/>
          <w:sz w:val="22"/>
          <w:szCs w:val="22"/>
          <w:u w:val="single"/>
          <w:shd w:fill="auto" w:val="clear"/>
          <w:lang w:val="gl-ES" w:eastAsia="zh-CN" w:bidi="ar-SA"/>
        </w:rPr>
      </w:pPr>
      <w:r>
        <w:rPr>
          <w:rFonts w:cs="Trebuchet MS" w:ascii="Trebuchet MS" w:hAnsi="Trebuchet MS"/>
          <w:b w:val="false"/>
          <w:bCs w:val="false"/>
          <w:sz w:val="22"/>
          <w:szCs w:val="22"/>
          <w:u w:val="single"/>
          <w:shd w:fill="auto" w:val="clear"/>
          <w:lang w:val="gl-ES" w:eastAsia="zh-CN" w:bidi="ar-SA"/>
        </w:rPr>
        <w:t>BASE 44. Outras indemnizacións do goberno (dietas, desprazamentos, tribunais…)</w:t>
      </w:r>
    </w:p>
    <w:p>
      <w:pPr>
        <w:pStyle w:val="Estndar"/>
        <w:tabs>
          <w:tab w:val="clear" w:pos="709"/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bidi w:val="0"/>
        <w:spacing w:lineRule="auto" w:line="276" w:before="0" w:after="283"/>
        <w:jc w:val="both"/>
        <w:rPr>
          <w:rFonts w:ascii="Trebuchet MS" w:hAnsi="Trebuchet MS" w:cs="Trebuchet MS"/>
          <w:sz w:val="22"/>
          <w:szCs w:val="22"/>
          <w:shd w:fill="auto" w:val="clear"/>
          <w:lang w:val="gl-ES" w:eastAsia="zh-CN" w:bidi="ar-SA"/>
        </w:rPr>
      </w:pPr>
      <w:r>
        <w:rPr>
          <w:rFonts w:cs="Trebuchet MS" w:ascii="Trebuchet MS" w:hAnsi="Trebuchet MS"/>
          <w:sz w:val="22"/>
          <w:szCs w:val="22"/>
          <w:shd w:fill="auto" w:val="clear"/>
          <w:lang w:val="gl-ES" w:eastAsia="zh-CN" w:bidi="ar-SA"/>
        </w:rPr>
        <w:t>1. Para as indemnizacións por razón de servizo (dietas, desprazamentos, asistencias tribunais, etc..) atenderase ao disposto no RD 462/2002, de 24 de maio, sobre indemnizacións por razón de servizo.</w:t>
      </w:r>
    </w:p>
    <w:p>
      <w:pPr>
        <w:pStyle w:val="Estndar"/>
        <w:tabs>
          <w:tab w:val="clear" w:pos="709"/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bidi w:val="0"/>
        <w:spacing w:lineRule="auto" w:line="276" w:before="0" w:after="283"/>
        <w:jc w:val="both"/>
        <w:rPr>
          <w:rFonts w:ascii="Trebuchet MS" w:hAnsi="Trebuchet MS" w:cs="Trebuchet MS"/>
          <w:sz w:val="22"/>
          <w:szCs w:val="22"/>
          <w:lang w:val="gl-ES"/>
        </w:rPr>
      </w:pPr>
      <w:r>
        <w:rPr>
          <w:rFonts w:cs="Trebuchet MS" w:ascii="Trebuchet MS" w:hAnsi="Trebuchet MS"/>
          <w:sz w:val="22"/>
          <w:szCs w:val="22"/>
          <w:lang w:val="gl-ES"/>
        </w:rPr>
        <w:t>2. Os membros do goberno, alcalde e concelleiros non poderán formar parte das mesas de contratación de persoal, en aplicación do artigo 55 e 60 da Lei 7/2007, de 12 de abril, do Estatuto Básico do Empregado Público, polo que implicitamente se derroga o artigo 4.f) do Real Decreto 896/1991, de regras básicas e programas mínimos a que debe axustarse o procedemento de selección dos funcionarios de Administración Local.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rebuchet MS">
    <w:charset w:val="00"/>
    <w:family w:val="swiss"/>
    <w:pitch w:val="variable"/>
  </w:font>
  <w:font w:name="Trebuchet MS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202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Estndar">
    <w:name w:val="Estándar"/>
    <w:basedOn w:val="Normal"/>
    <w:qFormat/>
    <w:pPr>
      <w:textAlignment w:val="baseline"/>
    </w:pPr>
    <w:rPr>
      <w:rFonts w:ascii="Times New Roman" w:hAnsi="Times New Roman" w:eastAsia="Times New Roman" w:cs="Times New Roman"/>
      <w:kern w:val="2"/>
      <w:sz w:val="24"/>
      <w:lang w:eastAsia="zh-CN"/>
    </w:rPr>
  </w:style>
  <w:style w:type="paragraph" w:styleId="Contenidodelatabla">
    <w:name w:val="Contenido de la tabla"/>
    <w:basedOn w:val="Normal"/>
    <w:qFormat/>
    <w:pPr>
      <w:suppressLineNumbers/>
      <w:textAlignment w:val="baseline"/>
    </w:pPr>
    <w:rPr>
      <w:rFonts w:ascii="Times New Roman" w:hAnsi="Times New Roman" w:eastAsia="Times New Roman" w:cs="Times New Roman"/>
      <w:kern w:val="2"/>
      <w:sz w:val="24"/>
      <w:szCs w:val="20"/>
      <w:lang w:eastAsia="zh-CN"/>
    </w:rPr>
  </w:style>
  <w:style w:type="paragraph" w:styleId="Textopredeterminado">
    <w:name w:val="Texto predeterminado"/>
    <w:basedOn w:val="Normal"/>
    <w:qFormat/>
    <w:pPr>
      <w:textAlignment w:val="baseline"/>
    </w:pPr>
    <w:rPr>
      <w:rFonts w:ascii="Times New Roman" w:hAnsi="Times New Roman" w:eastAsia="Times New Roman" w:cs="Times New Roman"/>
      <w:kern w:val="2"/>
      <w:sz w:val="24"/>
      <w:lang w:eastAsia="zh-C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LibreOffice/7.1.2.2$Windows_x86 LibreOffice_project/8a45595d069ef5570103caea1b71cc9d82b2aae4</Application>
  <AppVersion>15.0000</AppVersion>
  <Pages>2</Pages>
  <Words>457</Words>
  <Characters>2656</Characters>
  <CharactersWithSpaces>3100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2024-10-01T12:44:59Z</dcterms:created>
  <dc:creator/>
  <dc:description/>
  <dc:language>es-ES</dc:language>
  <cp:lastModifiedBy/>
  <dcterms:modified xsi:type="dcterms:W3CDTF">2024-10-01T12:47:00Z</dcterms:modified>
  <cp:revision>1</cp:revision>
  <dc:subject/>
  <dc:title/>
</cp:coreProperties>
</file>