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Saretaduntaula"/>
        <w:tblW w:w="0" w:type="auto"/>
        <w:tblLook w:val="04A0"/>
      </w:tblPr>
      <w:tblGrid>
        <w:gridCol w:w="4644"/>
        <w:gridCol w:w="567"/>
        <w:gridCol w:w="4567"/>
      </w:tblGrid>
      <w:tr w:rsidR="000F113B" w:rsidTr="000F113B">
        <w:tc>
          <w:tcPr>
            <w:tcW w:w="4644" w:type="dxa"/>
          </w:tcPr>
          <w:p w:rsidR="000F113B" w:rsidRDefault="007B56C3" w:rsidP="007B56C3">
            <w:pPr>
              <w:jc w:val="center"/>
              <w:rPr>
                <w:szCs w:val="22"/>
                <w:lang w:val="eu-ES"/>
              </w:rPr>
            </w:pPr>
            <w:r>
              <w:rPr>
                <w:szCs w:val="22"/>
                <w:lang w:val="eu-ES"/>
              </w:rPr>
              <w:t>IRAGARKIA</w:t>
            </w:r>
          </w:p>
          <w:p w:rsidR="007B56C3" w:rsidRDefault="007B56C3" w:rsidP="007B56C3">
            <w:pPr>
              <w:jc w:val="center"/>
              <w:rPr>
                <w:szCs w:val="22"/>
                <w:lang w:val="eu-ES"/>
              </w:rPr>
            </w:pPr>
          </w:p>
          <w:p w:rsidR="007B56C3" w:rsidRPr="007B56C3" w:rsidRDefault="007B56C3" w:rsidP="007B56C3">
            <w:pPr>
              <w:spacing w:line="360" w:lineRule="auto"/>
              <w:jc w:val="both"/>
              <w:textAlignment w:val="baseline"/>
              <w:rPr>
                <w:color w:val="000000"/>
                <w:sz w:val="20"/>
                <w:szCs w:val="20"/>
                <w:lang w:val="eu-ES"/>
              </w:rPr>
            </w:pPr>
            <w:r>
              <w:rPr>
                <w:color w:val="000000"/>
                <w:sz w:val="20"/>
                <w:szCs w:val="20"/>
                <w:lang w:val="eu-ES"/>
              </w:rPr>
              <w:t xml:space="preserve">Alkatetzaren 2024ko irailaren 24ko 1901 zenbakiko Dekretuaren bidez 1901 zenbakidun </w:t>
            </w:r>
            <w:proofErr w:type="spellStart"/>
            <w:r w:rsidRPr="007B56C3">
              <w:rPr>
                <w:color w:val="000000"/>
                <w:sz w:val="20"/>
                <w:szCs w:val="20"/>
                <w:lang w:val="eu-ES"/>
              </w:rPr>
              <w:t>Basaundi</w:t>
            </w:r>
            <w:proofErr w:type="spellEnd"/>
            <w:r w:rsidRPr="007B56C3">
              <w:rPr>
                <w:color w:val="000000"/>
                <w:sz w:val="20"/>
                <w:szCs w:val="20"/>
                <w:lang w:val="eu-ES"/>
              </w:rPr>
              <w:t xml:space="preserve"> bailara auzoko bizitegi-eraikinak birgaitzeko jabeen erkidegoei </w:t>
            </w:r>
            <w:proofErr w:type="spellStart"/>
            <w:r w:rsidRPr="007B56C3">
              <w:rPr>
                <w:color w:val="000000"/>
                <w:sz w:val="20"/>
                <w:szCs w:val="20"/>
                <w:lang w:val="eu-ES"/>
              </w:rPr>
              <w:t>dirulaguntzak</w:t>
            </w:r>
            <w:proofErr w:type="spellEnd"/>
            <w:r w:rsidRPr="007B56C3">
              <w:rPr>
                <w:color w:val="000000"/>
                <w:sz w:val="20"/>
                <w:szCs w:val="20"/>
                <w:lang w:val="eu-ES"/>
              </w:rPr>
              <w:t xml:space="preserve"> eta partikular </w:t>
            </w:r>
            <w:proofErr w:type="spellStart"/>
            <w:r w:rsidRPr="007B56C3">
              <w:rPr>
                <w:color w:val="000000"/>
                <w:sz w:val="20"/>
                <w:szCs w:val="20"/>
                <w:lang w:val="eu-ES"/>
              </w:rPr>
              <w:t>kalteberei</w:t>
            </w:r>
            <w:proofErr w:type="spellEnd"/>
            <w:r w:rsidRPr="007B56C3">
              <w:rPr>
                <w:color w:val="000000"/>
                <w:sz w:val="20"/>
                <w:szCs w:val="20"/>
                <w:lang w:val="eu-ES"/>
              </w:rPr>
              <w:t xml:space="preserve"> </w:t>
            </w:r>
            <w:proofErr w:type="spellStart"/>
            <w:r w:rsidRPr="007B56C3">
              <w:rPr>
                <w:color w:val="000000"/>
                <w:sz w:val="20"/>
                <w:szCs w:val="20"/>
                <w:lang w:val="eu-ES"/>
              </w:rPr>
              <w:t>dirulaguntza</w:t>
            </w:r>
            <w:proofErr w:type="spellEnd"/>
            <w:r w:rsidRPr="007B56C3">
              <w:rPr>
                <w:color w:val="000000"/>
                <w:sz w:val="20"/>
                <w:szCs w:val="20"/>
                <w:lang w:val="eu-ES"/>
              </w:rPr>
              <w:t xml:space="preserve"> gehigarriak emateko, 853/2021 errege Dekretuaren 1. Programa aplikatuz, </w:t>
            </w:r>
            <w:r w:rsidR="0082087F">
              <w:rPr>
                <w:color w:val="000000"/>
                <w:sz w:val="20"/>
                <w:szCs w:val="20"/>
                <w:lang w:val="eu-ES"/>
              </w:rPr>
              <w:t xml:space="preserve">deialdiaren eta </w:t>
            </w:r>
            <w:r w:rsidRPr="007B56C3">
              <w:rPr>
                <w:color w:val="000000"/>
                <w:sz w:val="20"/>
                <w:szCs w:val="20"/>
                <w:lang w:val="eu-ES"/>
              </w:rPr>
              <w:t>oinarri espezif</w:t>
            </w:r>
            <w:r>
              <w:rPr>
                <w:color w:val="000000"/>
                <w:sz w:val="20"/>
                <w:szCs w:val="20"/>
                <w:lang w:val="eu-ES"/>
              </w:rPr>
              <w:t>ikoen artikulu hauen aldaketa onartu da:</w:t>
            </w:r>
          </w:p>
          <w:p w:rsidR="007B56C3" w:rsidRDefault="007B56C3" w:rsidP="007B56C3">
            <w:pPr>
              <w:spacing w:line="360" w:lineRule="auto"/>
              <w:jc w:val="both"/>
              <w:textAlignment w:val="baseline"/>
              <w:rPr>
                <w:color w:val="000000"/>
                <w:sz w:val="20"/>
                <w:szCs w:val="20"/>
                <w:lang w:val="eu-ES"/>
              </w:rPr>
            </w:pPr>
          </w:p>
          <w:p w:rsidR="007B56C3" w:rsidRDefault="007B56C3" w:rsidP="007B56C3">
            <w:pPr>
              <w:spacing w:line="360" w:lineRule="auto"/>
              <w:jc w:val="both"/>
              <w:textAlignment w:val="baseline"/>
              <w:rPr>
                <w:color w:val="000000"/>
                <w:sz w:val="20"/>
                <w:szCs w:val="20"/>
                <w:lang w:val="eu-ES"/>
              </w:rPr>
            </w:pPr>
          </w:p>
          <w:p w:rsidR="007B56C3" w:rsidRDefault="007B56C3" w:rsidP="007B56C3">
            <w:pPr>
              <w:spacing w:line="360" w:lineRule="auto"/>
              <w:jc w:val="both"/>
              <w:textAlignment w:val="baseline"/>
              <w:rPr>
                <w:color w:val="000000"/>
                <w:sz w:val="20"/>
                <w:szCs w:val="20"/>
                <w:lang w:val="eu-ES"/>
              </w:rPr>
            </w:pPr>
          </w:p>
          <w:p w:rsidR="007B56C3" w:rsidRPr="007B56C3" w:rsidRDefault="007B56C3" w:rsidP="007B56C3">
            <w:pPr>
              <w:spacing w:line="360" w:lineRule="auto"/>
              <w:jc w:val="both"/>
              <w:textAlignment w:val="baseline"/>
              <w:rPr>
                <w:color w:val="000000"/>
                <w:sz w:val="20"/>
                <w:szCs w:val="20"/>
                <w:lang w:val="eu-ES"/>
              </w:rPr>
            </w:pPr>
          </w:p>
          <w:p w:rsidR="007B56C3" w:rsidRPr="007B56C3" w:rsidRDefault="007B56C3" w:rsidP="007B56C3">
            <w:pPr>
              <w:spacing w:line="360" w:lineRule="auto"/>
              <w:jc w:val="both"/>
              <w:textAlignment w:val="baseline"/>
              <w:rPr>
                <w:color w:val="000000"/>
                <w:sz w:val="20"/>
                <w:szCs w:val="20"/>
                <w:lang w:val="eu-ES"/>
              </w:rPr>
            </w:pPr>
            <w:r w:rsidRPr="007B56C3">
              <w:rPr>
                <w:color w:val="000000"/>
                <w:sz w:val="20"/>
                <w:szCs w:val="20"/>
                <w:lang w:val="eu-ES"/>
              </w:rPr>
              <w:t>36a) artikulutik honako paragrafo hau kentzea</w:t>
            </w:r>
          </w:p>
          <w:p w:rsidR="007B56C3" w:rsidRPr="007B56C3" w:rsidRDefault="007B56C3" w:rsidP="007B56C3">
            <w:pPr>
              <w:spacing w:line="360" w:lineRule="auto"/>
              <w:jc w:val="both"/>
              <w:rPr>
                <w:sz w:val="20"/>
                <w:szCs w:val="20"/>
                <w:lang w:val="eu-ES"/>
              </w:rPr>
            </w:pPr>
          </w:p>
          <w:p w:rsidR="007B56C3" w:rsidRPr="007B56C3" w:rsidRDefault="007B56C3" w:rsidP="007B56C3">
            <w:pPr>
              <w:pStyle w:val="Zerrenda-paragrafoa"/>
              <w:numPr>
                <w:ilvl w:val="0"/>
                <w:numId w:val="2"/>
              </w:numPr>
              <w:spacing w:before="120" w:after="120" w:line="360" w:lineRule="auto"/>
              <w:ind w:left="709"/>
              <w:jc w:val="both"/>
              <w:rPr>
                <w:rFonts w:ascii="Museo 300" w:hAnsi="Museo 300"/>
                <w:b/>
                <w:lang w:val="eu-ES"/>
              </w:rPr>
            </w:pPr>
            <w:r w:rsidRPr="007B56C3">
              <w:rPr>
                <w:rFonts w:ascii="Museo 300" w:hAnsi="Museo 300"/>
                <w:lang w:val="eu-ES"/>
              </w:rPr>
              <w:t>Higiezineko etxebizitza guztien jabariaren xedapen-mugaketaren erregistro-idazpena Jabetza Erregistroan inskribatu izanaren egiaztagiria, oinarri hauen 23. eta 24. artikuluetan adierazitakoaren arabera</w:t>
            </w:r>
          </w:p>
          <w:p w:rsidR="007B56C3" w:rsidRPr="007B56C3" w:rsidRDefault="007B56C3" w:rsidP="007B56C3">
            <w:pPr>
              <w:textAlignment w:val="baseline"/>
              <w:rPr>
                <w:color w:val="000000"/>
                <w:sz w:val="20"/>
                <w:szCs w:val="20"/>
                <w:lang w:val="eu-ES"/>
              </w:rPr>
            </w:pPr>
          </w:p>
          <w:p w:rsidR="007B56C3" w:rsidRPr="007B56C3" w:rsidRDefault="007B56C3" w:rsidP="007B56C3">
            <w:pPr>
              <w:textAlignment w:val="baseline"/>
              <w:rPr>
                <w:color w:val="000000"/>
                <w:sz w:val="20"/>
                <w:szCs w:val="20"/>
              </w:rPr>
            </w:pPr>
            <w:r w:rsidRPr="007B56C3">
              <w:rPr>
                <w:color w:val="000000"/>
                <w:sz w:val="20"/>
                <w:szCs w:val="20"/>
              </w:rPr>
              <w:t xml:space="preserve">37. </w:t>
            </w:r>
            <w:proofErr w:type="spellStart"/>
            <w:r w:rsidRPr="007B56C3">
              <w:rPr>
                <w:color w:val="000000"/>
                <w:sz w:val="20"/>
                <w:szCs w:val="20"/>
              </w:rPr>
              <w:t>artikuluari</w:t>
            </w:r>
            <w:proofErr w:type="spellEnd"/>
            <w:r w:rsidRPr="007B56C3">
              <w:rPr>
                <w:color w:val="000000"/>
                <w:sz w:val="20"/>
                <w:szCs w:val="20"/>
              </w:rPr>
              <w:t xml:space="preserve"> k) </w:t>
            </w:r>
            <w:proofErr w:type="spellStart"/>
            <w:r w:rsidRPr="007B56C3">
              <w:rPr>
                <w:color w:val="000000"/>
                <w:sz w:val="20"/>
                <w:szCs w:val="20"/>
              </w:rPr>
              <w:t>puntua</w:t>
            </w:r>
            <w:proofErr w:type="spellEnd"/>
            <w:r w:rsidRPr="007B56C3">
              <w:rPr>
                <w:color w:val="000000"/>
                <w:sz w:val="20"/>
                <w:szCs w:val="20"/>
              </w:rPr>
              <w:t xml:space="preserve"> </w:t>
            </w:r>
            <w:proofErr w:type="spellStart"/>
            <w:r w:rsidRPr="007B56C3">
              <w:rPr>
                <w:color w:val="000000"/>
                <w:sz w:val="20"/>
                <w:szCs w:val="20"/>
              </w:rPr>
              <w:t>gehitzea</w:t>
            </w:r>
            <w:proofErr w:type="spellEnd"/>
            <w:r w:rsidRPr="007B56C3">
              <w:rPr>
                <w:color w:val="000000"/>
                <w:sz w:val="20"/>
                <w:szCs w:val="20"/>
              </w:rPr>
              <w:t xml:space="preserve">, </w:t>
            </w:r>
            <w:proofErr w:type="spellStart"/>
            <w:r w:rsidRPr="007B56C3">
              <w:rPr>
                <w:color w:val="000000"/>
                <w:sz w:val="20"/>
                <w:szCs w:val="20"/>
              </w:rPr>
              <w:t>testu</w:t>
            </w:r>
            <w:proofErr w:type="spellEnd"/>
            <w:r w:rsidRPr="007B56C3">
              <w:rPr>
                <w:color w:val="000000"/>
                <w:sz w:val="20"/>
                <w:szCs w:val="20"/>
              </w:rPr>
              <w:t xml:space="preserve"> </w:t>
            </w:r>
            <w:proofErr w:type="spellStart"/>
            <w:r w:rsidRPr="007B56C3">
              <w:rPr>
                <w:color w:val="000000"/>
                <w:sz w:val="20"/>
                <w:szCs w:val="20"/>
              </w:rPr>
              <w:t>honekin</w:t>
            </w:r>
            <w:proofErr w:type="spellEnd"/>
            <w:r w:rsidRPr="007B56C3">
              <w:rPr>
                <w:color w:val="000000"/>
                <w:sz w:val="20"/>
                <w:szCs w:val="20"/>
              </w:rPr>
              <w:t>:</w:t>
            </w:r>
          </w:p>
          <w:p w:rsidR="007B56C3" w:rsidRPr="007B56C3" w:rsidRDefault="007B56C3" w:rsidP="007B56C3">
            <w:pPr>
              <w:spacing w:line="360" w:lineRule="auto"/>
              <w:ind w:left="567"/>
              <w:jc w:val="both"/>
              <w:textAlignment w:val="baseline"/>
              <w:rPr>
                <w:sz w:val="20"/>
                <w:szCs w:val="20"/>
                <w:lang w:val="eu-ES"/>
              </w:rPr>
            </w:pPr>
          </w:p>
          <w:p w:rsidR="007B56C3" w:rsidRPr="007B56C3" w:rsidRDefault="007B56C3" w:rsidP="007B56C3">
            <w:pPr>
              <w:spacing w:line="360" w:lineRule="auto"/>
              <w:ind w:left="567"/>
              <w:jc w:val="both"/>
              <w:textAlignment w:val="baseline"/>
              <w:rPr>
                <w:sz w:val="20"/>
                <w:szCs w:val="20"/>
                <w:lang w:val="eu-ES"/>
              </w:rPr>
            </w:pPr>
          </w:p>
          <w:p w:rsidR="007B56C3" w:rsidRPr="007B56C3" w:rsidRDefault="007B56C3" w:rsidP="007B56C3">
            <w:pPr>
              <w:pStyle w:val="Zerrenda-paragrafoa"/>
              <w:numPr>
                <w:ilvl w:val="0"/>
                <w:numId w:val="2"/>
              </w:numPr>
              <w:spacing w:before="120" w:after="120" w:line="360" w:lineRule="auto"/>
              <w:ind w:left="709"/>
              <w:jc w:val="both"/>
              <w:rPr>
                <w:rFonts w:ascii="Museo 300" w:hAnsi="Museo 300"/>
                <w:b/>
                <w:lang w:val="eu-ES"/>
              </w:rPr>
            </w:pPr>
            <w:r w:rsidRPr="007B56C3">
              <w:rPr>
                <w:rFonts w:ascii="Museo 300" w:hAnsi="Museo 300"/>
                <w:lang w:val="eu-ES"/>
              </w:rPr>
              <w:t>Higiezineko etxebizitza guztien jabariaren xedapen-mugaketaren erregistro-idazpena Jabetza Erregistroan inskribatu izanaren egiaztagiria, oinarri hauen 23. eta 24. artikuluetan adierazitakoaren arabera</w:t>
            </w:r>
          </w:p>
          <w:p w:rsidR="007B56C3" w:rsidRPr="007B56C3" w:rsidRDefault="007B56C3" w:rsidP="007B56C3">
            <w:pPr>
              <w:pStyle w:val="Zerrenda-paragrafoa"/>
              <w:spacing w:before="120" w:after="120" w:line="360" w:lineRule="auto"/>
              <w:ind w:left="709" w:firstLine="0"/>
              <w:jc w:val="both"/>
              <w:rPr>
                <w:rFonts w:ascii="Museo 300" w:hAnsi="Museo 300"/>
                <w:b/>
                <w:lang w:val="eu-ES"/>
              </w:rPr>
            </w:pPr>
          </w:p>
          <w:p w:rsidR="007B56C3" w:rsidRDefault="007B56C3" w:rsidP="007B56C3">
            <w:pPr>
              <w:jc w:val="center"/>
              <w:rPr>
                <w:szCs w:val="22"/>
                <w:lang w:val="eu-ES"/>
              </w:rPr>
            </w:pPr>
          </w:p>
          <w:p w:rsidR="007B56C3" w:rsidRPr="007B56C3" w:rsidRDefault="007B56C3" w:rsidP="007B56C3">
            <w:pPr>
              <w:jc w:val="center"/>
              <w:rPr>
                <w:sz w:val="20"/>
                <w:szCs w:val="20"/>
                <w:lang w:val="eu-ES"/>
              </w:rPr>
            </w:pPr>
          </w:p>
          <w:p w:rsidR="007B56C3" w:rsidRPr="007B56C3" w:rsidRDefault="007B56C3" w:rsidP="007B56C3">
            <w:pPr>
              <w:pStyle w:val="norma06"/>
              <w:shd w:val="clear" w:color="auto" w:fill="FFFFFF"/>
              <w:spacing w:line="360" w:lineRule="auto"/>
              <w:jc w:val="both"/>
              <w:rPr>
                <w:rFonts w:ascii="Museo 300" w:hAnsi="Museo 300" w:cs="Arial"/>
                <w:color w:val="333333"/>
                <w:sz w:val="20"/>
                <w:szCs w:val="20"/>
                <w:lang w:val="eu-ES"/>
              </w:rPr>
            </w:pPr>
            <w:r w:rsidRPr="007B56C3">
              <w:rPr>
                <w:rStyle w:val="textocomun"/>
                <w:rFonts w:ascii="Museo 300" w:hAnsi="Museo 300" w:cs="Arial"/>
                <w:color w:val="333333"/>
                <w:sz w:val="20"/>
                <w:szCs w:val="20"/>
                <w:lang w:val="eu-ES"/>
              </w:rPr>
              <w:t>Ebazpen hau finkoa da eta amaiera ematen dio administrazio-bideari. Erabakiaren kontra, honako errekurtso hauek jar daitezke:</w:t>
            </w:r>
          </w:p>
          <w:p w:rsidR="0034657F" w:rsidRDefault="0034657F" w:rsidP="007B56C3">
            <w:pPr>
              <w:pStyle w:val="norma06"/>
              <w:shd w:val="clear" w:color="auto" w:fill="FFFFFF"/>
              <w:spacing w:line="360" w:lineRule="auto"/>
              <w:jc w:val="both"/>
              <w:rPr>
                <w:rStyle w:val="textocomun"/>
                <w:rFonts w:ascii="Museo 300" w:hAnsi="Museo 300" w:cs="Arial"/>
                <w:color w:val="333333"/>
                <w:sz w:val="20"/>
                <w:szCs w:val="20"/>
                <w:lang w:val="eu-ES"/>
              </w:rPr>
            </w:pPr>
          </w:p>
          <w:p w:rsidR="007B56C3" w:rsidRPr="007B56C3" w:rsidRDefault="007B56C3" w:rsidP="007B56C3">
            <w:pPr>
              <w:pStyle w:val="norma06"/>
              <w:shd w:val="clear" w:color="auto" w:fill="FFFFFF"/>
              <w:spacing w:line="360" w:lineRule="auto"/>
              <w:jc w:val="both"/>
              <w:rPr>
                <w:rFonts w:ascii="Museo 300" w:hAnsi="Museo 300" w:cs="Arial"/>
                <w:color w:val="333333"/>
                <w:sz w:val="20"/>
                <w:szCs w:val="20"/>
                <w:lang w:val="eu-ES"/>
              </w:rPr>
            </w:pPr>
            <w:r w:rsidRPr="007B56C3">
              <w:rPr>
                <w:rStyle w:val="textocomun"/>
                <w:rFonts w:ascii="Museo 300" w:hAnsi="Museo 300" w:cs="Arial"/>
                <w:color w:val="333333"/>
                <w:sz w:val="20"/>
                <w:szCs w:val="20"/>
                <w:lang w:val="eu-ES"/>
              </w:rPr>
              <w:t>Erabakiaren aurka auzitara jo aurretik, interesdunak, hala nahi izanez gero, berraztertze-errekurtsoa aurkez dezake Alkatetzaren aurrean hilabete bateko epean, erabaki honen jakinarazpena jaso eta biharamunetik kontatzen hasita. Hori dena, Herri Administrazioen Administrazio Prozedura Erkidea arautzen duen urriaren 1eko 39/2015 Legearen 123 eta 124 artikuluetan xedatutakoaren arabera.</w:t>
            </w:r>
          </w:p>
          <w:p w:rsidR="007B56C3" w:rsidRPr="007B56C3" w:rsidRDefault="007B56C3" w:rsidP="007B56C3">
            <w:pPr>
              <w:pStyle w:val="norma06"/>
              <w:shd w:val="clear" w:color="auto" w:fill="FFFFFF"/>
              <w:spacing w:line="360" w:lineRule="auto"/>
              <w:jc w:val="both"/>
              <w:rPr>
                <w:rFonts w:ascii="Museo 300" w:hAnsi="Museo 300" w:cs="Arial"/>
                <w:color w:val="333333"/>
                <w:sz w:val="20"/>
                <w:szCs w:val="20"/>
                <w:lang w:val="eu-ES"/>
              </w:rPr>
            </w:pPr>
            <w:r w:rsidRPr="007B56C3">
              <w:rPr>
                <w:rStyle w:val="textocomun"/>
                <w:rFonts w:ascii="Museo 300" w:hAnsi="Museo 300" w:cs="Arial"/>
                <w:color w:val="333333"/>
                <w:sz w:val="20"/>
                <w:szCs w:val="20"/>
                <w:lang w:val="eu-ES"/>
              </w:rPr>
              <w:t>Bestela, berraztertze-errekurtsoa aurkeztu ordez, edo aipatutako errekurtsoaren erantzunaren aurka joko balu, interesdunak administrazioarekiko auzi-errekurtsoa aurkez dezake bi hilabeteko epean, erabaki honen jakinarazpena jaso eta biharamunetik hasita. Helegite hori Donostiako Administrazioarekiko Auzien Epaitegian aurkeztu beharko da.</w:t>
            </w:r>
          </w:p>
          <w:p w:rsidR="007B56C3" w:rsidRPr="007B56C3" w:rsidRDefault="007B56C3" w:rsidP="007B56C3">
            <w:pPr>
              <w:pStyle w:val="norma06"/>
              <w:shd w:val="clear" w:color="auto" w:fill="FFFFFF"/>
              <w:spacing w:line="360" w:lineRule="auto"/>
              <w:jc w:val="both"/>
              <w:rPr>
                <w:rFonts w:ascii="Museo 300" w:hAnsi="Museo 300" w:cs="Arial"/>
                <w:color w:val="333333"/>
                <w:sz w:val="20"/>
                <w:szCs w:val="20"/>
              </w:rPr>
            </w:pPr>
            <w:r w:rsidRPr="007B56C3">
              <w:rPr>
                <w:rStyle w:val="textocomun"/>
                <w:rFonts w:ascii="Museo 300" w:hAnsi="Museo 300" w:cs="Arial"/>
                <w:color w:val="333333"/>
                <w:sz w:val="20"/>
                <w:szCs w:val="20"/>
                <w:lang w:val="eu-ES"/>
              </w:rPr>
              <w:t>Era berean, berariazko ebazpenik ez badago, bai prozedurari amaiera emateko edo bai berraztertzeko errekurtsoari erantzuna emateko, interesdunak administrazioarekiko auzi-errekurtsoa aurkez dezake, edozein unetan. Errekurtso hori Donostiako Administrazioarekiko Auzien Epaitegian aurkeztu beharko da.</w:t>
            </w:r>
          </w:p>
          <w:p w:rsidR="007B56C3" w:rsidRDefault="007B56C3" w:rsidP="007B56C3">
            <w:pPr>
              <w:jc w:val="center"/>
              <w:rPr>
                <w:szCs w:val="22"/>
                <w:lang w:val="eu-ES"/>
              </w:rPr>
            </w:pPr>
          </w:p>
        </w:tc>
        <w:tc>
          <w:tcPr>
            <w:tcW w:w="567" w:type="dxa"/>
          </w:tcPr>
          <w:p w:rsidR="000F113B" w:rsidRDefault="000F113B" w:rsidP="004B1D06">
            <w:pPr>
              <w:rPr>
                <w:szCs w:val="22"/>
                <w:lang w:val="eu-ES"/>
              </w:rPr>
            </w:pPr>
          </w:p>
        </w:tc>
        <w:tc>
          <w:tcPr>
            <w:tcW w:w="4567" w:type="dxa"/>
          </w:tcPr>
          <w:p w:rsidR="000F113B" w:rsidRDefault="000F113B" w:rsidP="000F113B">
            <w:pPr>
              <w:jc w:val="center"/>
              <w:rPr>
                <w:szCs w:val="22"/>
                <w:lang w:val="eu-ES"/>
              </w:rPr>
            </w:pPr>
            <w:r>
              <w:rPr>
                <w:szCs w:val="22"/>
                <w:lang w:val="eu-ES"/>
              </w:rPr>
              <w:t>ANUNCIO</w:t>
            </w:r>
          </w:p>
          <w:p w:rsidR="000F113B" w:rsidRDefault="000F113B" w:rsidP="000F113B">
            <w:pPr>
              <w:jc w:val="center"/>
              <w:rPr>
                <w:szCs w:val="22"/>
                <w:lang w:val="eu-ES"/>
              </w:rPr>
            </w:pPr>
          </w:p>
          <w:p w:rsidR="000F113B" w:rsidRDefault="000F113B" w:rsidP="000F113B">
            <w:pPr>
              <w:spacing w:line="360" w:lineRule="auto"/>
              <w:jc w:val="both"/>
              <w:rPr>
                <w:sz w:val="20"/>
                <w:szCs w:val="20"/>
              </w:rPr>
            </w:pPr>
            <w:r w:rsidRPr="000F113B">
              <w:rPr>
                <w:sz w:val="20"/>
                <w:szCs w:val="20"/>
                <w:lang w:val="es-ES_tradnl"/>
              </w:rPr>
              <w:t>Mediante Decreto de Alcaldía nº 1901, de fecha 24 de setiembre de</w:t>
            </w:r>
            <w:r>
              <w:rPr>
                <w:sz w:val="20"/>
                <w:szCs w:val="20"/>
                <w:lang w:val="es-ES_tradnl"/>
              </w:rPr>
              <w:t xml:space="preserve"> 2024  s</w:t>
            </w:r>
            <w:r w:rsidRPr="000F113B">
              <w:rPr>
                <w:sz w:val="20"/>
                <w:szCs w:val="20"/>
                <w:lang w:val="es-ES_tradnl"/>
              </w:rPr>
              <w:t>e</w:t>
            </w:r>
            <w:r>
              <w:rPr>
                <w:sz w:val="20"/>
                <w:szCs w:val="20"/>
                <w:lang w:val="es-ES_tradnl"/>
              </w:rPr>
              <w:t xml:space="preserve"> </w:t>
            </w:r>
            <w:r w:rsidRPr="000F113B">
              <w:rPr>
                <w:sz w:val="20"/>
                <w:szCs w:val="20"/>
                <w:lang w:val="es-ES_tradnl"/>
              </w:rPr>
              <w:t>ha aprobado</w:t>
            </w:r>
            <w:r w:rsidRPr="000F113B">
              <w:rPr>
                <w:sz w:val="20"/>
                <w:szCs w:val="20"/>
                <w:lang w:val="eu-ES"/>
              </w:rPr>
              <w:t xml:space="preserve"> la </w:t>
            </w:r>
            <w:r w:rsidRPr="000F113B">
              <w:rPr>
                <w:sz w:val="20"/>
                <w:szCs w:val="20"/>
              </w:rPr>
              <w:t>a modificación de los siguientes artículos de la</w:t>
            </w:r>
            <w:r w:rsidR="0082087F">
              <w:rPr>
                <w:sz w:val="20"/>
                <w:szCs w:val="20"/>
              </w:rPr>
              <w:t xml:space="preserve"> convocatoria y su </w:t>
            </w:r>
            <w:r w:rsidRPr="000F113B">
              <w:rPr>
                <w:sz w:val="20"/>
                <w:szCs w:val="20"/>
              </w:rPr>
              <w:t xml:space="preserve"> bases especificas para la concesión de subvenciones a comunidades de propietarios y adicionales a  particulares vulnerables para la rehabilitación energética de edificios residenciales incluidos en el barrio de </w:t>
            </w:r>
            <w:proofErr w:type="spellStart"/>
            <w:r w:rsidRPr="000F113B">
              <w:rPr>
                <w:sz w:val="20"/>
                <w:szCs w:val="20"/>
              </w:rPr>
              <w:t>Basaundi</w:t>
            </w:r>
            <w:proofErr w:type="spellEnd"/>
            <w:r w:rsidRPr="000F113B">
              <w:rPr>
                <w:sz w:val="20"/>
                <w:szCs w:val="20"/>
              </w:rPr>
              <w:t xml:space="preserve"> Bailara, en el municipio  de Lasarte-Oria, en aplicación del programa 1 del RD 853/2021.</w:t>
            </w:r>
          </w:p>
          <w:p w:rsidR="000F113B" w:rsidRDefault="000F113B" w:rsidP="000F113B">
            <w:pPr>
              <w:jc w:val="both"/>
              <w:rPr>
                <w:sz w:val="20"/>
                <w:szCs w:val="20"/>
              </w:rPr>
            </w:pPr>
          </w:p>
          <w:p w:rsidR="000F113B" w:rsidRPr="000F113B" w:rsidRDefault="000F113B" w:rsidP="000F113B">
            <w:pPr>
              <w:jc w:val="both"/>
              <w:rPr>
                <w:sz w:val="20"/>
                <w:szCs w:val="20"/>
                <w:lang w:val="eu-ES"/>
              </w:rPr>
            </w:pPr>
          </w:p>
          <w:p w:rsidR="000F113B" w:rsidRPr="000F113B" w:rsidRDefault="000F113B" w:rsidP="000F113B">
            <w:pPr>
              <w:spacing w:line="360" w:lineRule="auto"/>
              <w:jc w:val="both"/>
              <w:rPr>
                <w:sz w:val="20"/>
                <w:szCs w:val="20"/>
              </w:rPr>
            </w:pPr>
            <w:r w:rsidRPr="000F113B">
              <w:rPr>
                <w:sz w:val="20"/>
                <w:szCs w:val="20"/>
              </w:rPr>
              <w:t>Eliminar del artículo 36a) el siguiente párrafo</w:t>
            </w:r>
          </w:p>
          <w:p w:rsidR="000F113B" w:rsidRPr="000F113B" w:rsidRDefault="000F113B" w:rsidP="000F113B">
            <w:pPr>
              <w:spacing w:line="360" w:lineRule="auto"/>
              <w:jc w:val="both"/>
              <w:rPr>
                <w:sz w:val="20"/>
                <w:szCs w:val="20"/>
              </w:rPr>
            </w:pPr>
          </w:p>
          <w:p w:rsidR="000F113B" w:rsidRPr="000F113B" w:rsidRDefault="000F113B" w:rsidP="000F113B">
            <w:pPr>
              <w:pStyle w:val="Zerrenda-paragrafoa"/>
              <w:numPr>
                <w:ilvl w:val="1"/>
                <w:numId w:val="1"/>
              </w:numPr>
              <w:spacing w:before="120" w:after="120" w:line="360" w:lineRule="auto"/>
              <w:ind w:left="709"/>
              <w:jc w:val="both"/>
              <w:rPr>
                <w:rFonts w:ascii="Museo 300" w:hAnsi="Museo 300"/>
              </w:rPr>
            </w:pPr>
            <w:r w:rsidRPr="000F113B">
              <w:rPr>
                <w:rFonts w:ascii="Museo 300" w:hAnsi="Museo 300"/>
              </w:rPr>
              <w:t>Justificante de la inscripción en el Registro de la Propiedad del asiento registral de limitación dispositiva del dominio de todas las viviendas del inmueble, según lo señalado en el artículo 23 y en el artículo 24 de estas bases.</w:t>
            </w:r>
          </w:p>
          <w:p w:rsidR="000F113B" w:rsidRPr="000F113B" w:rsidRDefault="000F113B" w:rsidP="000F113B">
            <w:pPr>
              <w:pStyle w:val="Zerrenda-paragrafoa"/>
              <w:spacing w:before="120" w:after="120" w:line="360" w:lineRule="auto"/>
              <w:ind w:left="709" w:firstLine="0"/>
              <w:jc w:val="both"/>
              <w:rPr>
                <w:rFonts w:ascii="Museo 300" w:hAnsi="Museo 300"/>
              </w:rPr>
            </w:pPr>
          </w:p>
          <w:p w:rsidR="000F113B" w:rsidRPr="000F113B" w:rsidRDefault="000F113B" w:rsidP="000F113B">
            <w:pPr>
              <w:spacing w:line="360" w:lineRule="auto"/>
              <w:jc w:val="both"/>
              <w:rPr>
                <w:sz w:val="20"/>
                <w:szCs w:val="20"/>
              </w:rPr>
            </w:pPr>
            <w:r w:rsidRPr="000F113B">
              <w:rPr>
                <w:sz w:val="20"/>
                <w:szCs w:val="20"/>
              </w:rPr>
              <w:t>Añadir un nuevo punto, denominado k) al artículo 37 con el siguiente texto</w:t>
            </w:r>
          </w:p>
          <w:p w:rsidR="000F113B" w:rsidRPr="000F113B" w:rsidRDefault="000F113B" w:rsidP="000F113B">
            <w:pPr>
              <w:spacing w:line="360" w:lineRule="auto"/>
              <w:jc w:val="both"/>
              <w:rPr>
                <w:sz w:val="20"/>
                <w:szCs w:val="20"/>
              </w:rPr>
            </w:pPr>
          </w:p>
          <w:p w:rsidR="000F113B" w:rsidRPr="000F113B" w:rsidRDefault="000F113B" w:rsidP="000F113B">
            <w:pPr>
              <w:pStyle w:val="Zerrenda-paragrafoa"/>
              <w:numPr>
                <w:ilvl w:val="1"/>
                <w:numId w:val="1"/>
              </w:numPr>
              <w:spacing w:before="120" w:after="120" w:line="360" w:lineRule="auto"/>
              <w:ind w:left="709"/>
              <w:jc w:val="both"/>
              <w:rPr>
                <w:rFonts w:ascii="Museo 300" w:hAnsi="Museo 300"/>
              </w:rPr>
            </w:pPr>
            <w:r w:rsidRPr="000F113B">
              <w:rPr>
                <w:rFonts w:ascii="Museo 300" w:hAnsi="Museo 300"/>
              </w:rPr>
              <w:t>Justificante de la inscripción en el Registro de la Propiedad del asiento registral de limitación dispositiva del dominio de todas las viviendas del inmueble, según lo señalado en el artículo 23 y en el artículo 24 de estas bases</w:t>
            </w:r>
          </w:p>
          <w:p w:rsidR="000F113B" w:rsidRDefault="000F113B" w:rsidP="000F113B">
            <w:pPr>
              <w:jc w:val="both"/>
              <w:rPr>
                <w:sz w:val="20"/>
                <w:szCs w:val="20"/>
                <w:lang w:val="eu-ES"/>
              </w:rPr>
            </w:pPr>
          </w:p>
          <w:p w:rsidR="000F113B" w:rsidRPr="000F113B" w:rsidRDefault="000F113B" w:rsidP="000F113B">
            <w:pPr>
              <w:pStyle w:val="norma06"/>
              <w:shd w:val="clear" w:color="auto" w:fill="FFFFFF"/>
              <w:spacing w:line="360" w:lineRule="auto"/>
              <w:jc w:val="both"/>
              <w:rPr>
                <w:rFonts w:ascii="Museo 300" w:hAnsi="Museo 300" w:cs="Arial"/>
                <w:color w:val="333333"/>
                <w:sz w:val="20"/>
                <w:szCs w:val="20"/>
              </w:rPr>
            </w:pPr>
            <w:r w:rsidRPr="000F113B">
              <w:rPr>
                <w:rStyle w:val="textocomun"/>
                <w:rFonts w:ascii="Museo 300" w:hAnsi="Museo 300" w:cs="Arial"/>
                <w:color w:val="333333"/>
                <w:sz w:val="20"/>
                <w:szCs w:val="20"/>
              </w:rPr>
              <w:t xml:space="preserve">La presente resolución es firme y pone fin a la vía administrativa. Contra la misma podrán </w:t>
            </w:r>
            <w:r w:rsidRPr="000F113B">
              <w:rPr>
                <w:rStyle w:val="textocomun"/>
                <w:rFonts w:ascii="Museo 300" w:hAnsi="Museo 300" w:cs="Arial"/>
                <w:color w:val="333333"/>
                <w:sz w:val="20"/>
                <w:szCs w:val="20"/>
              </w:rPr>
              <w:lastRenderedPageBreak/>
              <w:t>interponerse los siguientes recursos:</w:t>
            </w:r>
          </w:p>
          <w:p w:rsidR="000F113B" w:rsidRPr="000F113B" w:rsidRDefault="000F113B" w:rsidP="000F113B">
            <w:pPr>
              <w:pStyle w:val="norma06"/>
              <w:shd w:val="clear" w:color="auto" w:fill="FFFFFF"/>
              <w:spacing w:line="360" w:lineRule="auto"/>
              <w:jc w:val="both"/>
              <w:rPr>
                <w:rFonts w:ascii="Museo 300" w:hAnsi="Museo 300" w:cs="Arial"/>
                <w:color w:val="333333"/>
                <w:sz w:val="20"/>
                <w:szCs w:val="20"/>
              </w:rPr>
            </w:pPr>
            <w:r w:rsidRPr="000F113B">
              <w:rPr>
                <w:rStyle w:val="textocomun"/>
                <w:rFonts w:ascii="Museo 300" w:hAnsi="Museo 300" w:cs="Arial"/>
                <w:color w:val="333333"/>
                <w:sz w:val="20"/>
                <w:szCs w:val="20"/>
              </w:rPr>
              <w:t>Con anterioridad al inicio de la vía judicial, la persona interesada podrá interponer recurso de reposición ante la Alcaldía, en el plazo de un mes contado desde el día siguiente a la recepción de la presente notificación. Todo ello, conforme a los artículos 123 y 124 de la Ley 39/2015, de 1 de octubre, del Procedimiento Administrativo Común de las Administraciones Públicas</w:t>
            </w:r>
          </w:p>
          <w:p w:rsidR="000F113B" w:rsidRPr="000F113B" w:rsidRDefault="000F113B" w:rsidP="000F113B">
            <w:pPr>
              <w:pStyle w:val="norma06"/>
              <w:shd w:val="clear" w:color="auto" w:fill="FFFFFF"/>
              <w:spacing w:line="360" w:lineRule="auto"/>
              <w:jc w:val="both"/>
              <w:rPr>
                <w:rFonts w:ascii="Museo 300" w:hAnsi="Museo 300" w:cs="Arial"/>
                <w:color w:val="333333"/>
                <w:sz w:val="20"/>
                <w:szCs w:val="20"/>
              </w:rPr>
            </w:pPr>
            <w:r w:rsidRPr="000F113B">
              <w:rPr>
                <w:rStyle w:val="textocomun"/>
                <w:rFonts w:ascii="Museo 300" w:hAnsi="Museo 300" w:cs="Arial"/>
                <w:color w:val="333333"/>
                <w:sz w:val="20"/>
                <w:szCs w:val="20"/>
              </w:rPr>
              <w:t>No obstante, en lugar del recurso de reposición, o en el caso de interponerse contra la resolución del recurso, podrá presentar directamente recurso contencioso-administrativo en un plazo de dos meses desde el día siguiente a la recepción de la presente notificación. El recurso se presentará ante el Juzgado Contencioso-Administrativo de San Sebastián.</w:t>
            </w:r>
          </w:p>
          <w:p w:rsidR="000F113B" w:rsidRPr="000F113B" w:rsidRDefault="000F113B" w:rsidP="000F113B">
            <w:pPr>
              <w:pStyle w:val="norma06"/>
              <w:shd w:val="clear" w:color="auto" w:fill="FFFFFF"/>
              <w:spacing w:line="360" w:lineRule="auto"/>
              <w:jc w:val="both"/>
              <w:rPr>
                <w:rFonts w:ascii="Museo 300" w:hAnsi="Museo 300" w:cs="Arial"/>
                <w:color w:val="333333"/>
                <w:sz w:val="20"/>
                <w:szCs w:val="20"/>
              </w:rPr>
            </w:pPr>
            <w:r w:rsidRPr="000F113B">
              <w:rPr>
                <w:rStyle w:val="textocomun"/>
                <w:rFonts w:ascii="Museo 300" w:hAnsi="Museo 300" w:cs="Arial"/>
                <w:color w:val="333333"/>
                <w:sz w:val="20"/>
                <w:szCs w:val="20"/>
              </w:rPr>
              <w:t>Asimismo, si no hubiera resolución expresa, tanto para poner fin al procedimiento como para dar respuesta al recurso de reposición, el/la interesado/a podrá interponer en cualquier momento recurso contencioso-administrativo. Dicho recurso deberá interponerse ante el Juzgado de lo Contencioso-Administrativo de San Sebastián.</w:t>
            </w:r>
          </w:p>
          <w:p w:rsidR="000F113B" w:rsidRPr="000F113B" w:rsidRDefault="000F113B" w:rsidP="000F113B">
            <w:pPr>
              <w:jc w:val="both"/>
              <w:rPr>
                <w:sz w:val="20"/>
                <w:szCs w:val="20"/>
              </w:rPr>
            </w:pPr>
          </w:p>
          <w:p w:rsidR="000F113B" w:rsidRPr="000F113B" w:rsidRDefault="000F113B" w:rsidP="000F113B">
            <w:pPr>
              <w:jc w:val="center"/>
              <w:rPr>
                <w:szCs w:val="22"/>
              </w:rPr>
            </w:pPr>
          </w:p>
        </w:tc>
      </w:tr>
    </w:tbl>
    <w:p w:rsidR="00520F36" w:rsidRPr="00897D6B" w:rsidRDefault="00520F36" w:rsidP="004B1D06">
      <w:pPr>
        <w:rPr>
          <w:szCs w:val="22"/>
          <w:lang w:val="eu-ES"/>
        </w:rPr>
      </w:pPr>
    </w:p>
    <w:sectPr w:rsidR="00520F36" w:rsidRPr="00897D6B" w:rsidSect="00F605E2">
      <w:headerReference w:type="default" r:id="rId7"/>
      <w:footerReference w:type="default" r:id="rId8"/>
      <w:pgSz w:w="11906" w:h="16838" w:code="9"/>
      <w:pgMar w:top="2268" w:right="1134" w:bottom="719"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113B" w:rsidRDefault="000F113B">
      <w:r>
        <w:separator/>
      </w:r>
    </w:p>
  </w:endnote>
  <w:endnote w:type="continuationSeparator" w:id="0">
    <w:p w:rsidR="000F113B" w:rsidRDefault="000F113B">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useo 300">
    <w:panose1 w:val="02000000000000000000"/>
    <w:charset w:val="00"/>
    <w:family w:val="auto"/>
    <w:pitch w:val="variable"/>
    <w:sig w:usb0="A00000AF" w:usb1="4000004A" w:usb2="00000000" w:usb3="00000000" w:csb0="00000093" w:csb1="00000000"/>
  </w:font>
  <w:font w:name="Museo 700">
    <w:panose1 w:val="02000000000000000000"/>
    <w:charset w:val="00"/>
    <w:family w:val="auto"/>
    <w:pitch w:val="variable"/>
    <w:sig w:usb0="A00000AF" w:usb1="4000004A" w:usb2="00000000" w:usb3="00000000" w:csb0="00000093"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Pr="00F605E2" w:rsidRDefault="00F605E2" w:rsidP="00F605E2">
    <w:pPr>
      <w:pStyle w:val="Orri-oina"/>
      <w:jc w:val="center"/>
      <w:rPr>
        <w:color w:val="777777"/>
        <w:sz w:val="16"/>
        <w:szCs w:val="16"/>
        <w:lang w:val="es-ES_tradnl"/>
      </w:rPr>
    </w:pPr>
    <w:proofErr w:type="spellStart"/>
    <w:r>
      <w:rPr>
        <w:color w:val="777777"/>
        <w:sz w:val="16"/>
        <w:szCs w:val="16"/>
        <w:lang w:val="es-ES_tradnl"/>
      </w:rPr>
      <w:t>Kale</w:t>
    </w:r>
    <w:proofErr w:type="spellEnd"/>
    <w:r>
      <w:rPr>
        <w:color w:val="777777"/>
        <w:sz w:val="16"/>
        <w:szCs w:val="16"/>
        <w:lang w:val="es-ES_tradnl"/>
      </w:rPr>
      <w:t xml:space="preserve"> </w:t>
    </w:r>
    <w:proofErr w:type="spellStart"/>
    <w:r>
      <w:rPr>
        <w:color w:val="777777"/>
        <w:sz w:val="16"/>
        <w:szCs w:val="16"/>
        <w:lang w:val="es-ES_tradnl"/>
      </w:rPr>
      <w:t>Nagusia</w:t>
    </w:r>
    <w:proofErr w:type="spellEnd"/>
    <w:r>
      <w:rPr>
        <w:color w:val="777777"/>
        <w:sz w:val="16"/>
        <w:szCs w:val="16"/>
        <w:lang w:val="es-ES_tradnl"/>
      </w:rPr>
      <w:t xml:space="preserve"> 22, 20160 Lasarte-Oria (</w:t>
    </w:r>
    <w:proofErr w:type="spellStart"/>
    <w:r>
      <w:rPr>
        <w:color w:val="777777"/>
        <w:sz w:val="16"/>
        <w:szCs w:val="16"/>
        <w:lang w:val="es-ES_tradnl"/>
      </w:rPr>
      <w:t>Gipuzkoa</w:t>
    </w:r>
    <w:proofErr w:type="spellEnd"/>
    <w:r>
      <w:rPr>
        <w:color w:val="777777"/>
        <w:sz w:val="16"/>
        <w:szCs w:val="16"/>
        <w:lang w:val="es-ES_tradnl"/>
      </w:rPr>
      <w:t xml:space="preserve">) | </w:t>
    </w:r>
    <w:r>
      <w:rPr>
        <w:color w:val="777777"/>
        <w:sz w:val="20"/>
        <w:szCs w:val="20"/>
        <w:lang w:val="es-ES_tradnl"/>
      </w:rPr>
      <w:sym w:font="Wingdings" w:char="0029"/>
    </w:r>
    <w:r>
      <w:rPr>
        <w:color w:val="777777"/>
        <w:sz w:val="16"/>
        <w:szCs w:val="16"/>
        <w:lang w:val="es-ES_tradnl"/>
      </w:rPr>
      <w:t xml:space="preserve"> 0034 943 376055 | </w:t>
    </w:r>
    <w:r>
      <w:rPr>
        <w:color w:val="777777"/>
        <w:sz w:val="20"/>
        <w:szCs w:val="20"/>
        <w:lang w:val="es-ES_tradnl"/>
      </w:rPr>
      <w:sym w:font="Wingdings" w:char="002A"/>
    </w:r>
    <w:r w:rsidR="00E55C3A">
      <w:rPr>
        <w:color w:val="777777"/>
        <w:sz w:val="16"/>
        <w:szCs w:val="16"/>
        <w:lang w:val="es-ES_tradnl"/>
      </w:rPr>
      <w:t>udala@lasarte-oria.eus</w:t>
    </w:r>
    <w:r w:rsidR="00C74DC7">
      <w:rPr>
        <w:color w:val="777777"/>
        <w:sz w:val="16"/>
        <w:szCs w:val="16"/>
        <w:lang w:val="es-ES_tradnl"/>
      </w:rPr>
      <w:t xml:space="preserve">  | </w:t>
    </w:r>
    <w:r>
      <w:rPr>
        <w:color w:val="777777"/>
        <w:sz w:val="16"/>
        <w:szCs w:val="16"/>
        <w:lang w:val="es-ES_tradnl"/>
      </w:rPr>
      <w:t>I</w:t>
    </w:r>
    <w:r w:rsidR="00C74DC7">
      <w:rPr>
        <w:color w:val="777777"/>
        <w:sz w:val="16"/>
        <w:szCs w:val="16"/>
        <w:lang w:val="es-ES_tradnl"/>
      </w:rPr>
      <w:t>F</w:t>
    </w:r>
    <w:r>
      <w:rPr>
        <w:color w:val="777777"/>
        <w:sz w:val="16"/>
        <w:szCs w:val="16"/>
        <w:lang w:val="es-ES_tradnl"/>
      </w:rPr>
      <w:t>Z/NIF P2009500F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113B" w:rsidRDefault="000F113B">
      <w:r>
        <w:separator/>
      </w:r>
    </w:p>
  </w:footnote>
  <w:footnote w:type="continuationSeparator" w:id="0">
    <w:p w:rsidR="000F113B" w:rsidRDefault="000F11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Default="00067EC1">
    <w:pPr>
      <w:pStyle w:val="Goiburua"/>
    </w:pPr>
    <w:r>
      <w:rPr>
        <w:noProof/>
      </w:rPr>
      <w:pict>
        <v:shapetype id="_x0000_t202" coordsize="21600,21600" o:spt="202" path="m,l,21600r21600,l21600,xe">
          <v:stroke joinstyle="miter"/>
          <v:path gradientshapeok="t" o:connecttype="rect"/>
        </v:shapetype>
        <v:shape id="_x0000_s2057" type="#_x0000_t202" style="position:absolute;margin-left:36pt;margin-top:5.95pt;width:162pt;height:45pt;z-index:-251659264" filled="f" stroked="f" strokeweight="0">
          <v:textbox>
            <w:txbxContent>
              <w:p w:rsidR="00067EC1" w:rsidRPr="00067EC1" w:rsidRDefault="00067EC1" w:rsidP="00C156E1">
                <w:pPr>
                  <w:pStyle w:val="Goiburua"/>
                  <w:rPr>
                    <w:rFonts w:ascii="Museo 700" w:hAnsi="Museo 700"/>
                    <w:noProof/>
                    <w:sz w:val="32"/>
                    <w:szCs w:val="32"/>
                    <w:lang w:val="es-ES_tradnl"/>
                  </w:rPr>
                </w:pPr>
                <w:r>
                  <w:rPr>
                    <w:rFonts w:ascii="Museo 700" w:hAnsi="Museo 700"/>
                    <w:noProof/>
                    <w:sz w:val="32"/>
                    <w:szCs w:val="32"/>
                    <w:lang w:val="es-ES_tradnl"/>
                  </w:rPr>
                  <w:t>LASARTE-ORIA</w:t>
                </w:r>
              </w:p>
              <w:p w:rsidR="00067EC1" w:rsidRPr="00067EC1" w:rsidRDefault="00067EC1" w:rsidP="00C156E1">
                <w:pPr>
                  <w:pStyle w:val="Goiburua"/>
                  <w:rPr>
                    <w:noProof/>
                    <w:sz w:val="16"/>
                    <w:szCs w:val="16"/>
                    <w:lang w:val="es-ES_tradnl"/>
                  </w:rPr>
                </w:pPr>
                <w:r w:rsidRPr="00067EC1">
                  <w:rPr>
                    <w:noProof/>
                    <w:sz w:val="16"/>
                    <w:szCs w:val="16"/>
                    <w:lang w:val="es-ES_tradnl"/>
                  </w:rPr>
                  <w:t>UDALA-AYUNTAMIENTO</w:t>
                </w:r>
              </w:p>
            </w:txbxContent>
          </v:textbox>
        </v:shape>
      </w:pict>
    </w:r>
    <w:r w:rsidR="007B56C3">
      <w:rPr>
        <w:noProof/>
      </w:rPr>
      <w:drawing>
        <wp:anchor distT="0" distB="0" distL="114300" distR="114300" simplePos="0" relativeHeight="251658240" behindDoc="1" locked="0" layoutInCell="1" allowOverlap="1">
          <wp:simplePos x="0" y="0"/>
          <wp:positionH relativeFrom="column">
            <wp:posOffset>-114300</wp:posOffset>
          </wp:positionH>
          <wp:positionV relativeFrom="paragraph">
            <wp:posOffset>-38735</wp:posOffset>
          </wp:positionV>
          <wp:extent cx="584200" cy="666750"/>
          <wp:effectExtent l="19050" t="0" r="6350" b="0"/>
          <wp:wrapNone/>
          <wp:docPr id="10" name="Irudia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90C7F"/>
    <w:multiLevelType w:val="multilevel"/>
    <w:tmpl w:val="5248FB56"/>
    <w:lvl w:ilvl="0">
      <w:start w:val="1"/>
      <w:numFmt w:val="bullet"/>
      <w:lvlText w:val="o"/>
      <w:lvlJc w:val="left"/>
      <w:pPr>
        <w:tabs>
          <w:tab w:val="num" w:pos="0"/>
        </w:tabs>
        <w:ind w:left="1800" w:hanging="360"/>
      </w:pPr>
      <w:rPr>
        <w:rFonts w:ascii="Courier New" w:hAnsi="Courier New" w:cs="Courier New"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1">
    <w:nsid w:val="211B378D"/>
    <w:multiLevelType w:val="multilevel"/>
    <w:tmpl w:val="B4968184"/>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7B56C3"/>
    <w:rsid w:val="0006047D"/>
    <w:rsid w:val="00067EC1"/>
    <w:rsid w:val="000F113B"/>
    <w:rsid w:val="00103EF5"/>
    <w:rsid w:val="00112D33"/>
    <w:rsid w:val="00120410"/>
    <w:rsid w:val="00137ABD"/>
    <w:rsid w:val="002D429F"/>
    <w:rsid w:val="00304BC1"/>
    <w:rsid w:val="00312F59"/>
    <w:rsid w:val="0034657F"/>
    <w:rsid w:val="003F4EDB"/>
    <w:rsid w:val="00497813"/>
    <w:rsid w:val="004B1D06"/>
    <w:rsid w:val="004C0952"/>
    <w:rsid w:val="0050393A"/>
    <w:rsid w:val="00507687"/>
    <w:rsid w:val="00520F36"/>
    <w:rsid w:val="00527480"/>
    <w:rsid w:val="00562AD3"/>
    <w:rsid w:val="005752D7"/>
    <w:rsid w:val="00594454"/>
    <w:rsid w:val="005F5D63"/>
    <w:rsid w:val="006133D7"/>
    <w:rsid w:val="00661C0E"/>
    <w:rsid w:val="007B56C3"/>
    <w:rsid w:val="0082087F"/>
    <w:rsid w:val="00897D6B"/>
    <w:rsid w:val="008D0C63"/>
    <w:rsid w:val="009210AF"/>
    <w:rsid w:val="00991F02"/>
    <w:rsid w:val="00994CA1"/>
    <w:rsid w:val="009B3CDF"/>
    <w:rsid w:val="00BE3AD3"/>
    <w:rsid w:val="00C156E1"/>
    <w:rsid w:val="00C74DC7"/>
    <w:rsid w:val="00CE29C2"/>
    <w:rsid w:val="00D30F16"/>
    <w:rsid w:val="00D45FB2"/>
    <w:rsid w:val="00DB0DE5"/>
    <w:rsid w:val="00E513DB"/>
    <w:rsid w:val="00E55C3A"/>
    <w:rsid w:val="00EF3498"/>
    <w:rsid w:val="00F409AE"/>
    <w:rsid w:val="00F605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4B1D06"/>
    <w:rPr>
      <w:rFonts w:ascii="Museo 300" w:hAnsi="Museo 300"/>
      <w:sz w:val="22"/>
      <w:szCs w:val="24"/>
    </w:rPr>
  </w:style>
  <w:style w:type="paragraph" w:styleId="1izenburua">
    <w:name w:val="heading 1"/>
    <w:basedOn w:val="Normala"/>
    <w:next w:val="Normala"/>
    <w:qFormat/>
    <w:rsid w:val="004B1D06"/>
    <w:pPr>
      <w:keepNext/>
      <w:spacing w:before="240" w:after="60"/>
      <w:jc w:val="center"/>
      <w:outlineLvl w:val="0"/>
    </w:pPr>
    <w:rPr>
      <w:rFonts w:ascii="Museo 700" w:hAnsi="Museo 700" w:cs="Arial"/>
      <w:b/>
      <w:bCs/>
      <w:kern w:val="32"/>
      <w:szCs w:val="32"/>
    </w:rPr>
  </w:style>
  <w:style w:type="character" w:default="1" w:styleId="Paragrafoarenletra-tipolehenetsia">
    <w:name w:val="Default Paragraph Font"/>
    <w:semiHidden/>
  </w:style>
  <w:style w:type="table" w:default="1" w:styleId="Taulanormala">
    <w:name w:val="Normal Table"/>
    <w:semiHidden/>
    <w:tblPr>
      <w:tblInd w:w="0" w:type="dxa"/>
      <w:tblCellMar>
        <w:top w:w="0" w:type="dxa"/>
        <w:left w:w="108" w:type="dxa"/>
        <w:bottom w:w="0" w:type="dxa"/>
        <w:right w:w="108" w:type="dxa"/>
      </w:tblCellMar>
    </w:tblPr>
  </w:style>
  <w:style w:type="numbering" w:default="1" w:styleId="Zerrendarikez">
    <w:name w:val="No List"/>
    <w:semiHidden/>
  </w:style>
  <w:style w:type="paragraph" w:styleId="Goiburua">
    <w:name w:val="header"/>
    <w:basedOn w:val="Normala"/>
    <w:rsid w:val="006133D7"/>
    <w:pPr>
      <w:tabs>
        <w:tab w:val="center" w:pos="4536"/>
        <w:tab w:val="right" w:pos="9072"/>
      </w:tabs>
    </w:pPr>
  </w:style>
  <w:style w:type="paragraph" w:styleId="Orri-oina">
    <w:name w:val="footer"/>
    <w:basedOn w:val="Normala"/>
    <w:rsid w:val="006133D7"/>
    <w:pPr>
      <w:tabs>
        <w:tab w:val="center" w:pos="4536"/>
        <w:tab w:val="right" w:pos="9072"/>
      </w:tabs>
    </w:pPr>
  </w:style>
  <w:style w:type="character" w:styleId="Hiperesteka">
    <w:name w:val="Hyperlink"/>
    <w:basedOn w:val="Paragrafoarenletra-tipolehenetsia"/>
    <w:rsid w:val="006133D7"/>
    <w:rPr>
      <w:color w:val="0000FF"/>
      <w:u w:val="single"/>
    </w:rPr>
  </w:style>
  <w:style w:type="table" w:styleId="Saretaduntaula">
    <w:name w:val="Table Grid"/>
    <w:basedOn w:val="Taulanormala"/>
    <w:rsid w:val="000F11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errenda-paragrafoaKar">
    <w:name w:val="Zerrenda-paragrafoa Kar"/>
    <w:aliases w:val="importante Kar"/>
    <w:link w:val="Zerrenda-paragrafoa"/>
    <w:uiPriority w:val="34"/>
    <w:qFormat/>
    <w:rsid w:val="000F113B"/>
  </w:style>
  <w:style w:type="paragraph" w:styleId="Zerrenda-paragrafoa">
    <w:name w:val="List Paragraph"/>
    <w:aliases w:val="importante"/>
    <w:basedOn w:val="Normala"/>
    <w:link w:val="Zerrenda-paragrafoaKar"/>
    <w:uiPriority w:val="34"/>
    <w:qFormat/>
    <w:rsid w:val="000F113B"/>
    <w:pPr>
      <w:suppressAutoHyphens/>
      <w:ind w:left="720" w:firstLine="360"/>
      <w:contextualSpacing/>
    </w:pPr>
    <w:rPr>
      <w:rFonts w:ascii="Times New Roman" w:hAnsi="Times New Roman"/>
      <w:sz w:val="20"/>
      <w:szCs w:val="20"/>
    </w:rPr>
  </w:style>
  <w:style w:type="paragraph" w:customStyle="1" w:styleId="norma06">
    <w:name w:val="norma06"/>
    <w:basedOn w:val="Normala"/>
    <w:rsid w:val="000F113B"/>
    <w:pPr>
      <w:spacing w:before="100" w:beforeAutospacing="1" w:after="100" w:afterAutospacing="1"/>
    </w:pPr>
    <w:rPr>
      <w:rFonts w:ascii="Times New Roman" w:hAnsi="Times New Roman"/>
      <w:sz w:val="24"/>
    </w:rPr>
  </w:style>
  <w:style w:type="character" w:customStyle="1" w:styleId="textocomun">
    <w:name w:val="textocomun"/>
    <w:basedOn w:val="Paragrafoarenletra-tipolehenetsia"/>
    <w:rsid w:val="000F113B"/>
  </w:style>
  <w:style w:type="character" w:styleId="Iruzkinarenerreferentzia">
    <w:name w:val="annotation reference"/>
    <w:basedOn w:val="Paragrafoarenletra-tipolehenetsia"/>
    <w:rsid w:val="000F113B"/>
    <w:rPr>
      <w:sz w:val="16"/>
      <w:szCs w:val="16"/>
    </w:rPr>
  </w:style>
  <w:style w:type="paragraph" w:styleId="Iruzkinarentestua">
    <w:name w:val="annotation text"/>
    <w:basedOn w:val="Normala"/>
    <w:link w:val="IruzkinarentestuaKar"/>
    <w:rsid w:val="000F113B"/>
    <w:rPr>
      <w:sz w:val="20"/>
      <w:szCs w:val="20"/>
    </w:rPr>
  </w:style>
  <w:style w:type="character" w:customStyle="1" w:styleId="IruzkinarentestuaKar">
    <w:name w:val="Iruzkinaren testua Kar"/>
    <w:basedOn w:val="Paragrafoarenletra-tipolehenetsia"/>
    <w:link w:val="Iruzkinarentestua"/>
    <w:rsid w:val="000F113B"/>
    <w:rPr>
      <w:rFonts w:ascii="Museo 300" w:hAnsi="Museo 300"/>
    </w:rPr>
  </w:style>
  <w:style w:type="paragraph" w:styleId="Iruzkinarengaia">
    <w:name w:val="annotation subject"/>
    <w:basedOn w:val="Iruzkinarentestua"/>
    <w:next w:val="Iruzkinarentestua"/>
    <w:link w:val="IruzkinarengaiaKar"/>
    <w:rsid w:val="000F113B"/>
    <w:rPr>
      <w:b/>
      <w:bCs/>
    </w:rPr>
  </w:style>
  <w:style w:type="character" w:customStyle="1" w:styleId="IruzkinarengaiaKar">
    <w:name w:val="Iruzkinaren gaia Kar"/>
    <w:basedOn w:val="IruzkinarentestuaKar"/>
    <w:link w:val="Iruzkinarengaia"/>
    <w:rsid w:val="000F113B"/>
    <w:rPr>
      <w:b/>
      <w:bCs/>
    </w:rPr>
  </w:style>
  <w:style w:type="paragraph" w:styleId="Bunbuiloarentestua">
    <w:name w:val="Balloon Text"/>
    <w:basedOn w:val="Normala"/>
    <w:link w:val="BunbuiloarentestuaKar"/>
    <w:rsid w:val="000F113B"/>
    <w:rPr>
      <w:rFonts w:ascii="Tahoma" w:hAnsi="Tahoma" w:cs="Tahoma"/>
      <w:sz w:val="16"/>
      <w:szCs w:val="16"/>
    </w:rPr>
  </w:style>
  <w:style w:type="character" w:customStyle="1" w:styleId="BunbuiloarentestuaKar">
    <w:name w:val="Bunbuiloaren testua Kar"/>
    <w:basedOn w:val="Paragrafoarenletra-tipolehenetsia"/>
    <w:link w:val="Bunbuiloarentestua"/>
    <w:rsid w:val="000F113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7142351">
      <w:bodyDiv w:val="1"/>
      <w:marLeft w:val="0"/>
      <w:marRight w:val="0"/>
      <w:marTop w:val="0"/>
      <w:marBottom w:val="0"/>
      <w:divBdr>
        <w:top w:val="none" w:sz="0" w:space="0" w:color="auto"/>
        <w:left w:val="none" w:sz="0" w:space="0" w:color="auto"/>
        <w:bottom w:val="none" w:sz="0" w:space="0" w:color="auto"/>
        <w:right w:val="none" w:sz="0" w:space="0" w:color="auto"/>
      </w:divBdr>
    </w:div>
    <w:div w:id="1233736894">
      <w:bodyDiv w:val="1"/>
      <w:marLeft w:val="0"/>
      <w:marRight w:val="0"/>
      <w:marTop w:val="0"/>
      <w:marBottom w:val="0"/>
      <w:divBdr>
        <w:top w:val="none" w:sz="0" w:space="0" w:color="auto"/>
        <w:left w:val="none" w:sz="0" w:space="0" w:color="auto"/>
        <w:bottom w:val="none" w:sz="0" w:space="0" w:color="auto"/>
        <w:right w:val="none" w:sz="0" w:space="0" w:color="auto"/>
      </w:divBdr>
    </w:div>
    <w:div w:id="181524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lasarte\plantillak\word\Tx_Orokorra_tinta1.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Tx_Orokorra_tinta1</Template>
  <TotalTime>22</TotalTime>
  <Pages>2</Pages>
  <Words>569</Words>
  <Characters>3722</Characters>
  <Application>Microsoft Office Word</Application>
  <DocSecurity>0</DocSecurity>
  <Lines>31</Lines>
  <Paragraphs>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Ayuntamiento de Lasarte-Oriako Udala</Company>
  <LinksUpToDate>false</LinksUpToDate>
  <CharactersWithSpaces>4283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a.uranga</dc:creator>
  <cp:lastModifiedBy>a.uranga</cp:lastModifiedBy>
  <cp:revision>3</cp:revision>
  <cp:lastPrinted>1601-01-01T00:00:00Z</cp:lastPrinted>
  <dcterms:created xsi:type="dcterms:W3CDTF">2024-09-25T05:27:00Z</dcterms:created>
  <dcterms:modified xsi:type="dcterms:W3CDTF">2024-09-25T06:00:00Z</dcterms:modified>
</cp:coreProperties>
</file>