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Verdana" w:hAnsi="Verdana"/>
        </w:rPr>
      </w:pPr>
      <w:r>
        <w:rPr>
          <w:rFonts w:cs="Verdana" w:ascii="Verdana" w:hAnsi="Verdana"/>
          <w:b/>
          <w:bCs/>
          <w:sz w:val="16"/>
          <w:szCs w:val="16"/>
          <w:shd w:fill="auto" w:val="clear"/>
        </w:rPr>
        <w:t xml:space="preserve">CONVENIO DE LA SUBVENCIÓN NOMINATIVA OTORGADA POR EL AYUNTAMIENTO DE GIJÓN/XIXÓN A LA CÁMARA OFICIAL DE </w:t>
      </w:r>
      <w:r>
        <w:rPr>
          <w:rFonts w:ascii="Verdana" w:hAnsi="Verdana"/>
          <w:b/>
          <w:sz w:val="16"/>
        </w:rPr>
        <w:t>COMERCIO, INDUSTRIA, SERVICIOS Y NAVEGACIÓN DE GIJÓN</w:t>
      </w:r>
      <w:r>
        <w:rPr>
          <w:rFonts w:cs="Times New Roman" w:ascii="Verdana" w:hAnsi="Verdana"/>
          <w:b/>
          <w:bCs/>
          <w:sz w:val="16"/>
          <w:szCs w:val="16"/>
          <w:shd w:fill="auto" w:val="clear"/>
        </w:rPr>
        <w:t xml:space="preserve">, </w:t>
      </w:r>
      <w:r>
        <w:rPr>
          <w:rFonts w:ascii="Verdana" w:hAnsi="Verdana"/>
          <w:b/>
          <w:sz w:val="16"/>
          <w:szCs w:val="16"/>
          <w:shd w:fill="auto" w:val="clear"/>
        </w:rPr>
        <w:t xml:space="preserve">PARA EL DESARROLLO  DE  ACTUACIONES  EN EL AÑO 2024 </w:t>
      </w:r>
    </w:p>
    <w:p>
      <w:pPr>
        <w:pStyle w:val="Normal"/>
        <w:spacing w:lineRule="auto" w:line="240"/>
        <w:jc w:val="both"/>
        <w:rPr>
          <w:rFonts w:ascii="Verdana" w:hAnsi="Verdana"/>
        </w:rPr>
      </w:pPr>
      <w:r>
        <w:rPr>
          <w:rFonts w:ascii="Verdana" w:hAnsi="Verdana"/>
        </w:rPr>
      </w:r>
    </w:p>
    <w:p>
      <w:pPr>
        <w:pStyle w:val="Normal"/>
        <w:spacing w:lineRule="auto" w:line="240"/>
        <w:jc w:val="both"/>
        <w:rPr>
          <w:rFonts w:ascii="Verdana" w:hAnsi="Verdana"/>
          <w:sz w:val="16"/>
          <w:szCs w:val="16"/>
        </w:rPr>
      </w:pPr>
      <w:r>
        <w:rPr>
          <w:rFonts w:ascii="Verdana" w:hAnsi="Verdana"/>
          <w:sz w:val="16"/>
          <w:szCs w:val="16"/>
        </w:rPr>
      </w:r>
    </w:p>
    <w:p>
      <w:pPr>
        <w:pStyle w:val="Heading5"/>
        <w:spacing w:lineRule="auto" w:line="240"/>
        <w:jc w:val="both"/>
        <w:rPr>
          <w:rFonts w:ascii="Verdana" w:hAnsi="Verdana"/>
          <w:sz w:val="16"/>
          <w:szCs w:val="16"/>
          <w:highlight w:val="none"/>
          <w:shd w:fill="FFFF00" w:val="clear"/>
        </w:rPr>
      </w:pPr>
      <w:r>
        <w:rPr>
          <w:rFonts w:ascii="Verdana" w:hAnsi="Verdana"/>
          <w:sz w:val="16"/>
          <w:szCs w:val="16"/>
          <w:shd w:fill="FFFF00" w:val="clear"/>
        </w:rPr>
      </w:r>
    </w:p>
    <w:p>
      <w:pPr>
        <w:pStyle w:val="Heading5"/>
        <w:spacing w:lineRule="auto" w:line="240"/>
        <w:rPr>
          <w:rFonts w:ascii="Verdana" w:hAnsi="Verdana"/>
          <w:sz w:val="16"/>
          <w:szCs w:val="16"/>
        </w:rPr>
      </w:pPr>
      <w:r>
        <w:rPr>
          <w:rFonts w:ascii="Verdana" w:hAnsi="Verdana"/>
          <w:sz w:val="16"/>
          <w:szCs w:val="16"/>
          <w:shd w:fill="auto" w:val="clear"/>
        </w:rPr>
        <w:t>REUNIDOS</w:t>
      </w:r>
    </w:p>
    <w:p>
      <w:pPr>
        <w:pStyle w:val="Heading5"/>
        <w:spacing w:lineRule="auto" w:line="240"/>
        <w:jc w:val="both"/>
        <w:rPr>
          <w:rFonts w:ascii="Verdana" w:hAnsi="Verdana"/>
          <w:sz w:val="16"/>
          <w:szCs w:val="16"/>
          <w:highlight w:val="none"/>
          <w:shd w:fill="auto" w:val="clear"/>
        </w:rPr>
      </w:pPr>
      <w:r>
        <w:rPr>
          <w:rFonts w:ascii="Verdana" w:hAnsi="Verdana"/>
          <w:sz w:val="16"/>
          <w:szCs w:val="16"/>
          <w:shd w:fill="auto" w:val="clear"/>
        </w:rPr>
      </w:r>
    </w:p>
    <w:p>
      <w:pPr>
        <w:pStyle w:val="Normal"/>
        <w:spacing w:lineRule="auto" w:line="240"/>
        <w:jc w:val="both"/>
        <w:rPr>
          <w:rFonts w:ascii="Verdana" w:hAnsi="Verdana"/>
          <w:sz w:val="16"/>
          <w:szCs w:val="16"/>
        </w:rPr>
      </w:pPr>
      <w:r>
        <w:rPr>
          <w:rFonts w:ascii="Verdana" w:hAnsi="Verdana"/>
          <w:sz w:val="16"/>
          <w:szCs w:val="16"/>
          <w:shd w:fill="auto" w:val="clear"/>
        </w:rPr>
        <w:t xml:space="preserve">De una parte, la Excma. Sra. Alcaldesa –Presidenta del Iltre. Ayuntamiento de Gijón, </w:t>
      </w:r>
      <w:r>
        <w:rPr>
          <w:rFonts w:ascii="Verdana" w:hAnsi="Verdana"/>
          <w:b/>
          <w:bCs/>
          <w:sz w:val="16"/>
          <w:szCs w:val="16"/>
          <w:shd w:fill="auto" w:val="clear"/>
        </w:rPr>
        <w:t>Dña. Carmen Moriyón Entrialgo</w:t>
      </w:r>
      <w:r>
        <w:rPr>
          <w:rFonts w:ascii="Verdana" w:hAnsi="Verdana"/>
          <w:sz w:val="16"/>
          <w:szCs w:val="16"/>
          <w:shd w:fill="auto" w:val="clear"/>
        </w:rPr>
        <w:t>.</w:t>
      </w:r>
    </w:p>
    <w:p>
      <w:pPr>
        <w:pStyle w:val="Header"/>
        <w:tabs>
          <w:tab w:val="left" w:pos="708" w:leader="none"/>
          <w:tab w:val="center" w:pos="4252" w:leader="none"/>
          <w:tab w:val="right" w:pos="8504" w:leader="none"/>
        </w:tabs>
        <w:spacing w:lineRule="auto" w:line="240"/>
        <w:jc w:val="both"/>
        <w:rPr>
          <w:rFonts w:ascii="Verdana" w:hAnsi="Verdana"/>
          <w:sz w:val="16"/>
          <w:szCs w:val="16"/>
        </w:rPr>
      </w:pPr>
      <w:r>
        <w:rPr>
          <w:rFonts w:ascii="Verdana" w:hAnsi="Verdana"/>
          <w:sz w:val="16"/>
          <w:szCs w:val="16"/>
          <w:shd w:fill="auto" w:val="clear"/>
        </w:rPr>
        <w:t xml:space="preserve">De otra parte, </w:t>
      </w:r>
      <w:r>
        <w:rPr>
          <w:rFonts w:ascii="Verdana" w:hAnsi="Verdana"/>
          <w:b/>
          <w:sz w:val="16"/>
          <w:szCs w:val="16"/>
          <w:shd w:fill="auto" w:val="clear"/>
        </w:rPr>
        <w:t>D. Félix Baragaño Suárez</w:t>
      </w:r>
      <w:r>
        <w:rPr>
          <w:rFonts w:ascii="Verdana" w:hAnsi="Verdana"/>
          <w:sz w:val="16"/>
          <w:szCs w:val="16"/>
        </w:rPr>
        <w:t>, Presidente de la Cámara Oficial de Comercio, Industria, Servicios y Navegación de Gijón.</w:t>
      </w:r>
      <w:r>
        <w:rPr>
          <w:rFonts w:ascii="Verdana" w:hAnsi="Verdana"/>
          <w:sz w:val="16"/>
          <w:szCs w:val="16"/>
          <w:shd w:fill="auto" w:val="clear"/>
        </w:rPr>
        <w:t xml:space="preserve"> </w:t>
      </w:r>
    </w:p>
    <w:p>
      <w:pPr>
        <w:pStyle w:val="Header"/>
        <w:tabs>
          <w:tab w:val="left" w:pos="708" w:leader="none"/>
          <w:tab w:val="center" w:pos="4252" w:leader="none"/>
          <w:tab w:val="right" w:pos="8504" w:leader="none"/>
        </w:tabs>
        <w:spacing w:lineRule="auto" w:line="240"/>
        <w:jc w:val="both"/>
        <w:rPr>
          <w:rFonts w:ascii="Verdana" w:hAnsi="Verdana"/>
          <w:sz w:val="16"/>
          <w:szCs w:val="16"/>
          <w:highlight w:val="none"/>
          <w:shd w:fill="auto" w:val="clear"/>
        </w:rPr>
      </w:pPr>
      <w:r>
        <w:rPr>
          <w:rFonts w:ascii="Verdana" w:hAnsi="Verdana"/>
          <w:sz w:val="16"/>
          <w:szCs w:val="16"/>
          <w:shd w:fill="auto" w:val="clear"/>
        </w:rPr>
      </w:r>
    </w:p>
    <w:p>
      <w:pPr>
        <w:pStyle w:val="Normal"/>
        <w:spacing w:before="0" w:after="240"/>
        <w:ind w:hanging="0"/>
        <w:jc w:val="both"/>
        <w:rPr>
          <w:rFonts w:ascii="Verdana" w:hAnsi="Verdana"/>
          <w:sz w:val="16"/>
          <w:szCs w:val="16"/>
        </w:rPr>
      </w:pPr>
      <w:r>
        <w:rPr>
          <w:rFonts w:ascii="Verdana" w:hAnsi="Verdana"/>
          <w:sz w:val="16"/>
          <w:szCs w:val="16"/>
          <w:shd w:fill="auto" w:val="clear"/>
        </w:rPr>
        <w:t>En representaci</w:t>
      </w:r>
      <w:r>
        <w:rPr>
          <w:rFonts w:ascii="Verdana" w:hAnsi="Verdana"/>
          <w:sz w:val="16"/>
          <w:szCs w:val="16"/>
        </w:rPr>
        <w:t>ón de sus respectivos cargos y en el ejercicio de las facultades que cada una tiene conferidas, las partes se reconocen recíprocamente, en la calidad con que cada una interviene, la capacidad legal para el otorgamiento del presente convenio y, a tal efecto</w:t>
      </w:r>
    </w:p>
    <w:p>
      <w:pPr>
        <w:pStyle w:val="Normal"/>
        <w:spacing w:lineRule="auto" w:line="240"/>
        <w:jc w:val="both"/>
        <w:rPr>
          <w:rFonts w:ascii="Verdana" w:hAnsi="Verdana" w:cs="Times New Roman"/>
          <w:sz w:val="16"/>
          <w:szCs w:val="16"/>
          <w:highlight w:val="none"/>
          <w:shd w:fill="FFFF00" w:val="clear"/>
        </w:rPr>
      </w:pPr>
      <w:r>
        <w:rPr>
          <w:rFonts w:cs="Times New Roman" w:ascii="Verdana" w:hAnsi="Verdana"/>
          <w:sz w:val="16"/>
          <w:szCs w:val="16"/>
          <w:shd w:fill="FFFF00" w:val="clear"/>
        </w:rPr>
      </w:r>
    </w:p>
    <w:p>
      <w:pPr>
        <w:pStyle w:val="Heading5"/>
        <w:spacing w:lineRule="auto" w:line="240"/>
        <w:rPr>
          <w:rFonts w:ascii="Verdana" w:hAnsi="Verdana"/>
          <w:sz w:val="16"/>
          <w:szCs w:val="16"/>
        </w:rPr>
      </w:pPr>
      <w:r>
        <w:rPr>
          <w:rFonts w:ascii="Verdana" w:hAnsi="Verdana"/>
          <w:sz w:val="16"/>
          <w:szCs w:val="16"/>
          <w:shd w:fill="auto" w:val="clear"/>
        </w:rPr>
        <w:t>EXPONEN</w:t>
      </w:r>
    </w:p>
    <w:p>
      <w:pPr>
        <w:pStyle w:val="Normal"/>
        <w:spacing w:lineRule="auto" w:line="240" w:before="0" w:after="0"/>
        <w:rPr>
          <w:rFonts w:ascii="Verdana" w:hAnsi="Verdana"/>
          <w:sz w:val="16"/>
          <w:szCs w:val="16"/>
        </w:rPr>
      </w:pPr>
      <w:r>
        <w:rPr>
          <w:rFonts w:ascii="Verdana" w:hAnsi="Verdana"/>
          <w:sz w:val="16"/>
          <w:szCs w:val="16"/>
        </w:rPr>
      </w:r>
    </w:p>
    <w:p>
      <w:pPr>
        <w:pStyle w:val="Normal"/>
        <w:jc w:val="both"/>
        <w:rPr>
          <w:rFonts w:ascii="Verdana" w:hAnsi="Verdana"/>
          <w:sz w:val="16"/>
          <w:szCs w:val="16"/>
        </w:rPr>
      </w:pPr>
      <w:r>
        <w:rPr>
          <w:rFonts w:ascii="Verdana" w:hAnsi="Verdana"/>
          <w:b/>
          <w:sz w:val="16"/>
          <w:szCs w:val="16"/>
          <w:shd w:fill="auto" w:val="clear"/>
        </w:rPr>
        <w:t xml:space="preserve">PRIMERO.- </w:t>
      </w:r>
      <w:r>
        <w:rPr>
          <w:rFonts w:cs="" w:ascii="Verdana" w:hAnsi="Verdana"/>
          <w:sz w:val="16"/>
          <w:szCs w:val="16"/>
          <w:shd w:fill="auto" w:val="clear"/>
        </w:rPr>
        <w:t>Que el Ayuntamiento de Gijón/Xixón colabora con asociaciones de carácter público y privado articulando convenios en materia de desarrollo económico y empleo que favorezcan la participación de dichas entidades en el desarrollo local del municipio. Entre dichas entidades se encuentra la  Cámara Oficial de Comercio, Industria, Servicios y Navegación de Gijón</w:t>
      </w:r>
    </w:p>
    <w:p>
      <w:pPr>
        <w:pStyle w:val="Normal"/>
        <w:jc w:val="both"/>
        <w:rPr>
          <w:rFonts w:ascii="Verdana" w:hAnsi="Verdana"/>
          <w:sz w:val="16"/>
          <w:szCs w:val="16"/>
        </w:rPr>
      </w:pPr>
      <w:r>
        <w:rPr>
          <w:rFonts w:ascii="Verdana" w:hAnsi="Verdana"/>
          <w:b/>
          <w:sz w:val="16"/>
          <w:szCs w:val="16"/>
        </w:rPr>
        <w:t xml:space="preserve">SEGUNDO.- </w:t>
      </w:r>
      <w:r>
        <w:rPr>
          <w:rFonts w:ascii="Verdana" w:hAnsi="Verdana"/>
          <w:sz w:val="16"/>
          <w:szCs w:val="16"/>
        </w:rPr>
        <w:t>Que la Cámara Oficial de Comercio, Industria, Servicios y Navegación de Gijón (CIF Q3373007-H) es una Corporación de Derecho Público que se rige por Ley del Principado de Asturias 8/2015, de 20 de marzo, de Cámaras Oficiales de Comercio, Industria, Servicios Navegación en el marco de la Ley 4/2014, de 1 de abril la Ley 4/2014, de 1 de abril, y que representa los intereses generales de las empresas de Gijón, Carreño y Langreo. Como uno de sus fines corporativos, la Cámara Oficial de Comercio, Industria, Servicios y Navegación de Gijón ofrece servicios de alto valor añadido a la empresa, especialmente a las pymes y a los colectivos emprendedores que precisan realizar un mayor esfuerzo para sacar adelante sus proyectos: empresarios/as autónomos/as o mujeres, personas discapacitadas o jóvenes con iniciativas empresariales. De esta manera, la entidad cameral cubre un amplio abanico de necesidades de la empresa, que van desde la formación o la apertura a mercados internacionales, el asesoramiento y apoyo a la creación de empresas, hasta abordar áreas estratégicas como la calidad, la sostenibilidad, la comunicación o las nuevas tecnologías.</w:t>
      </w:r>
    </w:p>
    <w:p>
      <w:pPr>
        <w:pStyle w:val="Heading5"/>
        <w:spacing w:lineRule="auto" w:line="240" w:before="0" w:after="0"/>
        <w:rPr>
          <w:rFonts w:ascii="Verdana" w:hAnsi="Verdana"/>
          <w:sz w:val="16"/>
          <w:szCs w:val="16"/>
        </w:rPr>
      </w:pPr>
      <w:r>
        <w:rPr>
          <w:rFonts w:ascii="Verdana" w:hAnsi="Verdana"/>
          <w:sz w:val="16"/>
          <w:szCs w:val="16"/>
          <w:shd w:fill="auto" w:val="clear"/>
        </w:rPr>
        <w:t>ACUERDAN</w:t>
      </w:r>
    </w:p>
    <w:p>
      <w:pPr>
        <w:pStyle w:val="Normal"/>
        <w:spacing w:lineRule="auto" w:line="240" w:before="0" w:after="29"/>
        <w:rPr>
          <w:rFonts w:ascii="Verdana" w:hAnsi="Verdana"/>
          <w:sz w:val="16"/>
          <w:szCs w:val="16"/>
        </w:rPr>
      </w:pPr>
      <w:r>
        <w:rPr>
          <w:rFonts w:ascii="Verdana" w:hAnsi="Verdana"/>
          <w:sz w:val="16"/>
          <w:szCs w:val="16"/>
        </w:rPr>
      </w:r>
    </w:p>
    <w:p>
      <w:pPr>
        <w:pStyle w:val="Normal"/>
        <w:jc w:val="both"/>
        <w:rPr>
          <w:rFonts w:ascii="Verdana" w:hAnsi="Verdana"/>
          <w:sz w:val="16"/>
          <w:szCs w:val="16"/>
        </w:rPr>
      </w:pPr>
      <w:r>
        <w:rPr>
          <w:rFonts w:ascii="Verdana" w:hAnsi="Verdana"/>
          <w:b/>
          <w:sz w:val="16"/>
          <w:szCs w:val="16"/>
          <w:shd w:fill="auto" w:val="clear"/>
        </w:rPr>
        <w:t xml:space="preserve">OBJETO.- </w:t>
      </w:r>
      <w:r>
        <w:rPr>
          <w:rFonts w:ascii="Verdana" w:hAnsi="Verdana"/>
          <w:sz w:val="16"/>
          <w:szCs w:val="16"/>
        </w:rPr>
        <w:t>Establecer un marco de colaboración institucional entre el Ayuntamiento de Gijón/Xixón y la Cámara Oficial de Comercio, Industria, Servicios y Navegación de Gijón al objeto de llevar a cabo el proyecto presentado mediante la puesta en marcha de actuaciones dirigidas a sostener e incrementar de la actividad ferial y congresual en Gijón durante el año 2024.</w:t>
      </w:r>
    </w:p>
    <w:p>
      <w:pPr>
        <w:pStyle w:val="Normal"/>
        <w:spacing w:lineRule="auto" w:line="240" w:before="0" w:after="0"/>
        <w:jc w:val="center"/>
        <w:rPr>
          <w:rFonts w:ascii="Verdana" w:hAnsi="Verdana"/>
          <w:sz w:val="16"/>
          <w:szCs w:val="16"/>
        </w:rPr>
      </w:pPr>
      <w:r>
        <w:rPr>
          <w:rFonts w:ascii="Verdana" w:hAnsi="Verdana"/>
          <w:b/>
          <w:sz w:val="16"/>
          <w:szCs w:val="16"/>
          <w:shd w:fill="auto" w:val="clear"/>
        </w:rPr>
        <w:t>CLÁUSULAS</w:t>
      </w:r>
    </w:p>
    <w:p>
      <w:pPr>
        <w:pStyle w:val="Normal"/>
        <w:spacing w:lineRule="auto" w:line="240"/>
        <w:jc w:val="center"/>
        <w:rPr>
          <w:rFonts w:ascii="Verdana" w:hAnsi="Verdana"/>
          <w:sz w:val="16"/>
          <w:szCs w:val="16"/>
          <w:highlight w:val="none"/>
          <w:shd w:fill="auto" w:val="clear"/>
        </w:rPr>
      </w:pPr>
      <w:r>
        <w:rPr>
          <w:rFonts w:ascii="Verdana" w:hAnsi="Verdana"/>
          <w:sz w:val="16"/>
          <w:szCs w:val="16"/>
          <w:shd w:fill="auto" w:val="clear"/>
        </w:rPr>
      </w:r>
    </w:p>
    <w:p>
      <w:pPr>
        <w:pStyle w:val="Normal"/>
        <w:spacing w:lineRule="auto" w:line="276" w:before="0" w:after="113"/>
        <w:jc w:val="both"/>
        <w:rPr>
          <w:rFonts w:ascii="Verdana" w:hAnsi="Verdana"/>
          <w:sz w:val="16"/>
          <w:szCs w:val="16"/>
        </w:rPr>
      </w:pPr>
      <w:r>
        <w:rPr>
          <w:rFonts w:ascii="Verdana" w:hAnsi="Verdana"/>
          <w:b/>
          <w:sz w:val="16"/>
          <w:szCs w:val="16"/>
          <w:shd w:fill="auto" w:val="clear"/>
        </w:rPr>
        <w:t xml:space="preserve">PRIMERA.- PROYECTO A DESARROLLAR EN EL MARCO DEL CONVENIO </w:t>
      </w:r>
    </w:p>
    <w:p>
      <w:pPr>
        <w:pStyle w:val="Normal"/>
        <w:jc w:val="both"/>
        <w:rPr>
          <w:rFonts w:ascii="Verdana" w:hAnsi="Verdana"/>
          <w:sz w:val="16"/>
          <w:szCs w:val="16"/>
        </w:rPr>
      </w:pPr>
      <w:r>
        <w:rPr>
          <w:rFonts w:ascii="Verdana" w:hAnsi="Verdana"/>
          <w:b/>
          <w:sz w:val="16"/>
          <w:szCs w:val="16"/>
          <w:shd w:fill="auto" w:val="clear"/>
        </w:rPr>
        <w:t xml:space="preserve">DENOMINACIÓN: </w:t>
      </w:r>
      <w:r>
        <w:rPr>
          <w:rFonts w:ascii="Verdana" w:hAnsi="Verdana"/>
          <w:sz w:val="16"/>
          <w:szCs w:val="16"/>
        </w:rPr>
        <w:t>El proyecto contiene dos actuaciones, denominadas:</w:t>
      </w:r>
      <w:r>
        <w:rPr>
          <w:rFonts w:ascii="Verdana" w:hAnsi="Verdana"/>
          <w:i/>
          <w:sz w:val="16"/>
          <w:szCs w:val="16"/>
        </w:rPr>
        <w:t>"Dinamización económica en el entorno de la actividad ferial y congresual” y “Capacitación para la empleabilidad”.</w:t>
      </w:r>
    </w:p>
    <w:p>
      <w:pPr>
        <w:pStyle w:val="Normal"/>
        <w:spacing w:before="0" w:after="57"/>
        <w:jc w:val="both"/>
        <w:rPr>
          <w:rFonts w:ascii="Verdana" w:hAnsi="Verdana"/>
          <w:sz w:val="16"/>
          <w:szCs w:val="16"/>
        </w:rPr>
      </w:pPr>
      <w:r>
        <w:rPr>
          <w:rFonts w:ascii="Verdana" w:hAnsi="Verdana"/>
          <w:b/>
          <w:sz w:val="16"/>
          <w:szCs w:val="16"/>
        </w:rPr>
        <w:t xml:space="preserve">JUSTIFICACIÓN DEL PROYECTO </w:t>
      </w:r>
    </w:p>
    <w:p>
      <w:pPr>
        <w:pStyle w:val="Normal"/>
        <w:jc w:val="both"/>
        <w:rPr>
          <w:rFonts w:ascii="Verdana" w:hAnsi="Verdana"/>
          <w:sz w:val="16"/>
          <w:szCs w:val="16"/>
        </w:rPr>
      </w:pPr>
      <w:r>
        <w:rPr>
          <w:rFonts w:ascii="Verdana" w:hAnsi="Verdana"/>
          <w:sz w:val="16"/>
          <w:szCs w:val="16"/>
        </w:rPr>
        <w:t>La Cámara Oficial de Comercio, Industria, Servicios y Navegación de Gijón organiza a lo largo del año diversos certámenes monográficos de carácter sectorial, técnico y profesional, cumpliendo así la doble función de acercar productos a nuestro mercado (y al de nuestra área de influencia) y, por otra parte, complementar dicha influencia extendiéndola a un</w:t>
      </w:r>
      <w:r>
        <w:rPr>
          <w:rFonts w:ascii="Verdana" w:hAnsi="Verdana"/>
          <w:b/>
          <w:bCs/>
          <w:strike w:val="false"/>
          <w:dstrike w:val="false"/>
          <w:color w:val="auto"/>
          <w:sz w:val="16"/>
          <w:szCs w:val="16"/>
        </w:rPr>
        <w:t xml:space="preserve"> </w:t>
      </w:r>
      <w:r>
        <w:rPr>
          <w:rFonts w:ascii="Verdana" w:hAnsi="Verdana"/>
          <w:sz w:val="16"/>
          <w:szCs w:val="16"/>
        </w:rPr>
        <w:t>elevado número de visitantes que llegan desde fuera de Asturias, contribuyendo a dinamizar nuestra economía. Esta contribución se demuestra con el número de actividades que se convocan y celebran, en el número de participantes, en el acercamiento a nuestra ciudad de multitud de ideas, técnicas, bienes, productos y servicios que favorecen y dinamizan nuestro desarrollo, en la información y comunicación del potencial de la ciudad en materia industrial, comercial y de servicios, así como con el movimiento económico que genera el tránsito del volumen de personas que participan. Asimismo, la actividad ferial gestionada por la Cámara Oficial de Comercio, Industria, Servicios y Navegación de Gijón -única gestora posible de las actividades organizadas en el Recinto Ferial, refuerza la imagen de marca de la ciudad y el Turismo de Negocios, especialmente en la modalidad de Turismo de Congresos.</w:t>
      </w:r>
    </w:p>
    <w:p>
      <w:pPr>
        <w:pStyle w:val="Normal"/>
        <w:spacing w:before="0" w:after="57"/>
        <w:jc w:val="left"/>
        <w:rPr>
          <w:rFonts w:ascii="Verdana" w:hAnsi="Verdana"/>
          <w:sz w:val="16"/>
          <w:szCs w:val="16"/>
        </w:rPr>
      </w:pPr>
      <w:r>
        <w:rPr>
          <w:rFonts w:ascii="Verdana" w:hAnsi="Verdana"/>
          <w:b/>
          <w:sz w:val="16"/>
          <w:szCs w:val="16"/>
        </w:rPr>
        <w:t>OBJETIVO DEL PROYECTO</w:t>
      </w:r>
    </w:p>
    <w:p>
      <w:pPr>
        <w:pStyle w:val="Normal"/>
        <w:jc w:val="both"/>
        <w:rPr>
          <w:rFonts w:ascii="Verdana" w:hAnsi="Verdana"/>
          <w:sz w:val="16"/>
          <w:szCs w:val="16"/>
        </w:rPr>
      </w:pPr>
      <w:r>
        <w:rPr>
          <w:rFonts w:ascii="Verdana" w:hAnsi="Verdana"/>
          <w:sz w:val="16"/>
          <w:szCs w:val="16"/>
        </w:rPr>
        <w:t xml:space="preserve">En el marco de colaboración establecido, el objetivo se desdobla en la ejecución de dos proyectos; de una parte </w:t>
      </w:r>
      <w:r>
        <w:rPr>
          <w:rFonts w:ascii="Verdana" w:hAnsi="Verdana"/>
          <w:b/>
          <w:bCs/>
          <w:sz w:val="16"/>
          <w:szCs w:val="16"/>
        </w:rPr>
        <w:t>convocar y desarrollar dos grandes encuentros feriales</w:t>
      </w:r>
      <w:r>
        <w:rPr>
          <w:rFonts w:ascii="Verdana" w:hAnsi="Verdana"/>
          <w:sz w:val="16"/>
          <w:szCs w:val="16"/>
        </w:rPr>
        <w:t>: "Espacio Mascotas” (IX Edición) y “Dos ruedas meet” (</w:t>
      </w:r>
      <w:r>
        <w:rPr>
          <w:rFonts w:ascii="Verdana" w:hAnsi="Verdana"/>
          <w:b w:val="false"/>
          <w:bCs w:val="false"/>
          <w:sz w:val="16"/>
          <w:szCs w:val="16"/>
          <w:u w:val="none"/>
          <w:shd w:fill="auto" w:val="clear"/>
        </w:rPr>
        <w:t>I Salón Integral para la moto y la bicicleta</w:t>
      </w:r>
      <w:r>
        <w:rPr>
          <w:rFonts w:ascii="Verdana" w:hAnsi="Verdana"/>
          <w:sz w:val="16"/>
          <w:szCs w:val="16"/>
        </w:rPr>
        <w:t xml:space="preserve">), dos citas que reúnen a los profesionales de productos y servicios de los sectores de animales de compañía y de las dos ruedas, respectivamente; y de otra parte </w:t>
      </w:r>
      <w:r>
        <w:rPr>
          <w:rFonts w:ascii="Verdana" w:hAnsi="Verdana"/>
          <w:b/>
          <w:bCs/>
          <w:sz w:val="16"/>
          <w:szCs w:val="16"/>
        </w:rPr>
        <w:t xml:space="preserve">desarrollar el proyecto “Capacitación para la empleabilidad”, </w:t>
      </w:r>
      <w:r>
        <w:rPr>
          <w:rFonts w:ascii="Verdana" w:hAnsi="Verdana"/>
          <w:b w:val="false"/>
          <w:bCs w:val="false"/>
          <w:sz w:val="16"/>
          <w:szCs w:val="16"/>
        </w:rPr>
        <w:t xml:space="preserve">dirigido </w:t>
      </w:r>
      <w:r>
        <w:rPr>
          <w:rFonts w:eastAsia="Arial" w:cs="DejaVu Sans" w:ascii="Verdana" w:hAnsi="Verdana" w:cstheme="minorBidi" w:eastAsiaTheme="minorHAnsi"/>
          <w:b w:val="false"/>
          <w:bCs w:val="false"/>
          <w:color w:val="auto"/>
          <w:kern w:val="0"/>
          <w:sz w:val="16"/>
          <w:szCs w:val="16"/>
          <w:lang w:val="es-ES" w:eastAsia="en-US" w:bidi="ar-SA"/>
        </w:rPr>
        <w:t>a personas desempleadas mayores de 45 años.</w:t>
      </w:r>
    </w:p>
    <w:p>
      <w:pPr>
        <w:pStyle w:val="Normal"/>
        <w:spacing w:before="0" w:after="57"/>
        <w:jc w:val="left"/>
        <w:rPr>
          <w:rFonts w:ascii="Verdana" w:hAnsi="Verdana"/>
          <w:sz w:val="16"/>
          <w:szCs w:val="16"/>
        </w:rPr>
      </w:pPr>
      <w:r>
        <w:rPr>
          <w:rFonts w:eastAsia="Arial" w:cs="DejaVu Sans" w:ascii="Verdana" w:hAnsi="Verdana" w:cstheme="minorBidi" w:eastAsiaTheme="minorHAnsi"/>
          <w:b/>
          <w:color w:val="auto"/>
          <w:kern w:val="0"/>
          <w:sz w:val="16"/>
          <w:szCs w:val="16"/>
          <w:lang w:val="es-ES" w:eastAsia="en-US" w:bidi="ar-SA"/>
        </w:rPr>
        <w:t>DES</w:t>
      </w:r>
      <w:r>
        <w:rPr>
          <w:rFonts w:ascii="Verdana" w:hAnsi="Verdana"/>
          <w:b/>
          <w:sz w:val="16"/>
          <w:szCs w:val="16"/>
        </w:rPr>
        <w:t>TINATARIOS/AS DE LOS PROYECTOS</w:t>
      </w:r>
    </w:p>
    <w:p>
      <w:pPr>
        <w:pStyle w:val="Normal"/>
        <w:jc w:val="both"/>
        <w:rPr>
          <w:rFonts w:ascii="Verdana" w:hAnsi="Verdana"/>
          <w:sz w:val="16"/>
          <w:szCs w:val="16"/>
        </w:rPr>
      </w:pPr>
      <w:r>
        <w:rPr>
          <w:rFonts w:ascii="Verdana" w:hAnsi="Verdana"/>
          <w:b w:val="false"/>
          <w:bCs w:val="false"/>
          <w:sz w:val="16"/>
          <w:szCs w:val="16"/>
        </w:rPr>
        <w:t>EL Proyecto de Dinamización Económica relativo a las dos actividades feriales se dirigen a empresas y profesionales de los sectores de servicios a animales de compañía y de las dos ruedas, así como al público en general. El impacto en términos de público asistente a los dos certámenes se estima en unos 19.000 visitantes en 2024. El proyecto “</w:t>
      </w:r>
      <w:r>
        <w:rPr>
          <w:rFonts w:ascii="Verdana" w:hAnsi="Verdana"/>
          <w:b w:val="false"/>
          <w:bCs w:val="false"/>
          <w:i/>
          <w:sz w:val="16"/>
          <w:szCs w:val="16"/>
        </w:rPr>
        <w:t>Capacitación para la empleabilidad</w:t>
      </w:r>
      <w:r>
        <w:rPr>
          <w:rFonts w:ascii="Verdana" w:hAnsi="Verdana"/>
          <w:b w:val="false"/>
          <w:bCs w:val="false"/>
          <w:sz w:val="16"/>
          <w:szCs w:val="16"/>
        </w:rPr>
        <w:t>”, va dirigido a</w:t>
      </w:r>
      <w:r>
        <w:rPr>
          <w:rFonts w:eastAsia="Arial" w:cs="DejaVu Sans" w:ascii="Verdana" w:hAnsi="Verdana" w:cstheme="minorBidi" w:eastAsiaTheme="minorHAnsi"/>
          <w:b w:val="false"/>
          <w:bCs w:val="false"/>
          <w:color w:val="auto"/>
          <w:kern w:val="0"/>
          <w:sz w:val="16"/>
          <w:szCs w:val="16"/>
          <w:lang w:val="es-ES" w:eastAsia="en-US" w:bidi="ar-SA"/>
        </w:rPr>
        <w:t xml:space="preserve"> personas desempleadas mayores de 45 años.</w:t>
      </w:r>
    </w:p>
    <w:p>
      <w:pPr>
        <w:pStyle w:val="Normal"/>
        <w:spacing w:before="0" w:after="113"/>
        <w:jc w:val="both"/>
        <w:rPr>
          <w:rFonts w:ascii="Verdana" w:hAnsi="Verdana"/>
          <w:sz w:val="16"/>
          <w:szCs w:val="16"/>
        </w:rPr>
      </w:pPr>
      <w:r>
        <w:rPr>
          <w:rFonts w:eastAsia="Arial" w:cs="DejaVu Sans" w:ascii="Verdana" w:hAnsi="Verdana" w:cstheme="minorBidi" w:eastAsiaTheme="minorHAnsi"/>
          <w:b/>
          <w:color w:val="auto"/>
          <w:kern w:val="0"/>
          <w:sz w:val="16"/>
          <w:szCs w:val="16"/>
          <w:lang w:val="es-ES" w:eastAsia="en-US" w:bidi="ar-SA"/>
        </w:rPr>
        <w:t>ACTUACIONES A DESARROLLAR</w:t>
      </w:r>
    </w:p>
    <w:p>
      <w:pPr>
        <w:pStyle w:val="Normal"/>
        <w:spacing w:before="0" w:after="113"/>
        <w:jc w:val="both"/>
        <w:rPr>
          <w:rFonts w:ascii="Verdana" w:hAnsi="Verdana"/>
          <w:sz w:val="16"/>
          <w:szCs w:val="16"/>
        </w:rPr>
      </w:pPr>
      <w:r>
        <w:rPr>
          <w:rFonts w:ascii="Verdana" w:hAnsi="Verdana"/>
          <w:b/>
          <w:sz w:val="16"/>
          <w:szCs w:val="16"/>
        </w:rPr>
        <w:t>DINAMIZACIÓN ECONÓMICA EN EL ENTORNO DE LA ACTIVIDAD FERIAL Y CONGRESUAL</w:t>
      </w:r>
    </w:p>
    <w:p>
      <w:pPr>
        <w:pStyle w:val="Normal"/>
        <w:spacing w:before="0" w:after="113"/>
        <w:jc w:val="both"/>
        <w:rPr>
          <w:rFonts w:ascii="Verdana" w:hAnsi="Verdana"/>
          <w:sz w:val="16"/>
          <w:szCs w:val="16"/>
        </w:rPr>
      </w:pPr>
      <w:r>
        <w:rPr>
          <w:rFonts w:ascii="Verdana" w:hAnsi="Verdana"/>
          <w:b/>
          <w:sz w:val="16"/>
          <w:szCs w:val="16"/>
          <w:u w:val="single"/>
        </w:rPr>
        <w:t>Actividad nº 1.- ESPACIO MASCOTAS "IX Edición Espacio Mascotas"</w:t>
      </w:r>
    </w:p>
    <w:p>
      <w:pPr>
        <w:pStyle w:val="Normal"/>
        <w:spacing w:before="0" w:after="57"/>
        <w:jc w:val="both"/>
        <w:rPr>
          <w:rFonts w:ascii="Verdana" w:hAnsi="Verdana"/>
          <w:sz w:val="16"/>
          <w:szCs w:val="16"/>
        </w:rPr>
      </w:pPr>
      <w:r>
        <w:rPr>
          <w:rFonts w:ascii="Verdana" w:hAnsi="Verdana"/>
          <w:sz w:val="16"/>
          <w:szCs w:val="16"/>
        </w:rPr>
        <w:t>"Espacio Mascotas" es la gran cita anual para los amantes de los animales de compañía en el norte de España en el que profesionales de productos y servicios para mascotas cuentan con una plataforma en la que dar a conocer sus productos y servicios. Es el espacio en el que las empresas del sector y los visitantes pueden interactuar y descubrir las últimas novedades y tendencias relacionadas con los animales de compañía. Pero es, ante todo, el punto de encuentro de nuestras mascotas dirigido a todas aquellas personas que cuidan, disfrutan y protegen a los animales.</w:t>
      </w:r>
    </w:p>
    <w:p>
      <w:pPr>
        <w:pStyle w:val="Normal"/>
        <w:spacing w:before="0" w:after="57"/>
        <w:jc w:val="both"/>
        <w:rPr>
          <w:rFonts w:ascii="Verdana" w:hAnsi="Verdana"/>
          <w:sz w:val="16"/>
          <w:szCs w:val="16"/>
        </w:rPr>
      </w:pPr>
      <w:r>
        <w:rPr>
          <w:rFonts w:ascii="Verdana" w:hAnsi="Verdana"/>
          <w:b/>
          <w:sz w:val="16"/>
          <w:szCs w:val="16"/>
        </w:rPr>
        <w:t xml:space="preserve">Contenido del Evento: </w:t>
      </w:r>
      <w:r>
        <w:rPr>
          <w:rFonts w:ascii="Verdana" w:hAnsi="Verdana"/>
          <w:sz w:val="16"/>
          <w:szCs w:val="16"/>
        </w:rPr>
        <w:t>Celebración de un amplio abanico de actividades relacionadas directamente con las mascotas: campeonato de España de Agility, exhibiciones, concursos, desfiles, conferencias y talleres infantiles, entre otros. Para acoger las múltiples actividades programadas en la feria-certamen "Espacio mascotas" se emplearán múltiples espacios del Recinto Ferial, que suman unos 15.000 m</w:t>
      </w:r>
      <w:r>
        <w:rPr>
          <w:rFonts w:ascii="Verdana" w:hAnsi="Verdana"/>
          <w:sz w:val="16"/>
          <w:szCs w:val="16"/>
          <w:vertAlign w:val="superscript"/>
        </w:rPr>
        <w:t>2</w:t>
      </w:r>
      <w:r>
        <w:rPr>
          <w:rFonts w:ascii="Verdana" w:hAnsi="Verdana"/>
          <w:sz w:val="16"/>
          <w:szCs w:val="16"/>
        </w:rPr>
        <w:t xml:space="preserve"> de superficie expositiva (Pabellón Central, Lonjas del Palacio de Congresos y Pabellón de las Naciones).</w:t>
      </w:r>
    </w:p>
    <w:p>
      <w:pPr>
        <w:pStyle w:val="Normal"/>
        <w:spacing w:before="0" w:after="57"/>
        <w:jc w:val="both"/>
        <w:rPr>
          <w:rFonts w:ascii="Verdana" w:hAnsi="Verdana"/>
          <w:sz w:val="16"/>
          <w:szCs w:val="16"/>
        </w:rPr>
      </w:pPr>
      <w:r>
        <w:rPr>
          <w:rFonts w:ascii="Verdana" w:hAnsi="Verdana"/>
          <w:b/>
          <w:sz w:val="16"/>
          <w:szCs w:val="16"/>
        </w:rPr>
        <w:t xml:space="preserve">Fechas de celebración: </w:t>
      </w:r>
      <w:r>
        <w:rPr>
          <w:rFonts w:ascii="Verdana" w:hAnsi="Verdana"/>
          <w:sz w:val="16"/>
          <w:szCs w:val="16"/>
        </w:rPr>
        <w:t xml:space="preserve"> 6 y 7 de abril de 2024.</w:t>
      </w:r>
    </w:p>
    <w:p>
      <w:pPr>
        <w:pStyle w:val="Normal"/>
        <w:spacing w:before="0" w:after="57"/>
        <w:jc w:val="both"/>
        <w:rPr>
          <w:rFonts w:ascii="Verdana" w:hAnsi="Verdana"/>
          <w:sz w:val="16"/>
          <w:szCs w:val="16"/>
        </w:rPr>
      </w:pPr>
      <w:r>
        <w:rPr>
          <w:rFonts w:ascii="Verdana" w:hAnsi="Verdana"/>
          <w:b/>
          <w:sz w:val="16"/>
          <w:szCs w:val="16"/>
        </w:rPr>
        <w:t xml:space="preserve">Cronograma: </w:t>
      </w:r>
      <w:r>
        <w:rPr>
          <w:rFonts w:ascii="Verdana" w:hAnsi="Verdana"/>
          <w:sz w:val="16"/>
          <w:szCs w:val="16"/>
        </w:rPr>
        <w:t xml:space="preserve">De octubre a enero, se lleva a cabo la búsqueda de actividades y contenidos más apropiados. Benchmarking. De diciembre a marzo, convocatoria periodo preferente de expositores y comienzo de la campaña comercial (captación de nuevos expositores y continuación de relación con expositores de ediciones anteriores) así como localización de conferenciantes para actividades paralelas. El montaje de la feria se realizará del 1 al 5 de abril. El desmontaje de la </w:t>
      </w:r>
      <w:r>
        <w:rPr>
          <w:rFonts w:ascii="Verdana" w:hAnsi="Verdana"/>
          <w:sz w:val="16"/>
          <w:szCs w:val="16"/>
          <w:shd w:fill="auto" w:val="clear"/>
        </w:rPr>
        <w:t>feria se realizará del 8 al 9 de abril.</w:t>
      </w:r>
    </w:p>
    <w:p>
      <w:pPr>
        <w:pStyle w:val="Normal"/>
        <w:spacing w:before="0" w:after="57"/>
        <w:jc w:val="both"/>
        <w:rPr>
          <w:rFonts w:ascii="Verdana" w:hAnsi="Verdana"/>
          <w:sz w:val="16"/>
          <w:szCs w:val="16"/>
        </w:rPr>
      </w:pPr>
      <w:r>
        <w:rPr>
          <w:rFonts w:ascii="Verdana" w:hAnsi="Verdana"/>
          <w:b/>
          <w:sz w:val="16"/>
          <w:szCs w:val="16"/>
        </w:rPr>
        <w:t>Objetivos:</w:t>
      </w:r>
    </w:p>
    <w:p>
      <w:pPr>
        <w:pStyle w:val="Normal"/>
        <w:spacing w:before="0" w:after="0"/>
        <w:jc w:val="both"/>
        <w:rPr>
          <w:rFonts w:ascii="Verdana" w:hAnsi="Verdana"/>
          <w:sz w:val="16"/>
          <w:szCs w:val="16"/>
        </w:rPr>
      </w:pPr>
      <w:r>
        <w:rPr>
          <w:rFonts w:ascii="Verdana" w:hAnsi="Verdana"/>
          <w:sz w:val="16"/>
          <w:szCs w:val="16"/>
        </w:rPr>
        <w:t xml:space="preserve">Visitantes: Se estima que el número de participantes sea de unas 13.000 personas. </w:t>
      </w:r>
    </w:p>
    <w:p>
      <w:pPr>
        <w:pStyle w:val="Normal"/>
        <w:spacing w:before="0" w:after="0"/>
        <w:jc w:val="both"/>
        <w:rPr>
          <w:rFonts w:ascii="Verdana" w:hAnsi="Verdana"/>
          <w:sz w:val="16"/>
          <w:szCs w:val="16"/>
        </w:rPr>
      </w:pPr>
      <w:r>
        <w:rPr>
          <w:rFonts w:ascii="Verdana" w:hAnsi="Verdana"/>
          <w:sz w:val="16"/>
          <w:szCs w:val="16"/>
        </w:rPr>
        <w:t>Expositores: Se prevé una participación en torno a las 98 empresas</w:t>
      </w:r>
      <w:r>
        <w:rPr>
          <w:rFonts w:eastAsia="Arial" w:cs="DejaVu Sans" w:ascii="Verdana" w:hAnsi="Verdana" w:cstheme="minorBidi" w:eastAsiaTheme="minorHAnsi"/>
          <w:color w:val="auto"/>
          <w:kern w:val="0"/>
          <w:sz w:val="16"/>
          <w:szCs w:val="16"/>
          <w:lang w:val="es-ES" w:eastAsia="en-US" w:bidi="ar-SA"/>
        </w:rPr>
        <w:t xml:space="preserve"> empresas de bienes y servicios relacionados con el sector de los animales, así como asociaciones cuyo fin sea la protección de animales.</w:t>
      </w:r>
    </w:p>
    <w:p>
      <w:pPr>
        <w:pStyle w:val="Normal"/>
        <w:spacing w:before="0" w:after="0"/>
        <w:jc w:val="both"/>
        <w:rPr>
          <w:rFonts w:ascii="Verdana" w:hAnsi="Verdana"/>
          <w:sz w:val="16"/>
          <w:szCs w:val="16"/>
        </w:rPr>
      </w:pPr>
      <w:r>
        <w:rPr>
          <w:rFonts w:eastAsia="Arial" w:cs="DejaVu Sans" w:ascii="Verdana" w:hAnsi="Verdana" w:cstheme="minorBidi" w:eastAsiaTheme="minorHAnsi"/>
          <w:color w:val="auto"/>
          <w:kern w:val="0"/>
          <w:sz w:val="16"/>
          <w:szCs w:val="16"/>
          <w:lang w:val="es-ES" w:eastAsia="en-US" w:bidi="ar-SA"/>
        </w:rPr>
        <w:t>Realización de actividades paralelas dirigidas al mundo de las mascotas, charlas, exhibiciones, demo</w:t>
      </w:r>
      <w:r>
        <w:rPr>
          <w:rFonts w:ascii="Verdana" w:hAnsi="Verdana"/>
          <w:sz w:val="16"/>
          <w:szCs w:val="16"/>
        </w:rPr>
        <w:t>straciones, talleres, concursos, etc.</w:t>
      </w:r>
    </w:p>
    <w:p>
      <w:pPr>
        <w:pStyle w:val="Normal"/>
        <w:spacing w:before="0" w:after="0"/>
        <w:jc w:val="both"/>
        <w:rPr>
          <w:rFonts w:ascii="Verdana" w:hAnsi="Verdana"/>
          <w:sz w:val="16"/>
          <w:szCs w:val="16"/>
        </w:rPr>
      </w:pPr>
      <w:r>
        <w:rPr>
          <w:rFonts w:ascii="Verdana" w:hAnsi="Verdana"/>
          <w:sz w:val="16"/>
          <w:szCs w:val="16"/>
        </w:rPr>
        <w:t>Impacto: campaña de comunicación en medios regionales, redes sociales (Facebook, Instagram, twiter). Envío masivo de mailings comerciales.</w:t>
      </w:r>
    </w:p>
    <w:p>
      <w:pPr>
        <w:pStyle w:val="Normal"/>
        <w:spacing w:before="0" w:after="57"/>
        <w:jc w:val="both"/>
        <w:rPr>
          <w:rFonts w:ascii="Verdana" w:hAnsi="Verdana"/>
          <w:sz w:val="16"/>
          <w:szCs w:val="16"/>
        </w:rPr>
      </w:pPr>
      <w:r>
        <w:rPr>
          <w:rFonts w:ascii="Verdana" w:hAnsi="Verdana"/>
          <w:sz w:val="16"/>
          <w:szCs w:val="16"/>
        </w:rPr>
        <w:t>Espacio expositivo: Pabellón Central, Lonjas del Palacio de Congresos y Pabellón de las Naciones. 15.000 m²</w:t>
      </w:r>
      <w:r>
        <w:rPr>
          <w:rFonts w:ascii="Verdana" w:hAnsi="Verdana"/>
          <w:position w:val="0"/>
          <w:sz w:val="16"/>
          <w:sz w:val="16"/>
          <w:szCs w:val="16"/>
          <w:vertAlign w:val="baseline"/>
        </w:rPr>
        <w:t>.</w:t>
      </w:r>
    </w:p>
    <w:p>
      <w:pPr>
        <w:pStyle w:val="Normal"/>
        <w:spacing w:before="0" w:after="0"/>
        <w:jc w:val="both"/>
        <w:rPr>
          <w:rFonts w:ascii="Verdana" w:hAnsi="Verdana"/>
          <w:sz w:val="16"/>
          <w:szCs w:val="16"/>
        </w:rPr>
      </w:pPr>
      <w:r>
        <w:rPr>
          <w:rFonts w:ascii="Verdana" w:hAnsi="Verdana"/>
          <w:b/>
          <w:sz w:val="16"/>
          <w:szCs w:val="16"/>
        </w:rPr>
        <w:t>Recursos humanos:</w:t>
      </w:r>
    </w:p>
    <w:p>
      <w:pPr>
        <w:pStyle w:val="Normal"/>
        <w:spacing w:before="0" w:after="0"/>
        <w:jc w:val="both"/>
        <w:rPr>
          <w:rFonts w:ascii="Verdana" w:hAnsi="Verdana"/>
          <w:sz w:val="16"/>
          <w:szCs w:val="16"/>
        </w:rPr>
      </w:pPr>
      <w:r>
        <w:rPr>
          <w:rFonts w:ascii="Verdana" w:hAnsi="Verdana"/>
          <w:sz w:val="16"/>
          <w:szCs w:val="16"/>
        </w:rPr>
        <w:t xml:space="preserve">Personal eventual: Se contratará a 3 taquilleros/as, 6 azafatos/as, 5 peones de recinto, y 4 porteros. Contrato </w:t>
      </w:r>
      <w:r>
        <w:rPr>
          <w:rFonts w:ascii="Verdana" w:hAnsi="Verdana"/>
          <w:sz w:val="16"/>
          <w:szCs w:val="16"/>
          <w:shd w:fill="auto" w:val="clear"/>
        </w:rPr>
        <w:t>eventual y fijo discontinuo a jornada completa.</w:t>
      </w:r>
    </w:p>
    <w:p>
      <w:pPr>
        <w:pStyle w:val="Normal"/>
        <w:spacing w:before="0" w:after="0"/>
        <w:jc w:val="both"/>
        <w:rPr>
          <w:rFonts w:ascii="Verdana" w:hAnsi="Verdana"/>
          <w:sz w:val="16"/>
          <w:szCs w:val="16"/>
        </w:rPr>
      </w:pPr>
      <w:r>
        <w:rPr>
          <w:rFonts w:ascii="Verdana" w:hAnsi="Verdana"/>
          <w:sz w:val="16"/>
          <w:szCs w:val="16"/>
        </w:rPr>
      </w:r>
    </w:p>
    <w:p>
      <w:pPr>
        <w:pStyle w:val="Normal"/>
        <w:spacing w:before="0" w:after="113"/>
        <w:jc w:val="both"/>
        <w:rPr>
          <w:rFonts w:ascii="Arial" w:hAnsi="Arial" w:eastAsia="Arial" w:cs="DejaVu Sans" w:asciiTheme="minorHAnsi" w:cstheme="minorBidi" w:eastAsiaTheme="minorHAnsi" w:hAnsiTheme="minorHAnsi"/>
          <w:highlight w:val="none"/>
          <w:shd w:fill="auto" w:val="clear"/>
        </w:rPr>
      </w:pPr>
      <w:r>
        <w:rPr>
          <w:rFonts w:eastAsia="Arial" w:cs="DejaVu Sans" w:cstheme="minorBidi" w:eastAsiaTheme="minorHAnsi"/>
          <w:b/>
          <w:sz w:val="16"/>
          <w:szCs w:val="16"/>
          <w:u w:val="single"/>
          <w:shd w:fill="auto" w:val="clear"/>
        </w:rPr>
        <w:t>Actividad nº 2.- DOS RUEDAS MEET “I Salón Integral para la moto y la bicicleta”</w:t>
      </w:r>
    </w:p>
    <w:p>
      <w:pPr>
        <w:pStyle w:val="Normal"/>
        <w:spacing w:before="0" w:after="57"/>
        <w:jc w:val="both"/>
        <w:rPr>
          <w:rFonts w:ascii="Verdana" w:hAnsi="Verdana"/>
          <w:sz w:val="16"/>
          <w:szCs w:val="16"/>
        </w:rPr>
      </w:pPr>
      <w:r>
        <w:rPr>
          <w:rFonts w:ascii="Verdana" w:hAnsi="Verdana"/>
          <w:sz w:val="16"/>
          <w:szCs w:val="16"/>
        </w:rPr>
        <w:t>Es una evolución de la anterior feria Motobike, en la que se incorpora un importante programa de actividades además de la exposición comercial de la bicicleta y la moto. Este salón va a ser una oportunidad comercial y de desarrollo de negocio para darse a conocer entre el público, así como para conseguir cerrar negocios ya en la misma feria.</w:t>
      </w:r>
    </w:p>
    <w:p>
      <w:pPr>
        <w:pStyle w:val="Normal"/>
        <w:spacing w:before="0" w:after="57"/>
        <w:jc w:val="both"/>
        <w:rPr/>
      </w:pPr>
      <w:r>
        <w:rPr>
          <w:rFonts w:ascii="Verdana" w:hAnsi="Verdana"/>
          <w:sz w:val="16"/>
          <w:szCs w:val="16"/>
        </w:rPr>
        <w:t>Desde la Cámara de Comercio de Gijón, se apuesta por esta feria como un instrumento eficaz y dinamizador de la actividad económica y comercial del sector, adaptando la fórmula a la realidad con el fin de dar respuesta a los comerciantes y soluciones a los ciudadanos siendo una plataforma donde se expondrán las últimas novedades y oportunidades dedicadas al mundo de la motocicleta, bicicleta y equipamiento. Se trata de una oportunidad para que las empresas y las diferentes marcas no solo puedan dar a conocer sus productos y servicios, sino también generar sinergias dentro de este amplio sector y ofrecer un servicio de pruebas de vehículos al cliente.</w:t>
      </w:r>
    </w:p>
    <w:p>
      <w:pPr>
        <w:pStyle w:val="Normal"/>
        <w:spacing w:before="0" w:after="57"/>
        <w:jc w:val="both"/>
        <w:rPr/>
      </w:pPr>
      <w:r>
        <w:rPr>
          <w:rFonts w:ascii="Verdana" w:hAnsi="Verdana"/>
          <w:b/>
          <w:sz w:val="16"/>
          <w:szCs w:val="16"/>
        </w:rPr>
        <w:t xml:space="preserve">Contenido del Evento: </w:t>
      </w:r>
      <w:r>
        <w:rPr>
          <w:rFonts w:ascii="Verdana" w:hAnsi="Verdana"/>
          <w:sz w:val="16"/>
          <w:szCs w:val="16"/>
        </w:rPr>
        <w:t>Exposición comercial donde el visitante podrá encontrar todo lo relacionado con el mundo del motor sobre dos ruedas y el ciclismo y un amplio programa de actividades como charlas, exhibiciones, exposiciones, etc.</w:t>
      </w:r>
    </w:p>
    <w:p>
      <w:pPr>
        <w:pStyle w:val="Normal"/>
        <w:spacing w:before="0" w:after="57"/>
        <w:jc w:val="both"/>
        <w:rPr/>
      </w:pPr>
      <w:r>
        <w:rPr>
          <w:rFonts w:ascii="Verdana" w:hAnsi="Verdana"/>
          <w:b/>
          <w:sz w:val="16"/>
          <w:szCs w:val="16"/>
        </w:rPr>
        <w:t xml:space="preserve">Fechas de celebración: </w:t>
      </w:r>
      <w:r>
        <w:rPr>
          <w:rFonts w:ascii="Verdana" w:hAnsi="Verdana"/>
          <w:b w:val="false"/>
          <w:bCs w:val="false"/>
          <w:sz w:val="16"/>
          <w:szCs w:val="16"/>
        </w:rPr>
        <w:t xml:space="preserve">7 Y 8 </w:t>
      </w:r>
      <w:r>
        <w:rPr>
          <w:rFonts w:ascii="Verdana" w:hAnsi="Verdana"/>
          <w:sz w:val="16"/>
          <w:szCs w:val="16"/>
        </w:rPr>
        <w:t>de mayo de 2024.</w:t>
      </w:r>
    </w:p>
    <w:p>
      <w:pPr>
        <w:pStyle w:val="Normal"/>
        <w:spacing w:before="0" w:after="57"/>
        <w:jc w:val="both"/>
        <w:rPr/>
      </w:pPr>
      <w:r>
        <w:rPr>
          <w:rFonts w:ascii="Verdana" w:hAnsi="Verdana"/>
          <w:b/>
          <w:sz w:val="16"/>
          <w:szCs w:val="16"/>
        </w:rPr>
        <w:t xml:space="preserve">Cronograma: </w:t>
      </w:r>
      <w:r>
        <w:rPr>
          <w:rFonts w:ascii="Verdana" w:hAnsi="Verdana"/>
          <w:sz w:val="16"/>
          <w:szCs w:val="16"/>
        </w:rPr>
        <w:t xml:space="preserve">De diciembre a febrero, búsqueda de actividades y contenidos más apropiados. Benchmarking. De febrero a mayo captación de expositores y promoción de la visita. </w:t>
      </w:r>
    </w:p>
    <w:p>
      <w:pPr>
        <w:pStyle w:val="Normal"/>
        <w:spacing w:before="0" w:after="57"/>
        <w:jc w:val="both"/>
        <w:rPr/>
      </w:pPr>
      <w:r>
        <w:rPr>
          <w:rFonts w:ascii="Verdana" w:hAnsi="Verdana"/>
          <w:b/>
          <w:sz w:val="16"/>
          <w:szCs w:val="16"/>
        </w:rPr>
        <w:t>Objetivos:</w:t>
      </w:r>
    </w:p>
    <w:p>
      <w:pPr>
        <w:pStyle w:val="Normal"/>
        <w:spacing w:before="0" w:after="0"/>
        <w:jc w:val="both"/>
        <w:rPr/>
      </w:pPr>
      <w:r>
        <w:rPr>
          <w:rFonts w:ascii="Verdana" w:hAnsi="Verdana"/>
          <w:sz w:val="16"/>
          <w:szCs w:val="16"/>
        </w:rPr>
        <w:t xml:space="preserve">Visitantes: Se estima que el número de participantes sea de unas 6.000 personas. </w:t>
      </w:r>
    </w:p>
    <w:p>
      <w:pPr>
        <w:pStyle w:val="Normal"/>
        <w:spacing w:before="0" w:after="0"/>
        <w:jc w:val="both"/>
        <w:rPr/>
      </w:pPr>
      <w:r>
        <w:rPr>
          <w:rFonts w:ascii="Verdana" w:hAnsi="Verdana"/>
          <w:sz w:val="16"/>
          <w:szCs w:val="16"/>
        </w:rPr>
        <w:t>Expositores: Se prevé una participación de 25 expositores de los diferentes sectores.</w:t>
      </w:r>
    </w:p>
    <w:p>
      <w:pPr>
        <w:pStyle w:val="Normal"/>
        <w:spacing w:before="0" w:after="0"/>
        <w:jc w:val="both"/>
        <w:rPr/>
      </w:pPr>
      <w:r>
        <w:rPr>
          <w:rFonts w:ascii="Verdana" w:hAnsi="Verdana"/>
          <w:sz w:val="16"/>
          <w:szCs w:val="16"/>
        </w:rPr>
        <w:t>Impacto: campaña de comunicación en medios regionales, redes sociales (Facebook, Instagram, twiter). Envío masivo de mailings comerciales.</w:t>
      </w:r>
    </w:p>
    <w:p>
      <w:pPr>
        <w:pStyle w:val="Normal"/>
        <w:spacing w:before="0" w:after="57"/>
        <w:jc w:val="both"/>
        <w:rPr/>
      </w:pPr>
      <w:r>
        <w:rPr>
          <w:rFonts w:ascii="Verdana" w:hAnsi="Verdana"/>
          <w:b/>
          <w:bCs/>
          <w:sz w:val="16"/>
          <w:szCs w:val="16"/>
        </w:rPr>
        <w:t>Espacio expositivo:</w:t>
      </w:r>
      <w:r>
        <w:rPr>
          <w:rFonts w:ascii="Verdana" w:hAnsi="Verdana"/>
          <w:sz w:val="16"/>
          <w:szCs w:val="16"/>
        </w:rPr>
        <w:t xml:space="preserve"> </w:t>
      </w:r>
    </w:p>
    <w:p>
      <w:pPr>
        <w:pStyle w:val="Normal"/>
        <w:spacing w:before="0" w:after="57"/>
        <w:jc w:val="both"/>
        <w:rPr/>
      </w:pPr>
      <w:r>
        <w:rPr>
          <w:rFonts w:ascii="Verdana" w:hAnsi="Verdana"/>
          <w:sz w:val="16"/>
          <w:szCs w:val="16"/>
        </w:rPr>
        <w:t>Pabellón de Asturias- 3 naves (3.500 m²) y zona exterior.</w:t>
      </w:r>
    </w:p>
    <w:p>
      <w:pPr>
        <w:pStyle w:val="Normal"/>
        <w:spacing w:before="0" w:after="57"/>
        <w:jc w:val="both"/>
        <w:rPr/>
      </w:pPr>
      <w:r>
        <w:rPr>
          <w:rFonts w:ascii="Verdana" w:hAnsi="Verdana"/>
          <w:b/>
          <w:sz w:val="16"/>
          <w:szCs w:val="16"/>
        </w:rPr>
        <w:t>Recursos humanos:</w:t>
      </w:r>
    </w:p>
    <w:p>
      <w:pPr>
        <w:pStyle w:val="Normal"/>
        <w:spacing w:before="0" w:after="0"/>
        <w:jc w:val="both"/>
        <w:rPr/>
      </w:pPr>
      <w:r>
        <w:rPr>
          <w:rFonts w:ascii="Verdana" w:hAnsi="Verdana"/>
          <w:sz w:val="16"/>
          <w:szCs w:val="16"/>
          <w:shd w:fill="auto" w:val="clear"/>
        </w:rPr>
        <w:t>Personal eventual: Se contratará a 3 azafatos/as, 4 peones de recinto  y 2 porteros. Contrato eventual a jornada completa.</w:t>
      </w:r>
    </w:p>
    <w:p>
      <w:pPr>
        <w:pStyle w:val="Normal"/>
        <w:spacing w:before="0" w:after="0"/>
        <w:jc w:val="both"/>
        <w:rPr>
          <w:rFonts w:ascii="Verdana" w:hAnsi="Verdana"/>
          <w:sz w:val="16"/>
          <w:szCs w:val="16"/>
          <w:shd w:fill="auto" w:val="clear"/>
        </w:rPr>
      </w:pPr>
      <w:r>
        <w:rPr>
          <w:rFonts w:ascii="Verdana" w:hAnsi="Verdana"/>
          <w:sz w:val="16"/>
          <w:szCs w:val="16"/>
          <w:shd w:fill="auto" w:val="clear"/>
        </w:rPr>
      </w:r>
    </w:p>
    <w:p>
      <w:pPr>
        <w:pStyle w:val="Normal"/>
        <w:spacing w:before="0" w:after="113"/>
        <w:jc w:val="both"/>
        <w:rPr>
          <w:rFonts w:ascii="Verdana" w:hAnsi="Verdana"/>
          <w:sz w:val="16"/>
          <w:szCs w:val="16"/>
        </w:rPr>
      </w:pPr>
      <w:r>
        <w:rPr>
          <w:rFonts w:ascii="Verdana" w:hAnsi="Verdana"/>
          <w:b/>
          <w:sz w:val="16"/>
          <w:szCs w:val="16"/>
          <w:shd w:fill="auto" w:val="clear"/>
        </w:rPr>
        <w:t>CAPACITACIÓN PARA LA EMPLEABILIDAD Y EL EMPRENDIMIENTO</w:t>
      </w:r>
    </w:p>
    <w:p>
      <w:pPr>
        <w:pStyle w:val="Normal"/>
        <w:spacing w:before="0" w:after="57"/>
        <w:jc w:val="both"/>
        <w:rPr>
          <w:rFonts w:ascii="Verdana" w:hAnsi="Verdana"/>
        </w:rPr>
      </w:pPr>
      <w:r>
        <w:rPr>
          <w:rFonts w:eastAsia="Arial" w:cs="DejaVu Sans" w:ascii="Verdana" w:hAnsi="Verdana" w:cstheme="minorBidi" w:eastAsiaTheme="minorHAnsi"/>
          <w:color w:val="auto"/>
          <w:kern w:val="0"/>
          <w:sz w:val="16"/>
          <w:szCs w:val="16"/>
          <w:lang w:val="es-ES" w:eastAsia="en-US" w:bidi="ar-SA"/>
        </w:rPr>
        <w:t>“</w:t>
      </w:r>
      <w:r>
        <w:rPr>
          <w:rFonts w:eastAsia="Arial" w:cs="DejaVu Sans" w:ascii="Verdana" w:hAnsi="Verdana" w:cstheme="minorBidi" w:eastAsiaTheme="minorHAnsi"/>
          <w:color w:val="auto"/>
          <w:kern w:val="0"/>
          <w:sz w:val="16"/>
          <w:szCs w:val="16"/>
          <w:u w:val="single"/>
          <w:lang w:val="es-ES" w:eastAsia="en-US" w:bidi="ar-SA"/>
        </w:rPr>
        <w:t>Capacitación en competencias digitales de personas desempleadas mayores de 45 años</w:t>
      </w:r>
      <w:r>
        <w:rPr>
          <w:rFonts w:eastAsia="Arial" w:cs="DejaVu Sans" w:ascii="Verdana" w:hAnsi="Verdana" w:cstheme="minorBidi" w:eastAsiaTheme="minorHAnsi"/>
          <w:color w:val="auto"/>
          <w:kern w:val="0"/>
          <w:sz w:val="16"/>
          <w:szCs w:val="16"/>
          <w:lang w:val="es-ES" w:eastAsia="en-US" w:bidi="ar-SA"/>
        </w:rPr>
        <w:t xml:space="preserve">”.  </w:t>
      </w:r>
      <w:r>
        <w:rPr>
          <w:rFonts w:eastAsia="Calibri" w:cs="" w:ascii="Verdana" w:hAnsi="Verdana"/>
          <w:color w:val="000000"/>
          <w:kern w:val="0"/>
          <w:sz w:val="16"/>
          <w:szCs w:val="16"/>
          <w:shd w:fill="auto" w:val="clear"/>
          <w:lang w:val="es-ES" w:eastAsia="en-US" w:bidi="ar-SA"/>
        </w:rPr>
        <w:t xml:space="preserve">La Cámara Oficial de Comercio, Industria, Servicios y Navegación de Gijón está desarrollando el PROGRAMA 45+. El objetivo básico del programa es ofrecer una acción directa al colectivo de personas sin empleo con 45 años o más (hasta 60 años inclusive), adaptada a sus capacidades para que obtengan la formación y/o cualificación necesaria que mejor se adapte a los requisitos de las empresas, de manera que todo ello conduzca a su inserción laboral. Los objetivos específicos son los siguientes: </w:t>
      </w:r>
    </w:p>
    <w:p>
      <w:pPr>
        <w:pStyle w:val="Normal"/>
        <w:numPr>
          <w:ilvl w:val="0"/>
          <w:numId w:val="2"/>
        </w:numPr>
        <w:spacing w:before="0" w:after="0"/>
        <w:jc w:val="left"/>
        <w:rPr>
          <w:rFonts w:ascii="Verdana" w:hAnsi="Verdana"/>
          <w:sz w:val="16"/>
          <w:szCs w:val="16"/>
        </w:rPr>
      </w:pPr>
      <w:r>
        <w:rPr>
          <w:rFonts w:eastAsia="Calibri" w:cs="" w:ascii="Verdana" w:hAnsi="Verdana"/>
          <w:color w:val="000000"/>
          <w:kern w:val="0"/>
          <w:sz w:val="16"/>
          <w:szCs w:val="16"/>
          <w:shd w:fill="auto" w:val="clear"/>
          <w:lang w:val="es-ES" w:eastAsia="en-US" w:bidi="ar-SA"/>
        </w:rPr>
        <w:t xml:space="preserve">Mejorar las competencias básicas del público objetivo de esta actuación . </w:t>
      </w:r>
    </w:p>
    <w:p>
      <w:pPr>
        <w:pStyle w:val="Normal"/>
        <w:numPr>
          <w:ilvl w:val="0"/>
          <w:numId w:val="2"/>
        </w:numPr>
        <w:spacing w:before="0" w:after="0"/>
        <w:jc w:val="left"/>
        <w:rPr>
          <w:rFonts w:ascii="Verdana" w:hAnsi="Verdana"/>
          <w:sz w:val="16"/>
          <w:szCs w:val="16"/>
        </w:rPr>
      </w:pPr>
      <w:r>
        <w:rPr>
          <w:rFonts w:eastAsia="Calibri" w:cs="" w:ascii="Verdana" w:hAnsi="Verdana"/>
          <w:color w:val="000000"/>
          <w:kern w:val="0"/>
          <w:sz w:val="16"/>
          <w:szCs w:val="16"/>
          <w:shd w:fill="auto" w:val="clear"/>
          <w:lang w:val="es-ES" w:eastAsia="en-US" w:bidi="ar-SA"/>
        </w:rPr>
        <w:t>Impulsar la formación en competencias digitales. o Incentivar la contratación.</w:t>
      </w:r>
    </w:p>
    <w:p>
      <w:pPr>
        <w:pStyle w:val="Normal"/>
        <w:widowControl/>
        <w:numPr>
          <w:ilvl w:val="0"/>
          <w:numId w:val="2"/>
        </w:numPr>
        <w:tabs>
          <w:tab w:val="clear" w:pos="720"/>
          <w:tab w:val="left" w:pos="679" w:leader="none"/>
        </w:tabs>
        <w:suppressAutoHyphens w:val="true"/>
        <w:bidi w:val="0"/>
        <w:spacing w:lineRule="auto" w:line="276" w:before="0" w:after="0"/>
        <w:ind w:hanging="170" w:left="510" w:right="0"/>
        <w:jc w:val="left"/>
        <w:rPr>
          <w:rFonts w:ascii="Verdana" w:hAnsi="Verdana"/>
          <w:sz w:val="16"/>
          <w:szCs w:val="16"/>
        </w:rPr>
      </w:pPr>
      <w:r>
        <w:rPr>
          <w:rFonts w:eastAsia="Calibri" w:cs="" w:ascii="Verdana" w:hAnsi="Verdana"/>
          <w:color w:val="000000"/>
          <w:kern w:val="0"/>
          <w:sz w:val="16"/>
          <w:szCs w:val="16"/>
          <w:shd w:fill="auto" w:val="clear"/>
          <w:lang w:val="es-ES" w:eastAsia="en-US" w:bidi="ar-SA"/>
        </w:rPr>
        <w:t>Perseguir el cumplimiento de los principios horizontales de desarrollo sostenible, igualdad de oportunidades y no           discriminación e igualdad entre hombres y mujeres.</w:t>
      </w:r>
    </w:p>
    <w:p>
      <w:pPr>
        <w:pStyle w:val="Normal"/>
        <w:numPr>
          <w:ilvl w:val="0"/>
          <w:numId w:val="2"/>
        </w:numPr>
        <w:spacing w:before="0" w:after="0"/>
        <w:jc w:val="left"/>
        <w:rPr>
          <w:rFonts w:ascii="Verdana" w:hAnsi="Verdana"/>
          <w:sz w:val="16"/>
          <w:szCs w:val="16"/>
        </w:rPr>
      </w:pPr>
      <w:r>
        <w:rPr>
          <w:rFonts w:eastAsia="Calibri" w:cs="" w:ascii="Verdana" w:hAnsi="Verdana"/>
          <w:color w:val="000000"/>
          <w:kern w:val="0"/>
          <w:sz w:val="16"/>
          <w:szCs w:val="16"/>
          <w:shd w:fill="auto" w:val="clear"/>
          <w:lang w:val="es-ES" w:eastAsia="en-US" w:bidi="ar-SA"/>
        </w:rPr>
        <w:t>Mejorar la empleabilidad.</w:t>
      </w:r>
    </w:p>
    <w:p>
      <w:pPr>
        <w:pStyle w:val="Normal"/>
        <w:widowControl/>
        <w:numPr>
          <w:ilvl w:val="0"/>
          <w:numId w:val="0"/>
        </w:numPr>
        <w:tabs>
          <w:tab w:val="clear" w:pos="720"/>
          <w:tab w:val="left" w:pos="511" w:leader="none"/>
          <w:tab w:val="left" w:pos="705" w:leader="none"/>
        </w:tabs>
        <w:suppressAutoHyphens w:val="true"/>
        <w:bidi w:val="0"/>
        <w:spacing w:lineRule="auto" w:line="276" w:before="0" w:after="0"/>
        <w:ind w:hanging="0" w:left="454" w:right="0"/>
        <w:jc w:val="both"/>
        <w:rPr>
          <w:rFonts w:ascii="Verdana" w:hAnsi="Verdana" w:eastAsia="Calibri" w:cs=""/>
          <w:color w:val="auto"/>
          <w:kern w:val="0"/>
          <w:sz w:val="16"/>
          <w:szCs w:val="16"/>
          <w:highlight w:val="none"/>
          <w:shd w:fill="auto" w:val="clear"/>
          <w:lang w:val="es-ES" w:eastAsia="en-US" w:bidi="ar-SA"/>
        </w:rPr>
      </w:pPr>
      <w:r>
        <w:rPr>
          <w:rFonts w:eastAsia="Calibri" w:cs="" w:ascii="Verdana" w:hAnsi="Verdana"/>
          <w:color w:val="000000"/>
          <w:kern w:val="0"/>
          <w:sz w:val="16"/>
          <w:szCs w:val="16"/>
          <w:shd w:fill="auto" w:val="clear"/>
          <w:lang w:val="es-ES" w:eastAsia="en-US" w:bidi="ar-SA"/>
        </w:rPr>
      </w:r>
    </w:p>
    <w:p>
      <w:pPr>
        <w:pStyle w:val="Normal"/>
        <w:spacing w:before="0" w:after="57"/>
        <w:jc w:val="both"/>
        <w:rPr>
          <w:rFonts w:ascii="Verdana" w:hAnsi="Verdana"/>
          <w:sz w:val="16"/>
          <w:szCs w:val="16"/>
        </w:rPr>
      </w:pPr>
      <w:r>
        <w:rPr>
          <w:rFonts w:ascii="Verdana" w:hAnsi="Verdana"/>
          <w:b/>
          <w:sz w:val="16"/>
          <w:szCs w:val="16"/>
          <w:shd w:fill="auto" w:val="clear"/>
        </w:rPr>
        <w:t>Actuaciones a desarrollar:</w:t>
      </w:r>
    </w:p>
    <w:p>
      <w:pPr>
        <w:pStyle w:val="Normal"/>
        <w:numPr>
          <w:ilvl w:val="0"/>
          <w:numId w:val="3"/>
        </w:numPr>
        <w:spacing w:before="0" w:after="0"/>
        <w:jc w:val="both"/>
        <w:rPr>
          <w:rFonts w:ascii="Verdana" w:hAnsi="Verdana"/>
          <w:sz w:val="16"/>
          <w:szCs w:val="16"/>
        </w:rPr>
      </w:pPr>
      <w:r>
        <w:rPr>
          <w:rFonts w:eastAsia="Calibri" w:cs="" w:ascii="Verdana" w:hAnsi="Verdana"/>
          <w:color w:val="000000"/>
          <w:kern w:val="0"/>
          <w:sz w:val="16"/>
          <w:szCs w:val="16"/>
          <w:shd w:fill="auto" w:val="clear"/>
          <w:lang w:val="es-ES" w:eastAsia="en-US" w:bidi="ar-SA"/>
        </w:rPr>
        <w:t xml:space="preserve">Realización de las tareas de evaluación y análisis del nivel de competencias digitales, así como la orientación de aquellas personas que se encuentren dentro del colectivo de 45 años o más en situación de desempleo. </w:t>
      </w:r>
    </w:p>
    <w:p>
      <w:pPr>
        <w:pStyle w:val="Normal"/>
        <w:numPr>
          <w:ilvl w:val="0"/>
          <w:numId w:val="3"/>
        </w:numPr>
        <w:spacing w:before="0" w:after="0"/>
        <w:jc w:val="both"/>
        <w:rPr>
          <w:rFonts w:ascii="Verdana" w:hAnsi="Verdana"/>
          <w:sz w:val="16"/>
          <w:szCs w:val="16"/>
        </w:rPr>
      </w:pPr>
      <w:r>
        <w:rPr>
          <w:rFonts w:eastAsia="Calibri" w:cs="" w:ascii="Verdana" w:hAnsi="Verdana"/>
          <w:color w:val="000000"/>
          <w:kern w:val="0"/>
          <w:sz w:val="16"/>
          <w:szCs w:val="16"/>
          <w:shd w:fill="auto" w:val="clear"/>
          <w:lang w:val="es-ES" w:eastAsia="en-US" w:bidi="ar-SA"/>
        </w:rPr>
        <w:t xml:space="preserve">Atender, informar y facilitar la inscripción de los interesados en el citado programa. </w:t>
      </w:r>
    </w:p>
    <w:p>
      <w:pPr>
        <w:pStyle w:val="Normal"/>
        <w:numPr>
          <w:ilvl w:val="0"/>
          <w:numId w:val="3"/>
        </w:numPr>
        <w:spacing w:before="0" w:after="0"/>
        <w:jc w:val="both"/>
        <w:rPr>
          <w:rFonts w:ascii="Verdana" w:hAnsi="Verdana"/>
          <w:sz w:val="16"/>
          <w:szCs w:val="16"/>
        </w:rPr>
      </w:pPr>
      <w:r>
        <w:rPr>
          <w:rFonts w:eastAsia="Calibri" w:cs="" w:ascii="Verdana" w:hAnsi="Verdana"/>
          <w:color w:val="000000"/>
          <w:kern w:val="0"/>
          <w:sz w:val="16"/>
          <w:szCs w:val="16"/>
          <w:shd w:fill="auto" w:val="clear"/>
          <w:lang w:val="es-ES" w:eastAsia="en-US" w:bidi="ar-SA"/>
        </w:rPr>
        <w:t>Ejecución de las acciones formativas necesarias para la capacitación del público objetivo de la actuación.</w:t>
      </w:r>
    </w:p>
    <w:p>
      <w:pPr>
        <w:pStyle w:val="Normal"/>
        <w:numPr>
          <w:ilvl w:val="0"/>
          <w:numId w:val="3"/>
        </w:numPr>
        <w:spacing w:before="0" w:after="0"/>
        <w:jc w:val="both"/>
        <w:rPr>
          <w:rFonts w:ascii="Verdana" w:hAnsi="Verdana"/>
          <w:sz w:val="16"/>
          <w:szCs w:val="16"/>
        </w:rPr>
      </w:pPr>
      <w:r>
        <w:rPr>
          <w:rFonts w:eastAsia="Calibri" w:cs="" w:ascii="Verdana" w:hAnsi="Verdana"/>
          <w:color w:val="000000"/>
          <w:kern w:val="0"/>
          <w:sz w:val="16"/>
          <w:szCs w:val="16"/>
          <w:shd w:fill="auto" w:val="clear"/>
          <w:lang w:val="es-ES" w:eastAsia="en-US" w:bidi="ar-SA"/>
        </w:rPr>
        <w:t>Reconversión Laboral. Seguimiento de los participantes en su proceso de incorporación al mercado laboral.</w:t>
      </w:r>
    </w:p>
    <w:p>
      <w:pPr>
        <w:pStyle w:val="Normal"/>
        <w:spacing w:lineRule="auto" w:line="276" w:before="0" w:after="57"/>
        <w:jc w:val="both"/>
        <w:rPr>
          <w:rFonts w:ascii="Verdana" w:hAnsi="Verdana"/>
          <w:sz w:val="16"/>
          <w:szCs w:val="16"/>
        </w:rPr>
      </w:pPr>
      <w:r>
        <w:rPr>
          <w:rFonts w:ascii="Verdana" w:hAnsi="Verdana"/>
          <w:sz w:val="16"/>
          <w:szCs w:val="16"/>
        </w:rPr>
      </w:r>
    </w:p>
    <w:p>
      <w:pPr>
        <w:pStyle w:val="Normal"/>
        <w:spacing w:before="0" w:after="57"/>
        <w:jc w:val="both"/>
        <w:rPr>
          <w:rFonts w:ascii="Verdana" w:hAnsi="Verdana"/>
          <w:sz w:val="16"/>
          <w:szCs w:val="16"/>
        </w:rPr>
      </w:pPr>
      <w:r>
        <w:rPr>
          <w:rFonts w:ascii="Verdana" w:hAnsi="Verdana"/>
          <w:b/>
          <w:sz w:val="16"/>
          <w:szCs w:val="16"/>
          <w:shd w:fill="auto" w:val="clear"/>
        </w:rPr>
        <w:t>Fechas de ejecución/cronograma:</w:t>
      </w:r>
    </w:p>
    <w:p>
      <w:pPr>
        <w:pStyle w:val="Normal"/>
        <w:spacing w:before="0" w:after="57"/>
        <w:jc w:val="both"/>
        <w:rPr>
          <w:rFonts w:ascii="Verdana" w:hAnsi="Verdana"/>
          <w:sz w:val="16"/>
          <w:szCs w:val="16"/>
        </w:rPr>
      </w:pPr>
      <w:r>
        <w:rPr>
          <w:rFonts w:eastAsia="Calibri" w:cs="" w:ascii="Verdana" w:hAnsi="Verdana"/>
          <w:color w:val="000000"/>
          <w:kern w:val="0"/>
          <w:sz w:val="16"/>
          <w:szCs w:val="16"/>
          <w:shd w:fill="auto" w:val="clear"/>
          <w:lang w:val="es-ES" w:eastAsia="en-US" w:bidi="ar-SA"/>
        </w:rPr>
        <w:t>Entre el 1 de marzo y el 31 de diciembre de 2024, para la impartición de 9 ediciones a determinar entre las siguientes opciones:</w:t>
      </w:r>
    </w:p>
    <w:p>
      <w:pPr>
        <w:pStyle w:val="Normal"/>
        <w:numPr>
          <w:ilvl w:val="0"/>
          <w:numId w:val="4"/>
        </w:numPr>
        <w:spacing w:before="0" w:after="57"/>
        <w:jc w:val="both"/>
        <w:rPr>
          <w:rFonts w:ascii="Verdana" w:hAnsi="Verdana"/>
          <w:sz w:val="16"/>
          <w:szCs w:val="16"/>
        </w:rPr>
      </w:pPr>
      <w:r>
        <w:rPr>
          <w:rFonts w:eastAsia="Calibri" w:cs="" w:ascii="Verdana" w:hAnsi="Verdana"/>
          <w:color w:val="000000"/>
          <w:kern w:val="0"/>
          <w:sz w:val="16"/>
          <w:szCs w:val="16"/>
          <w:shd w:fill="auto" w:val="clear"/>
          <w:lang w:val="es-ES" w:eastAsia="en-US" w:bidi="ar-SA"/>
        </w:rPr>
        <w:t>Competencias Digitales: Nivel Básico Plus.</w:t>
      </w:r>
    </w:p>
    <w:p>
      <w:pPr>
        <w:pStyle w:val="Normal"/>
        <w:numPr>
          <w:ilvl w:val="0"/>
          <w:numId w:val="4"/>
        </w:numPr>
        <w:spacing w:before="0" w:after="57"/>
        <w:jc w:val="both"/>
        <w:rPr>
          <w:rFonts w:ascii="Verdana" w:hAnsi="Verdana"/>
          <w:sz w:val="16"/>
          <w:szCs w:val="16"/>
        </w:rPr>
      </w:pPr>
      <w:r>
        <w:rPr>
          <w:rFonts w:eastAsia="Calibri" w:cs="" w:ascii="Verdana" w:hAnsi="Verdana"/>
          <w:color w:val="000000"/>
          <w:kern w:val="0"/>
          <w:sz w:val="16"/>
          <w:szCs w:val="16"/>
          <w:shd w:fill="auto" w:val="clear"/>
          <w:lang w:val="es-ES" w:eastAsia="en-US" w:bidi="ar-SA"/>
        </w:rPr>
        <w:t>Competencias Digitales: Nivel Intermedio (Certificación MOS Excel)</w:t>
      </w:r>
    </w:p>
    <w:p>
      <w:pPr>
        <w:pStyle w:val="Normal"/>
        <w:numPr>
          <w:ilvl w:val="0"/>
          <w:numId w:val="4"/>
        </w:numPr>
        <w:spacing w:before="0" w:after="57"/>
        <w:jc w:val="both"/>
        <w:rPr>
          <w:rFonts w:ascii="Verdana" w:hAnsi="Verdana"/>
          <w:sz w:val="16"/>
          <w:szCs w:val="16"/>
        </w:rPr>
      </w:pPr>
      <w:r>
        <w:rPr>
          <w:rFonts w:eastAsia="Calibri" w:cs="" w:ascii="Verdana" w:hAnsi="Verdana"/>
          <w:color w:val="000000"/>
          <w:kern w:val="0"/>
          <w:sz w:val="16"/>
          <w:szCs w:val="16"/>
          <w:shd w:fill="auto" w:val="clear"/>
          <w:lang w:val="es-ES" w:eastAsia="en-US" w:bidi="ar-SA"/>
        </w:rPr>
        <w:t>Certificado Oficial IC3 GS5 en Competencias Digitales.</w:t>
      </w:r>
    </w:p>
    <w:p>
      <w:pPr>
        <w:pStyle w:val="Normal"/>
        <w:numPr>
          <w:ilvl w:val="0"/>
          <w:numId w:val="4"/>
        </w:numPr>
        <w:spacing w:before="0" w:after="57"/>
        <w:jc w:val="both"/>
        <w:rPr>
          <w:rFonts w:ascii="Verdana" w:hAnsi="Verdana"/>
          <w:sz w:val="16"/>
          <w:szCs w:val="16"/>
        </w:rPr>
      </w:pPr>
      <w:r>
        <w:rPr>
          <w:rFonts w:eastAsia="Calibri" w:cs="" w:ascii="Verdana" w:hAnsi="Verdana"/>
          <w:color w:val="000000"/>
          <w:kern w:val="0"/>
          <w:sz w:val="16"/>
          <w:szCs w:val="16"/>
          <w:shd w:fill="auto" w:val="clear"/>
          <w:lang w:val="es-ES" w:eastAsia="en-US" w:bidi="ar-SA"/>
        </w:rPr>
        <w:t>Certificación Oficial Microsoft Office Specialist (Certificado MOS): Word, Excel y Power Point.</w:t>
      </w:r>
    </w:p>
    <w:p>
      <w:pPr>
        <w:pStyle w:val="Normal"/>
        <w:numPr>
          <w:ilvl w:val="0"/>
          <w:numId w:val="4"/>
        </w:numPr>
        <w:spacing w:before="0" w:after="57"/>
        <w:jc w:val="both"/>
        <w:rPr>
          <w:rFonts w:ascii="Verdana" w:hAnsi="Verdana"/>
          <w:sz w:val="16"/>
          <w:szCs w:val="16"/>
        </w:rPr>
      </w:pPr>
      <w:r>
        <w:rPr>
          <w:rFonts w:eastAsia="Calibri" w:cs="" w:ascii="Verdana" w:hAnsi="Verdana"/>
          <w:color w:val="000000"/>
          <w:kern w:val="0"/>
          <w:sz w:val="16"/>
          <w:szCs w:val="16"/>
          <w:shd w:fill="auto" w:val="clear"/>
          <w:lang w:val="es-ES" w:eastAsia="en-US" w:bidi="ar-SA"/>
        </w:rPr>
        <w:t>Certificación Oficial Microsoft Office Expert (MOE): Word, Excel y Power Point.</w:t>
      </w:r>
    </w:p>
    <w:p>
      <w:pPr>
        <w:pStyle w:val="Normal"/>
        <w:numPr>
          <w:ilvl w:val="0"/>
          <w:numId w:val="4"/>
        </w:numPr>
        <w:spacing w:before="0" w:after="57"/>
        <w:jc w:val="both"/>
        <w:rPr>
          <w:rFonts w:ascii="Verdana" w:hAnsi="Verdana"/>
          <w:sz w:val="16"/>
          <w:szCs w:val="16"/>
        </w:rPr>
      </w:pPr>
      <w:r>
        <w:rPr>
          <w:rFonts w:eastAsia="Calibri" w:cs="" w:ascii="Verdana" w:hAnsi="Verdana"/>
          <w:color w:val="000000"/>
          <w:kern w:val="0"/>
          <w:sz w:val="16"/>
          <w:szCs w:val="16"/>
          <w:shd w:fill="auto" w:val="clear"/>
          <w:lang w:val="es-ES" w:eastAsia="en-US" w:bidi="ar-SA"/>
        </w:rPr>
        <w:t>Análisis de Datos y Herramientas Avanzadas de Excel (Certificado MOS y MOE de Excel).</w:t>
      </w:r>
    </w:p>
    <w:p>
      <w:pPr>
        <w:pStyle w:val="Normal"/>
        <w:numPr>
          <w:ilvl w:val="0"/>
          <w:numId w:val="4"/>
        </w:numPr>
        <w:spacing w:before="0" w:after="113"/>
        <w:jc w:val="both"/>
        <w:rPr>
          <w:rFonts w:ascii="Verdana" w:hAnsi="Verdana"/>
          <w:sz w:val="16"/>
          <w:szCs w:val="16"/>
        </w:rPr>
      </w:pPr>
      <w:r>
        <w:rPr>
          <w:rFonts w:eastAsia="Calibri" w:cs="" w:ascii="Verdana" w:hAnsi="Verdana"/>
          <w:color w:val="000000"/>
          <w:kern w:val="0"/>
          <w:sz w:val="16"/>
          <w:szCs w:val="16"/>
          <w:shd w:fill="auto" w:val="clear"/>
          <w:lang w:val="es-ES" w:eastAsia="en-US" w:bidi="ar-SA"/>
        </w:rPr>
        <w:t>Creación de Blogs y Páginas Web con WordPress.</w:t>
      </w:r>
    </w:p>
    <w:p>
      <w:pPr>
        <w:pStyle w:val="Normal"/>
        <w:spacing w:before="0" w:after="57"/>
        <w:jc w:val="both"/>
        <w:rPr>
          <w:rFonts w:ascii="Verdana" w:hAnsi="Verdana"/>
          <w:sz w:val="16"/>
          <w:szCs w:val="16"/>
        </w:rPr>
      </w:pPr>
      <w:r>
        <w:rPr>
          <w:rFonts w:ascii="Verdana" w:hAnsi="Verdana"/>
          <w:b/>
          <w:sz w:val="16"/>
          <w:szCs w:val="16"/>
          <w:shd w:fill="auto" w:val="clear"/>
        </w:rPr>
        <w:t xml:space="preserve">Recursos humanos: </w:t>
      </w:r>
    </w:p>
    <w:p>
      <w:pPr>
        <w:pStyle w:val="Normal"/>
        <w:spacing w:before="0" w:after="113"/>
        <w:jc w:val="both"/>
        <w:rPr>
          <w:rFonts w:ascii="Verdana" w:hAnsi="Verdana"/>
          <w:sz w:val="16"/>
          <w:szCs w:val="16"/>
        </w:rPr>
      </w:pPr>
      <w:r>
        <w:rPr>
          <w:rFonts w:ascii="Verdana" w:hAnsi="Verdana"/>
          <w:b w:val="false"/>
          <w:bCs w:val="false"/>
          <w:sz w:val="16"/>
          <w:szCs w:val="16"/>
          <w:shd w:fill="auto" w:val="clear"/>
        </w:rPr>
        <w:t>La ejecución del programa se llevará a cabo por el equipo técnico de la Cámara de Comercio de Gijón y profesorado externo.</w:t>
      </w:r>
    </w:p>
    <w:p>
      <w:pPr>
        <w:pStyle w:val="Normal"/>
        <w:spacing w:before="0" w:after="57"/>
        <w:jc w:val="both"/>
        <w:rPr>
          <w:rFonts w:ascii="Verdana" w:hAnsi="Verdana"/>
          <w:sz w:val="16"/>
          <w:szCs w:val="16"/>
        </w:rPr>
      </w:pPr>
      <w:r>
        <w:rPr>
          <w:rFonts w:eastAsia="Calibri" w:cs="" w:ascii="Verdana" w:hAnsi="Verdana"/>
          <w:b/>
          <w:color w:val="000000"/>
          <w:kern w:val="0"/>
          <w:sz w:val="16"/>
          <w:szCs w:val="16"/>
          <w:shd w:fill="auto" w:val="clear"/>
          <w:lang w:val="es-ES" w:eastAsia="en-US" w:bidi="ar-SA"/>
        </w:rPr>
        <w:t>Recursos técnicos y materiales:</w:t>
      </w:r>
    </w:p>
    <w:p>
      <w:pPr>
        <w:pStyle w:val="Normal"/>
        <w:spacing w:before="0" w:after="57"/>
        <w:jc w:val="both"/>
        <w:rPr>
          <w:rFonts w:ascii="Verdana" w:hAnsi="Verdana"/>
          <w:sz w:val="16"/>
          <w:szCs w:val="16"/>
        </w:rPr>
      </w:pPr>
      <w:r>
        <w:rPr>
          <w:rFonts w:eastAsia="Calibri" w:cs="" w:ascii="Verdana" w:hAnsi="Verdana"/>
          <w:b w:val="false"/>
          <w:bCs w:val="false"/>
          <w:color w:val="000000"/>
          <w:kern w:val="0"/>
          <w:sz w:val="16"/>
          <w:szCs w:val="16"/>
          <w:shd w:fill="auto" w:val="clear"/>
          <w:lang w:val="es-ES" w:eastAsia="en-US" w:bidi="ar-SA"/>
        </w:rPr>
        <w:t>Aula informática equipada.</w:t>
      </w:r>
    </w:p>
    <w:p>
      <w:pPr>
        <w:pStyle w:val="Normal"/>
        <w:spacing w:before="0" w:after="113"/>
        <w:jc w:val="both"/>
        <w:rPr>
          <w:rFonts w:ascii="Verdana" w:hAnsi="Verdana"/>
          <w:sz w:val="16"/>
          <w:szCs w:val="16"/>
        </w:rPr>
      </w:pPr>
      <w:r>
        <w:rPr>
          <w:rFonts w:eastAsia="Calibri" w:cs="" w:ascii="Verdana" w:hAnsi="Verdana"/>
          <w:b w:val="false"/>
          <w:bCs w:val="false"/>
          <w:color w:val="000000"/>
          <w:kern w:val="0"/>
          <w:sz w:val="16"/>
          <w:szCs w:val="16"/>
          <w:shd w:fill="auto" w:val="clear"/>
          <w:lang w:val="es-ES" w:eastAsia="en-US" w:bidi="ar-SA"/>
        </w:rPr>
        <w:t>Plataforma Campus Virtual Cámara de Comercio de Gijón.</w:t>
      </w:r>
    </w:p>
    <w:p>
      <w:pPr>
        <w:pStyle w:val="Normal"/>
        <w:spacing w:before="0" w:after="57"/>
        <w:jc w:val="both"/>
        <w:rPr>
          <w:rFonts w:ascii="Verdana" w:hAnsi="Verdana"/>
          <w:sz w:val="16"/>
          <w:szCs w:val="16"/>
        </w:rPr>
      </w:pPr>
      <w:r>
        <w:rPr>
          <w:rFonts w:ascii="Verdana" w:hAnsi="Verdana"/>
          <w:b/>
          <w:sz w:val="16"/>
          <w:szCs w:val="16"/>
          <w:shd w:fill="auto" w:val="clear"/>
        </w:rPr>
        <w:t>Objetivos:</w:t>
      </w:r>
    </w:p>
    <w:p>
      <w:pPr>
        <w:pStyle w:val="Normal"/>
        <w:spacing w:before="0" w:after="57"/>
        <w:jc w:val="both"/>
        <w:rPr>
          <w:rFonts w:ascii="Verdana" w:hAnsi="Verdana"/>
          <w:sz w:val="16"/>
          <w:szCs w:val="16"/>
        </w:rPr>
      </w:pPr>
      <w:r>
        <w:rPr>
          <w:rFonts w:ascii="Verdana" w:hAnsi="Verdana"/>
          <w:b w:val="false"/>
          <w:bCs w:val="false"/>
          <w:sz w:val="16"/>
          <w:szCs w:val="16"/>
          <w:shd w:fill="auto" w:val="clear"/>
        </w:rPr>
        <w:t>Capacitación de 50 personas.</w:t>
      </w:r>
    </w:p>
    <w:p>
      <w:pPr>
        <w:pStyle w:val="Normal"/>
        <w:spacing w:lineRule="auto" w:line="276" w:before="0" w:after="57"/>
        <w:jc w:val="both"/>
        <w:rPr>
          <w:rFonts w:ascii="Verdana" w:hAnsi="Verdana"/>
          <w:sz w:val="16"/>
          <w:szCs w:val="16"/>
        </w:rPr>
      </w:pPr>
      <w:r>
        <w:rPr>
          <w:rFonts w:ascii="Verdana" w:hAnsi="Verdana"/>
          <w:sz w:val="16"/>
          <w:szCs w:val="16"/>
        </w:rPr>
      </w:r>
    </w:p>
    <w:p>
      <w:pPr>
        <w:pStyle w:val="Normal"/>
        <w:spacing w:lineRule="auto" w:line="276" w:before="0" w:after="57"/>
        <w:jc w:val="both"/>
        <w:rPr>
          <w:rFonts w:ascii="Verdana" w:hAnsi="Verdana"/>
          <w:sz w:val="16"/>
          <w:szCs w:val="16"/>
        </w:rPr>
      </w:pPr>
      <w:r>
        <w:rPr>
          <w:rFonts w:ascii="Verdana" w:hAnsi="Verdana"/>
          <w:b/>
          <w:sz w:val="16"/>
          <w:szCs w:val="16"/>
          <w:shd w:fill="auto" w:val="clear"/>
        </w:rPr>
        <w:t>PRESUPUESTO ESTIMATIVO:</w:t>
      </w:r>
    </w:p>
    <w:p>
      <w:pPr>
        <w:pStyle w:val="Heading8"/>
        <w:spacing w:lineRule="auto" w:line="276" w:before="0" w:after="240"/>
        <w:ind w:hanging="0" w:left="0" w:right="0"/>
        <w:jc w:val="both"/>
        <w:rPr>
          <w:rFonts w:ascii="Verdana" w:hAnsi="Verdana"/>
          <w:sz w:val="16"/>
          <w:szCs w:val="16"/>
        </w:rPr>
      </w:pPr>
      <w:r>
        <w:rPr>
          <w:rFonts w:eastAsia="Times New Roman" w:cs="Times New Roman" w:ascii="Verdana" w:hAnsi="Verdana"/>
          <w:b w:val="false"/>
          <w:bCs w:val="false"/>
          <w:color w:val="000000"/>
          <w:sz w:val="16"/>
          <w:szCs w:val="16"/>
          <w:u w:val="single"/>
          <w:shd w:fill="auto" w:val="clear"/>
          <w:lang w:eastAsia="es-ES"/>
        </w:rPr>
        <w:t xml:space="preserve">Proyecto 1.- "Dinamización económica en el entorno de la actividad ferial y congresual” </w:t>
      </w:r>
    </w:p>
    <w:tbl>
      <w:tblPr>
        <w:tblW w:w="9544" w:type="dxa"/>
        <w:jc w:val="center"/>
        <w:tblInd w:w="0" w:type="dxa"/>
        <w:tblLayout w:type="fixed"/>
        <w:tblCellMar>
          <w:top w:w="0" w:type="dxa"/>
          <w:left w:w="108" w:type="dxa"/>
          <w:bottom w:w="0" w:type="dxa"/>
          <w:right w:w="108" w:type="dxa"/>
        </w:tblCellMar>
      </w:tblPr>
      <w:tblGrid>
        <w:gridCol w:w="2437"/>
        <w:gridCol w:w="1588"/>
        <w:gridCol w:w="1307"/>
        <w:gridCol w:w="1302"/>
        <w:gridCol w:w="1466"/>
        <w:gridCol w:w="1443"/>
      </w:tblGrid>
      <w:tr>
        <w:trPr>
          <w:trHeight w:val="506" w:hRule="atLeast"/>
        </w:trPr>
        <w:tc>
          <w:tcPr>
            <w:tcW w:w="6634" w:type="dxa"/>
            <w:gridSpan w:val="4"/>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PRESUPUESTO DE GASTOS</w:t>
            </w:r>
          </w:p>
        </w:tc>
        <w:tc>
          <w:tcPr>
            <w:tcW w:w="2909" w:type="dxa"/>
            <w:gridSpan w:val="2"/>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PRESUPUESTO DE INGRESOS</w:t>
            </w:r>
          </w:p>
        </w:tc>
      </w:tr>
      <w:tr>
        <w:trPr/>
        <w:tc>
          <w:tcPr>
            <w:tcW w:w="243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sz w:val="16"/>
                <w:szCs w:val="16"/>
              </w:rPr>
            </w:pPr>
            <w:r>
              <w:rPr>
                <w:rFonts w:ascii="Verdana" w:hAnsi="Verdana"/>
                <w:b/>
                <w:bCs/>
                <w:sz w:val="16"/>
                <w:szCs w:val="16"/>
              </w:rPr>
              <w:t>CONCEPTO</w:t>
            </w:r>
          </w:p>
        </w:tc>
        <w:tc>
          <w:tcPr>
            <w:tcW w:w="1588"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CUANTÍA</w:t>
            </w:r>
          </w:p>
        </w:tc>
        <w:tc>
          <w:tcPr>
            <w:tcW w:w="130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 IMPUTADO</w:t>
            </w:r>
          </w:p>
        </w:tc>
        <w:tc>
          <w:tcPr>
            <w:tcW w:w="130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GASTO IMPUTADO</w:t>
            </w:r>
          </w:p>
        </w:tc>
        <w:tc>
          <w:tcPr>
            <w:tcW w:w="1466"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CONCEPTO</w:t>
            </w:r>
          </w:p>
        </w:tc>
        <w:tc>
          <w:tcPr>
            <w:tcW w:w="1443"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bCs/>
                <w:sz w:val="16"/>
                <w:szCs w:val="16"/>
              </w:rPr>
              <w:t>CUANTÍA</w:t>
            </w:r>
          </w:p>
        </w:tc>
      </w:tr>
      <w:tr>
        <w:trPr/>
        <w:tc>
          <w:tcPr>
            <w:tcW w:w="6634"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b/>
                <w:sz w:val="16"/>
                <w:szCs w:val="16"/>
              </w:rPr>
            </w:pPr>
            <w:r>
              <w:rPr>
                <w:rFonts w:ascii="Verdana" w:hAnsi="Verdana"/>
                <w:b/>
                <w:sz w:val="16"/>
                <w:szCs w:val="16"/>
              </w:rPr>
            </w:r>
          </w:p>
          <w:p>
            <w:pPr>
              <w:pStyle w:val="Normal"/>
              <w:widowControl w:val="false"/>
              <w:spacing w:before="0" w:after="200"/>
              <w:jc w:val="left"/>
              <w:rPr>
                <w:rFonts w:ascii="Verdana" w:hAnsi="Verdana"/>
                <w:sz w:val="16"/>
                <w:szCs w:val="16"/>
              </w:rPr>
            </w:pPr>
            <w:r>
              <w:rPr>
                <w:rFonts w:eastAsia="Arial" w:cs="DejaVu Sans" w:ascii="Verdana" w:hAnsi="Verdana" w:cstheme="minorBidi" w:eastAsiaTheme="minorHAnsi"/>
                <w:b/>
                <w:sz w:val="16"/>
                <w:szCs w:val="16"/>
                <w:shd w:fill="B2B2B2" w:val="clear"/>
              </w:rPr>
              <w:t>ESPACIO MASCOTAS</w:t>
            </w:r>
          </w:p>
        </w:tc>
        <w:tc>
          <w:tcPr>
            <w:tcW w:w="14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left"/>
              <w:rPr>
                <w:rFonts w:ascii="Verdana" w:hAnsi="Verdana"/>
                <w:sz w:val="16"/>
                <w:szCs w:val="16"/>
              </w:rPr>
            </w:pPr>
            <w:r>
              <w:rPr>
                <w:rFonts w:ascii="Verdana" w:hAnsi="Verdana"/>
                <w:sz w:val="16"/>
                <w:szCs w:val="16"/>
              </w:rPr>
              <w:t>Canon y servicios a expositores</w:t>
            </w:r>
          </w:p>
          <w:p>
            <w:pPr>
              <w:pStyle w:val="Normal"/>
              <w:widowControl w:val="false"/>
              <w:spacing w:before="0" w:after="200"/>
              <w:jc w:val="left"/>
              <w:rPr>
                <w:rFonts w:ascii="Verdana" w:hAnsi="Verdana"/>
                <w:sz w:val="16"/>
                <w:szCs w:val="16"/>
              </w:rPr>
            </w:pPr>
            <w:r>
              <w:rPr>
                <w:rFonts w:ascii="Verdana" w:hAnsi="Verdana"/>
                <w:sz w:val="16"/>
                <w:szCs w:val="16"/>
              </w:rPr>
            </w:r>
          </w:p>
        </w:tc>
        <w:tc>
          <w:tcPr>
            <w:tcW w:w="1443" w:type="dxa"/>
            <w:vMerge w:val="restart"/>
            <w:tcBorders>
              <w:top w:val="single" w:sz="4" w:space="0" w:color="000000"/>
              <w:left w:val="single" w:sz="4" w:space="0" w:color="000000"/>
              <w:right w:val="single" w:sz="4" w:space="0" w:color="000000"/>
            </w:tcBorders>
            <w:vAlign w:val="center"/>
          </w:tcPr>
          <w:p>
            <w:pPr>
              <w:pStyle w:val="Normal"/>
              <w:widowControl w:val="false"/>
              <w:spacing w:before="0" w:after="200"/>
              <w:jc w:val="center"/>
              <w:rPr>
                <w:rFonts w:ascii="Verdana" w:hAnsi="Verdana"/>
                <w:sz w:val="16"/>
                <w:szCs w:val="16"/>
              </w:rPr>
            </w:pPr>
            <w:r>
              <w:rPr>
                <w:rFonts w:ascii="Verdana" w:hAnsi="Verdana"/>
                <w:sz w:val="16"/>
                <w:szCs w:val="16"/>
              </w:rPr>
            </w:r>
          </w:p>
          <w:p>
            <w:pPr>
              <w:pStyle w:val="Normal"/>
              <w:widowControl w:val="false"/>
              <w:spacing w:before="0" w:after="200"/>
              <w:jc w:val="right"/>
              <w:rPr>
                <w:rFonts w:ascii="Verdana" w:hAnsi="Verdana"/>
                <w:sz w:val="16"/>
                <w:szCs w:val="16"/>
              </w:rPr>
            </w:pPr>
            <w:r>
              <w:rPr>
                <w:rFonts w:ascii="Verdana" w:hAnsi="Verdana"/>
                <w:sz w:val="16"/>
                <w:szCs w:val="16"/>
              </w:rPr>
              <w:t xml:space="preserve"> </w:t>
            </w:r>
            <w:r>
              <w:rPr>
                <w:rFonts w:ascii="Verdana" w:hAnsi="Verdana"/>
                <w:sz w:val="16"/>
                <w:szCs w:val="16"/>
              </w:rPr>
              <w:t>15.000,00 €</w:t>
            </w:r>
          </w:p>
          <w:p>
            <w:pPr>
              <w:pStyle w:val="Normal"/>
              <w:widowControl w:val="false"/>
              <w:jc w:val="right"/>
              <w:rPr>
                <w:rFonts w:ascii="Verdana" w:hAnsi="Verdana"/>
                <w:sz w:val="16"/>
                <w:szCs w:val="16"/>
              </w:rPr>
            </w:pPr>
            <w:r>
              <w:rPr>
                <w:rFonts w:ascii="Verdana" w:hAnsi="Verdana"/>
                <w:sz w:val="16"/>
                <w:szCs w:val="16"/>
              </w:rPr>
            </w:r>
          </w:p>
          <w:p>
            <w:pPr>
              <w:pStyle w:val="Normal"/>
              <w:widowControl w:val="false"/>
              <w:spacing w:before="0" w:after="200"/>
              <w:jc w:val="right"/>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Instalación para montaje (moqueta y otros)</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color w:val="000000"/>
                <w:sz w:val="16"/>
                <w:szCs w:val="16"/>
              </w:rPr>
              <w:t>10.000,00 €</w:t>
            </w:r>
          </w:p>
        </w:tc>
        <w:tc>
          <w:tcPr>
            <w:tcW w:w="13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100%</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10.000,00 €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rHeight w:val="70" w:hRule="atLeast"/>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Imprenta (flyers, carteles, lonas, etc)</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color w:val="000000"/>
                <w:sz w:val="16"/>
                <w:szCs w:val="16"/>
              </w:rPr>
              <w:t>3.700,00 €</w:t>
            </w:r>
          </w:p>
        </w:tc>
        <w:tc>
          <w:tcPr>
            <w:tcW w:w="13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rHeight w:val="2038" w:hRule="atLeast"/>
        </w:trPr>
        <w:tc>
          <w:tcPr>
            <w:tcW w:w="243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left"/>
              <w:rPr>
                <w:rFonts w:ascii="Verdana" w:hAnsi="Verdana"/>
                <w:sz w:val="16"/>
                <w:szCs w:val="16"/>
              </w:rPr>
            </w:pPr>
            <w:r>
              <w:rPr>
                <w:rFonts w:ascii="Verdana" w:hAnsi="Verdana"/>
                <w:sz w:val="16"/>
                <w:szCs w:val="16"/>
              </w:rPr>
            </w:r>
          </w:p>
          <w:p>
            <w:pPr>
              <w:pStyle w:val="Normal"/>
              <w:widowControl w:val="false"/>
              <w:jc w:val="left"/>
              <w:rPr>
                <w:rFonts w:ascii="Verdana" w:hAnsi="Verdana"/>
                <w:sz w:val="16"/>
                <w:szCs w:val="16"/>
              </w:rPr>
            </w:pPr>
            <w:r>
              <w:rPr>
                <w:rFonts w:ascii="Verdana" w:hAnsi="Verdana"/>
                <w:sz w:val="16"/>
                <w:szCs w:val="16"/>
              </w:rPr>
              <w:t>Actividades a terceros:</w:t>
            </w:r>
          </w:p>
          <w:p>
            <w:pPr>
              <w:pStyle w:val="Normal"/>
              <w:widowControl w:val="false"/>
              <w:jc w:val="left"/>
              <w:rPr>
                <w:rFonts w:ascii="Verdana" w:hAnsi="Verdana"/>
                <w:sz w:val="16"/>
                <w:szCs w:val="16"/>
              </w:rPr>
            </w:pPr>
            <w:r>
              <w:rPr>
                <w:rFonts w:ascii="Verdana" w:hAnsi="Verdana"/>
                <w:i/>
                <w:sz w:val="16"/>
                <w:szCs w:val="16"/>
              </w:rPr>
              <w:t>(Concursos felinos y caninos, viajes, alojamientos, emolumentos de jueces, premios, etc)</w:t>
            </w:r>
          </w:p>
          <w:p>
            <w:pPr>
              <w:pStyle w:val="Normal"/>
              <w:widowControl w:val="false"/>
              <w:spacing w:before="0" w:after="200"/>
              <w:jc w:val="left"/>
              <w:rPr>
                <w:rFonts w:ascii="Verdana" w:hAnsi="Verdana"/>
                <w:i/>
                <w:i/>
                <w:sz w:val="16"/>
                <w:szCs w:val="16"/>
              </w:rPr>
            </w:pPr>
            <w:r>
              <w:rPr>
                <w:rFonts w:ascii="Verdana" w:hAnsi="Verdana"/>
                <w:i/>
                <w:sz w:val="16"/>
                <w:szCs w:val="16"/>
              </w:rPr>
            </w:r>
          </w:p>
        </w:tc>
        <w:tc>
          <w:tcPr>
            <w:tcW w:w="158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Verdana" w:hAnsi="Verdana"/>
                <w:sz w:val="16"/>
                <w:szCs w:val="16"/>
              </w:rPr>
            </w:pPr>
            <w:r>
              <w:rPr>
                <w:rFonts w:ascii="Verdana" w:hAnsi="Verdana"/>
                <w:sz w:val="16"/>
                <w:szCs w:val="16"/>
              </w:rPr>
            </w:r>
          </w:p>
          <w:p>
            <w:pPr>
              <w:pStyle w:val="Normal"/>
              <w:widowControl w:val="false"/>
              <w:jc w:val="right"/>
              <w:rPr>
                <w:rFonts w:ascii="Verdana" w:hAnsi="Verdana" w:eastAsia="Calibri" w:cs=""/>
                <w:color w:val="000000"/>
                <w:kern w:val="0"/>
                <w:sz w:val="16"/>
                <w:szCs w:val="16"/>
                <w:lang w:val="es-ES" w:eastAsia="en-US" w:bidi="ar-SA"/>
              </w:rPr>
            </w:pPr>
            <w:r>
              <w:rPr>
                <w:rFonts w:eastAsia="Calibri" w:cs="" w:ascii="Verdana" w:hAnsi="Verdana"/>
                <w:color w:val="000000"/>
                <w:kern w:val="0"/>
                <w:sz w:val="16"/>
                <w:szCs w:val="16"/>
                <w:lang w:val="es-ES" w:eastAsia="en-US" w:bidi="ar-SA"/>
              </w:rPr>
              <w:t xml:space="preserve"> </w:t>
            </w:r>
            <w:r>
              <w:rPr>
                <w:rFonts w:eastAsia="Calibri" w:cs="" w:ascii="Verdana" w:hAnsi="Verdana"/>
                <w:color w:val="000000"/>
                <w:kern w:val="0"/>
                <w:sz w:val="16"/>
                <w:szCs w:val="16"/>
                <w:lang w:val="es-ES" w:eastAsia="en-US" w:bidi="ar-SA"/>
              </w:rPr>
              <w:t>9.500,00 €</w:t>
            </w:r>
          </w:p>
          <w:p>
            <w:pPr>
              <w:pStyle w:val="Normal"/>
              <w:widowControl w:val="false"/>
              <w:jc w:val="right"/>
              <w:rPr>
                <w:rFonts w:ascii="Verdana" w:hAnsi="Verdana"/>
                <w:i/>
                <w:i/>
              </w:rPr>
            </w:pPr>
            <w:r>
              <w:rPr>
                <w:rFonts w:ascii="Verdana" w:hAnsi="Verdana"/>
                <w:i/>
              </w:rPr>
            </w:r>
          </w:p>
          <w:p>
            <w:pPr>
              <w:pStyle w:val="Normal"/>
              <w:widowControl w:val="false"/>
              <w:jc w:val="right"/>
              <w:rPr>
                <w:sz w:val="12"/>
                <w:szCs w:val="12"/>
              </w:rPr>
            </w:pPr>
            <w:r>
              <w:rPr>
                <w:sz w:val="12"/>
                <w:szCs w:val="12"/>
              </w:rPr>
            </w:r>
          </w:p>
          <w:p>
            <w:pPr>
              <w:pStyle w:val="Normal"/>
              <w:widowControl w:val="false"/>
              <w:jc w:val="right"/>
              <w:rPr>
                <w:sz w:val="12"/>
                <w:szCs w:val="12"/>
              </w:rPr>
            </w:pPr>
            <w:r>
              <w:rPr>
                <w:sz w:val="12"/>
                <w:szCs w:val="12"/>
              </w:rPr>
            </w:r>
          </w:p>
          <w:p>
            <w:pPr>
              <w:pStyle w:val="Normal"/>
              <w:widowControl w:val="false"/>
              <w:jc w:val="right"/>
              <w:rPr>
                <w:sz w:val="12"/>
                <w:szCs w:val="12"/>
              </w:rPr>
            </w:pPr>
            <w:r>
              <w:rPr>
                <w:sz w:val="12"/>
                <w:szCs w:val="12"/>
              </w:rPr>
            </w:r>
          </w:p>
          <w:p>
            <w:pPr>
              <w:pStyle w:val="Normal"/>
              <w:widowControl w:val="false"/>
              <w:spacing w:before="0" w:after="200"/>
              <w:jc w:val="right"/>
              <w:rPr>
                <w:rFonts w:ascii="Verdana" w:hAnsi="Verdana"/>
                <w:i/>
                <w:i/>
                <w:sz w:val="16"/>
                <w:szCs w:val="16"/>
              </w:rPr>
            </w:pPr>
            <w:r>
              <w:rPr>
                <w:rFonts w:ascii="Verdana" w:hAnsi="Verdana"/>
                <w:i/>
                <w:sz w:val="16"/>
                <w:szCs w:val="16"/>
              </w:rPr>
            </w:r>
          </w:p>
        </w:tc>
        <w:tc>
          <w:tcPr>
            <w:tcW w:w="130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23,16 %</w:t>
            </w:r>
          </w:p>
        </w:tc>
        <w:tc>
          <w:tcPr>
            <w:tcW w:w="130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2.200,00 €</w:t>
            </w:r>
          </w:p>
        </w:tc>
        <w:tc>
          <w:tcPr>
            <w:tcW w:w="14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Patrocinadores</w:t>
            </w:r>
          </w:p>
        </w:tc>
        <w:tc>
          <w:tcPr>
            <w:tcW w:w="14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5.500,00 €</w:t>
            </w:r>
          </w:p>
        </w:tc>
      </w:tr>
      <w:tr>
        <w:trPr>
          <w:trHeight w:val="631" w:hRule="atLeast"/>
        </w:trPr>
        <w:tc>
          <w:tcPr>
            <w:tcW w:w="2437" w:type="dxa"/>
            <w:vMerge w:val="continue"/>
            <w:tcBorders>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r>
          </w:p>
        </w:tc>
        <w:tc>
          <w:tcPr>
            <w:tcW w:w="1588"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c>
          <w:tcPr>
            <w:tcW w:w="1307"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cstheme="minorBidi" w:eastAsiaTheme="minorHAnsi" w:ascii="Verdana" w:hAnsi="Verdana"/>
                <w:color w:val="auto"/>
                <w:kern w:val="0"/>
                <w:sz w:val="16"/>
                <w:szCs w:val="16"/>
                <w:lang w:val="es-ES" w:eastAsia="en-US" w:bidi="ar-SA"/>
              </w:rPr>
            </w:r>
          </w:p>
        </w:tc>
        <w:tc>
          <w:tcPr>
            <w:tcW w:w="1302"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cstheme="minorBidi" w:eastAsiaTheme="minorHAnsi" w:ascii="Verdana" w:hAnsi="Verdana"/>
                <w:color w:val="auto"/>
                <w:kern w:val="0"/>
                <w:sz w:val="16"/>
                <w:szCs w:val="16"/>
                <w:lang w:val="es-ES" w:eastAsia="en-US" w:bidi="ar-SA"/>
              </w:rPr>
            </w:r>
          </w:p>
        </w:tc>
        <w:tc>
          <w:tcPr>
            <w:tcW w:w="1466" w:type="dxa"/>
            <w:tcBorders>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Ingresos por taquilla</w:t>
            </w:r>
          </w:p>
        </w:tc>
        <w:tc>
          <w:tcPr>
            <w:tcW w:w="1443"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18.000,00 €</w:t>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Publicidad evento</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6.000,00 €</w:t>
            </w:r>
          </w:p>
        </w:tc>
        <w:tc>
          <w:tcPr>
            <w:tcW w:w="13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100%</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6.000,00 €</w:t>
            </w:r>
          </w:p>
        </w:tc>
        <w:tc>
          <w:tcPr>
            <w:tcW w:w="14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Cofinanciación Cámara de Comercio de Gijón</w:t>
            </w:r>
          </w:p>
        </w:tc>
        <w:tc>
          <w:tcPr>
            <w:tcW w:w="1443" w:type="dxa"/>
            <w:vMerge w:val="restart"/>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p>
            <w:pPr>
              <w:pStyle w:val="Normal"/>
              <w:widowControl w:val="false"/>
              <w:spacing w:before="0" w:after="200"/>
              <w:jc w:val="right"/>
              <w:rPr>
                <w:rFonts w:ascii="Verdana" w:hAnsi="Verdana"/>
                <w:sz w:val="16"/>
                <w:szCs w:val="16"/>
              </w:rPr>
            </w:pPr>
            <w:r>
              <w:rPr>
                <w:rFonts w:ascii="Verdana" w:hAnsi="Verdana"/>
                <w:sz w:val="16"/>
                <w:szCs w:val="16"/>
              </w:rPr>
              <w:t xml:space="preserve"> </w:t>
            </w:r>
            <w:r>
              <w:rPr>
                <w:rFonts w:ascii="Verdana" w:hAnsi="Verdana"/>
                <w:sz w:val="16"/>
                <w:szCs w:val="16"/>
              </w:rPr>
              <w:t>20.200,00 €</w:t>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Energía eléctrica y gas</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3.000,00 €</w:t>
            </w:r>
          </w:p>
        </w:tc>
        <w:tc>
          <w:tcPr>
            <w:tcW w:w="13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Ambulancia</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1.800,00 €</w:t>
            </w:r>
          </w:p>
        </w:tc>
        <w:tc>
          <w:tcPr>
            <w:tcW w:w="13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100%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1.800,00 €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Servicio veterinario</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1.500,00 €</w:t>
            </w:r>
          </w:p>
        </w:tc>
        <w:tc>
          <w:tcPr>
            <w:tcW w:w="13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437" w:type="dxa"/>
            <w:tcBorders>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Limpieza y mantenimiento</w:t>
            </w:r>
          </w:p>
        </w:tc>
        <w:tc>
          <w:tcPr>
            <w:tcW w:w="1588"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1.200,00 €</w:t>
            </w:r>
          </w:p>
        </w:tc>
        <w:tc>
          <w:tcPr>
            <w:tcW w:w="1307"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Alquiler audiovisuales</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2.700,00 €</w:t>
            </w:r>
          </w:p>
        </w:tc>
        <w:tc>
          <w:tcPr>
            <w:tcW w:w="13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Vigilancia</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800,00 €</w:t>
            </w:r>
          </w:p>
        </w:tc>
        <w:tc>
          <w:tcPr>
            <w:tcW w:w="1307"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Otros gastos varios</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2.500,00 €</w:t>
            </w:r>
          </w:p>
        </w:tc>
        <w:tc>
          <w:tcPr>
            <w:tcW w:w="1307"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Subvención Ayto. Gijón</w:t>
            </w:r>
          </w:p>
        </w:tc>
        <w:tc>
          <w:tcPr>
            <w:tcW w:w="1443" w:type="dxa"/>
            <w:tcBorders>
              <w:top w:val="single" w:sz="4" w:space="0" w:color="000000"/>
              <w:left w:val="single" w:sz="4" w:space="0" w:color="000000"/>
              <w:right w:val="single" w:sz="4" w:space="0" w:color="000000"/>
            </w:tcBorders>
            <w:vAlign w:val="center"/>
          </w:tcPr>
          <w:p>
            <w:pPr>
              <w:pStyle w:val="Normal"/>
              <w:widowControl w:val="false"/>
              <w:suppressAutoHyphens w:val="true"/>
              <w:bidi w:val="0"/>
              <w:spacing w:lineRule="auto" w:line="276" w:before="0" w:after="200"/>
              <w:jc w:val="left"/>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Costes personal fijo</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20.000,00 €</w:t>
            </w:r>
          </w:p>
        </w:tc>
        <w:tc>
          <w:tcPr>
            <w:tcW w:w="1307"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restart"/>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20.000,00 €</w:t>
            </w:r>
          </w:p>
        </w:tc>
      </w:tr>
      <w:tr>
        <w:trPr/>
        <w:tc>
          <w:tcPr>
            <w:tcW w:w="243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Costes personal eventual/fijos discontinuos</w:t>
            </w:r>
          </w:p>
        </w:tc>
        <w:tc>
          <w:tcPr>
            <w:tcW w:w="15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6.000,00 €</w:t>
            </w:r>
          </w:p>
        </w:tc>
        <w:tc>
          <w:tcPr>
            <w:tcW w:w="1307"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437" w:type="dxa"/>
            <w:tcBorders>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Personal contratado ETT</w:t>
            </w:r>
          </w:p>
        </w:tc>
        <w:tc>
          <w:tcPr>
            <w:tcW w:w="1588"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10.000,00 €</w:t>
            </w:r>
          </w:p>
        </w:tc>
        <w:tc>
          <w:tcPr>
            <w:tcW w:w="1307"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30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43"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43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pPr>
            <w:r>
              <w:rPr>
                <w:rFonts w:ascii="Verdana" w:hAnsi="Verdana"/>
                <w:b/>
                <w:sz w:val="16"/>
                <w:szCs w:val="16"/>
              </w:rPr>
              <w:t>Total E. Mascotas</w:t>
            </w:r>
          </w:p>
        </w:tc>
        <w:tc>
          <w:tcPr>
            <w:tcW w:w="1588"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pPr>
            <w:r>
              <w:rPr>
                <w:rFonts w:eastAsia="Arial" w:cs="DejaVu Sans" w:ascii="Verdana" w:hAnsi="Verdana" w:cstheme="minorBidi" w:eastAsiaTheme="minorHAnsi"/>
                <w:b/>
                <w:i w:val="false"/>
                <w:iCs w:val="false"/>
                <w:color w:val="auto"/>
                <w:kern w:val="0"/>
                <w:sz w:val="16"/>
                <w:szCs w:val="16"/>
                <w:lang w:val="es-ES" w:eastAsia="en-US" w:bidi="ar-SA"/>
              </w:rPr>
              <w:t>78.700,00 €</w:t>
            </w:r>
          </w:p>
        </w:tc>
        <w:tc>
          <w:tcPr>
            <w:tcW w:w="130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b/>
                <w:sz w:val="16"/>
                <w:szCs w:val="16"/>
              </w:rPr>
            </w:pPr>
            <w:r>
              <w:rPr>
                <w:rFonts w:ascii="Verdana" w:hAnsi="Verdana"/>
                <w:b/>
                <w:sz w:val="16"/>
                <w:szCs w:val="16"/>
              </w:rPr>
            </w:r>
          </w:p>
        </w:tc>
        <w:tc>
          <w:tcPr>
            <w:tcW w:w="130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pPr>
            <w:r>
              <w:rPr>
                <w:rFonts w:ascii="Verdana" w:hAnsi="Verdana"/>
                <w:b/>
                <w:i w:val="false"/>
                <w:iCs w:val="false"/>
                <w:sz w:val="16"/>
                <w:szCs w:val="16"/>
              </w:rPr>
              <w:t>20.000,00 €</w:t>
            </w:r>
          </w:p>
        </w:tc>
        <w:tc>
          <w:tcPr>
            <w:tcW w:w="1466"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b/>
                <w:sz w:val="16"/>
                <w:szCs w:val="16"/>
              </w:rPr>
            </w:pPr>
            <w:r>
              <w:rPr>
                <w:rFonts w:ascii="Verdana" w:hAnsi="Verdana"/>
                <w:b/>
                <w:sz w:val="16"/>
                <w:szCs w:val="16"/>
              </w:rPr>
            </w:r>
          </w:p>
        </w:tc>
        <w:tc>
          <w:tcPr>
            <w:tcW w:w="1443"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pPr>
            <w:r>
              <w:rPr>
                <w:rFonts w:eastAsia="Arial" w:cs="DejaVu Sans" w:ascii="Verdana" w:hAnsi="Verdana" w:cstheme="minorBidi" w:eastAsiaTheme="minorHAnsi"/>
                <w:b/>
                <w:i w:val="false"/>
                <w:iCs w:val="false"/>
                <w:color w:val="auto"/>
                <w:kern w:val="0"/>
                <w:sz w:val="16"/>
                <w:szCs w:val="16"/>
                <w:lang w:val="es-ES" w:eastAsia="en-US" w:bidi="ar-SA"/>
              </w:rPr>
              <w:t>78.700,00 €</w:t>
            </w:r>
          </w:p>
        </w:tc>
      </w:tr>
    </w:tbl>
    <w:p>
      <w:pPr>
        <w:pStyle w:val="Normal"/>
        <w:spacing w:lineRule="auto" w:line="276" w:before="0" w:after="120"/>
        <w:ind w:hanging="0" w:left="0" w:right="0"/>
        <w:jc w:val="both"/>
        <w:rPr>
          <w:rFonts w:ascii="Verdana" w:hAnsi="Verdana" w:eastAsia="Times New Roman" w:cs="Times New Roman"/>
          <w:b w:val="false"/>
          <w:bCs w:val="false"/>
          <w:color w:val="auto"/>
          <w:sz w:val="16"/>
          <w:szCs w:val="16"/>
          <w:shd w:fill="auto" w:val="clear"/>
          <w:lang w:eastAsia="es-ES"/>
        </w:rPr>
      </w:pPr>
      <w:r>
        <w:rPr>
          <w:rFonts w:eastAsia="Times New Roman" w:cs="Times New Roman" w:ascii="Verdana" w:hAnsi="Verdana"/>
          <w:b w:val="false"/>
          <w:bCs w:val="false"/>
          <w:color w:val="000000"/>
          <w:sz w:val="16"/>
          <w:szCs w:val="16"/>
          <w:shd w:fill="auto" w:val="clear"/>
          <w:lang w:eastAsia="es-ES"/>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Normal"/>
        <w:spacing w:lineRule="auto" w:line="276" w:before="0" w:after="240"/>
        <w:ind w:hanging="0" w:left="0" w:right="0"/>
        <w:jc w:val="both"/>
        <w:rPr>
          <w:rFonts w:ascii="Verdana" w:hAnsi="Verdana"/>
          <w:sz w:val="16"/>
          <w:szCs w:val="16"/>
        </w:rPr>
      </w:pPr>
      <w:r>
        <w:rPr>
          <w:rFonts w:ascii="Verdana" w:hAnsi="Verdana"/>
          <w:sz w:val="16"/>
          <w:szCs w:val="16"/>
        </w:rPr>
      </w:r>
    </w:p>
    <w:tbl>
      <w:tblPr>
        <w:tblW w:w="9543" w:type="dxa"/>
        <w:jc w:val="center"/>
        <w:tblInd w:w="0" w:type="dxa"/>
        <w:tblLayout w:type="fixed"/>
        <w:tblCellMar>
          <w:top w:w="0" w:type="dxa"/>
          <w:left w:w="108" w:type="dxa"/>
          <w:bottom w:w="0" w:type="dxa"/>
          <w:right w:w="108" w:type="dxa"/>
        </w:tblCellMar>
      </w:tblPr>
      <w:tblGrid>
        <w:gridCol w:w="2048"/>
        <w:gridCol w:w="1"/>
        <w:gridCol w:w="1338"/>
        <w:gridCol w:w="2"/>
        <w:gridCol w:w="1697"/>
        <w:gridCol w:w="1"/>
        <w:gridCol w:w="2004"/>
        <w:gridCol w:w="1236"/>
        <w:gridCol w:w="2"/>
        <w:gridCol w:w="1212"/>
        <w:gridCol w:w="2"/>
        <w:gridCol w:w="1"/>
      </w:tblGrid>
      <w:tr>
        <w:trPr>
          <w:trHeight w:val="506" w:hRule="atLeast"/>
        </w:trPr>
        <w:tc>
          <w:tcPr>
            <w:tcW w:w="5086" w:type="dxa"/>
            <w:gridSpan w:val="5"/>
            <w:tcBorders>
              <w:top w:val="single" w:sz="4" w:space="0" w:color="000000"/>
              <w:left w:val="single" w:sz="4" w:space="0" w:color="000000"/>
              <w:bottom w:val="single" w:sz="4" w:space="0" w:color="000000"/>
            </w:tcBorders>
            <w:shd w:fill="A6A6A6"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PRESUPUESTO DE GASTOS</w:t>
            </w:r>
          </w:p>
        </w:tc>
        <w:tc>
          <w:tcPr>
            <w:tcW w:w="2005" w:type="dxa"/>
            <w:gridSpan w:val="2"/>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center"/>
              <w:rPr>
                <w:rFonts w:ascii="Verdana" w:hAnsi="Verdana"/>
                <w:sz w:val="16"/>
                <w:szCs w:val="16"/>
              </w:rPr>
            </w:pPr>
            <w:r>
              <w:rPr>
                <w:rFonts w:ascii="Verdana" w:hAnsi="Verdana"/>
                <w:sz w:val="16"/>
                <w:szCs w:val="16"/>
              </w:rPr>
            </w:r>
          </w:p>
        </w:tc>
        <w:tc>
          <w:tcPr>
            <w:tcW w:w="2450" w:type="dxa"/>
            <w:gridSpan w:val="3"/>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PRESUPUESTO DE INGRESOS</w:t>
            </w:r>
          </w:p>
        </w:tc>
      </w:tr>
      <w:tr>
        <w:trPr/>
        <w:tc>
          <w:tcPr>
            <w:tcW w:w="2048"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sz w:val="16"/>
                <w:szCs w:val="16"/>
              </w:rPr>
            </w:pPr>
            <w:r>
              <w:rPr>
                <w:rFonts w:ascii="Verdana" w:hAnsi="Verdana"/>
                <w:b/>
                <w:bCs/>
                <w:sz w:val="16"/>
                <w:szCs w:val="16"/>
              </w:rPr>
              <w:t>CONCEPTO</w:t>
            </w:r>
          </w:p>
        </w:tc>
        <w:tc>
          <w:tcPr>
            <w:tcW w:w="1339" w:type="dxa"/>
            <w:gridSpan w:val="2"/>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CUANTÍA</w:t>
            </w:r>
          </w:p>
        </w:tc>
        <w:tc>
          <w:tcPr>
            <w:tcW w:w="1699" w:type="dxa"/>
            <w:gridSpan w:val="2"/>
            <w:tcBorders>
              <w:top w:val="single" w:sz="4" w:space="0" w:color="000000"/>
              <w:left w:val="single" w:sz="4" w:space="0" w:color="000000"/>
              <w:bottom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 IMPUTADO</w:t>
            </w:r>
          </w:p>
        </w:tc>
        <w:tc>
          <w:tcPr>
            <w:tcW w:w="2005" w:type="dxa"/>
            <w:gridSpan w:val="2"/>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sz w:val="16"/>
                <w:szCs w:val="16"/>
              </w:rPr>
            </w:r>
          </w:p>
          <w:p>
            <w:pPr>
              <w:pStyle w:val="Normal"/>
              <w:widowControl w:val="false"/>
              <w:spacing w:before="0" w:after="200"/>
              <w:jc w:val="center"/>
              <w:rPr>
                <w:rFonts w:ascii="Verdana" w:hAnsi="Verdana"/>
                <w:sz w:val="16"/>
                <w:szCs w:val="16"/>
              </w:rPr>
            </w:pPr>
            <w:r>
              <w:rPr>
                <w:rFonts w:ascii="Verdana" w:hAnsi="Verdana"/>
                <w:b/>
                <w:sz w:val="16"/>
                <w:szCs w:val="16"/>
              </w:rPr>
              <w:t>GASTO IMPUTADO</w:t>
            </w:r>
          </w:p>
        </w:tc>
        <w:tc>
          <w:tcPr>
            <w:tcW w:w="1238" w:type="dxa"/>
            <w:gridSpan w:val="2"/>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CONCEPTO</w:t>
            </w:r>
          </w:p>
        </w:tc>
        <w:tc>
          <w:tcPr>
            <w:tcW w:w="121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bCs/>
                <w:sz w:val="16"/>
                <w:szCs w:val="16"/>
              </w:rPr>
              <w:t>CUANTÍA</w:t>
            </w:r>
          </w:p>
        </w:tc>
      </w:tr>
      <w:tr>
        <w:trPr>
          <w:trHeight w:val="902" w:hRule="atLeast"/>
        </w:trPr>
        <w:tc>
          <w:tcPr>
            <w:tcW w:w="7091" w:type="dxa"/>
            <w:gridSpan w:val="7"/>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b/>
                <w:sz w:val="16"/>
                <w:szCs w:val="16"/>
              </w:rPr>
            </w:pPr>
            <w:r>
              <w:rPr>
                <w:rFonts w:ascii="Verdana" w:hAnsi="Verdana"/>
                <w:b/>
                <w:sz w:val="16"/>
                <w:szCs w:val="16"/>
              </w:rPr>
            </w:r>
          </w:p>
          <w:p>
            <w:pPr>
              <w:pStyle w:val="Normal"/>
              <w:widowControl w:val="false"/>
              <w:spacing w:before="0" w:after="200"/>
              <w:rPr>
                <w:rFonts w:ascii="Verdana" w:hAnsi="Verdana"/>
                <w:sz w:val="16"/>
                <w:szCs w:val="16"/>
              </w:rPr>
            </w:pPr>
            <w:r>
              <w:rPr>
                <w:rFonts w:eastAsia="Arial" w:cs="DejaVu Sans" w:ascii="Verdana" w:hAnsi="Verdana"/>
                <w:b/>
                <w:sz w:val="16"/>
                <w:szCs w:val="16"/>
                <w:shd w:fill="B2B2B2" w:val="clear"/>
              </w:rPr>
              <w:t>DOS RUEDAS MEET</w:t>
            </w:r>
          </w:p>
        </w:tc>
        <w:tc>
          <w:tcPr>
            <w:tcW w:w="1238"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Canon y servicios a expositores</w:t>
            </w:r>
          </w:p>
        </w:tc>
        <w:tc>
          <w:tcPr>
            <w:tcW w:w="1212" w:type="dxa"/>
            <w:vMerge w:val="restart"/>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p>
            <w:pPr>
              <w:pStyle w:val="Normal"/>
              <w:widowControl w:val="false"/>
              <w:spacing w:before="0" w:after="200"/>
              <w:jc w:val="right"/>
              <w:rPr>
                <w:rFonts w:ascii="Verdana" w:hAnsi="Verdana"/>
                <w:sz w:val="16"/>
                <w:szCs w:val="16"/>
              </w:rPr>
            </w:pPr>
            <w:r>
              <w:rPr>
                <w:rFonts w:ascii="Verdana" w:hAnsi="Verdana"/>
                <w:sz w:val="16"/>
                <w:szCs w:val="16"/>
              </w:rPr>
              <w:t>25.000,00 €</w:t>
            </w:r>
          </w:p>
        </w:tc>
      </w:tr>
      <w:tr>
        <w:trPr/>
        <w:tc>
          <w:tcPr>
            <w:tcW w:w="204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Instalación para montaje (moqueta y otras)</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15.000,00 €</w:t>
            </w:r>
          </w:p>
        </w:tc>
        <w:tc>
          <w:tcPr>
            <w:tcW w:w="1699"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46,67 %</w:t>
            </w:r>
          </w:p>
        </w:tc>
        <w:tc>
          <w:tcPr>
            <w:tcW w:w="20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7.000,00 €</w:t>
            </w:r>
          </w:p>
        </w:tc>
        <w:tc>
          <w:tcPr>
            <w:tcW w:w="123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2"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c>
          <w:tcPr>
            <w:tcW w:w="204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Imprenta (flyers, carteles, lonas, etc)</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5.000,00 €</w:t>
            </w:r>
          </w:p>
        </w:tc>
        <w:tc>
          <w:tcPr>
            <w:tcW w:w="1699"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8"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2"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rHeight w:val="1172" w:hRule="atLeast"/>
        </w:trPr>
        <w:tc>
          <w:tcPr>
            <w:tcW w:w="204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left"/>
              <w:rPr>
                <w:rFonts w:ascii="Verdana" w:hAnsi="Verdana"/>
                <w:sz w:val="16"/>
                <w:szCs w:val="16"/>
              </w:rPr>
            </w:pPr>
            <w:r>
              <w:rPr>
                <w:rFonts w:ascii="Verdana" w:hAnsi="Verdana"/>
                <w:sz w:val="16"/>
                <w:szCs w:val="16"/>
              </w:rPr>
            </w:r>
          </w:p>
          <w:p>
            <w:pPr>
              <w:pStyle w:val="Normal"/>
              <w:widowControl w:val="false"/>
              <w:jc w:val="left"/>
              <w:rPr>
                <w:rFonts w:ascii="Verdana" w:hAnsi="Verdana"/>
                <w:sz w:val="16"/>
                <w:szCs w:val="16"/>
              </w:rPr>
            </w:pPr>
            <w:r>
              <w:rPr>
                <w:rFonts w:ascii="Verdana" w:hAnsi="Verdana"/>
                <w:sz w:val="16"/>
                <w:szCs w:val="16"/>
              </w:rPr>
              <w:t>Actividades a terceros</w:t>
            </w:r>
          </w:p>
          <w:p>
            <w:pPr>
              <w:pStyle w:val="Normal"/>
              <w:widowControl w:val="false"/>
              <w:spacing w:before="0" w:after="200"/>
              <w:jc w:val="left"/>
              <w:rPr>
                <w:rFonts w:ascii="Verdana" w:hAnsi="Verdana"/>
                <w:i/>
                <w:i/>
                <w:iCs/>
                <w:sz w:val="16"/>
                <w:szCs w:val="16"/>
              </w:rPr>
            </w:pPr>
            <w:r>
              <w:rPr>
                <w:rFonts w:ascii="Verdana" w:hAnsi="Verdana"/>
                <w:i/>
                <w:iCs/>
                <w:sz w:val="16"/>
                <w:szCs w:val="16"/>
              </w:rPr>
            </w:r>
          </w:p>
        </w:tc>
        <w:tc>
          <w:tcPr>
            <w:tcW w:w="1339"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8.000,00 €</w:t>
            </w:r>
          </w:p>
        </w:tc>
        <w:tc>
          <w:tcPr>
            <w:tcW w:w="1699" w:type="dxa"/>
            <w:gridSpan w:val="2"/>
            <w:vMerge w:val="restart"/>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100,00 %</w:t>
            </w:r>
          </w:p>
        </w:tc>
        <w:tc>
          <w:tcPr>
            <w:tcW w:w="2005"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8.000,00 €</w:t>
            </w:r>
          </w:p>
        </w:tc>
        <w:tc>
          <w:tcPr>
            <w:tcW w:w="1238"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Ingresos por taquilla</w:t>
            </w:r>
          </w:p>
        </w:tc>
        <w:tc>
          <w:tcPr>
            <w:tcW w:w="12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2.000,00 €</w:t>
            </w:r>
          </w:p>
        </w:tc>
      </w:tr>
      <w:tr>
        <w:trPr>
          <w:trHeight w:val="270" w:hRule="atLeast"/>
        </w:trPr>
        <w:tc>
          <w:tcPr>
            <w:tcW w:w="2048" w:type="dxa"/>
            <w:vMerge w:val="continue"/>
            <w:tcBorders>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r>
          </w:p>
        </w:tc>
        <w:tc>
          <w:tcPr>
            <w:tcW w:w="1339" w:type="dxa"/>
            <w:gridSpan w:val="2"/>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cstheme="minorBidi" w:eastAsiaTheme="minorHAnsi" w:ascii="Verdana" w:hAnsi="Verdana"/>
                <w:color w:val="auto"/>
                <w:kern w:val="0"/>
                <w:sz w:val="16"/>
                <w:szCs w:val="16"/>
                <w:lang w:val="es-ES" w:eastAsia="en-US" w:bidi="ar-SA"/>
              </w:rPr>
            </w:r>
          </w:p>
        </w:tc>
        <w:tc>
          <w:tcPr>
            <w:tcW w:w="1699" w:type="dxa"/>
            <w:gridSpan w:val="2"/>
            <w:vMerge w:val="continue"/>
            <w:tcBorders>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cstheme="minorBidi" w:eastAsiaTheme="minorHAnsi" w:ascii="Verdana" w:hAnsi="Verdana"/>
                <w:color w:val="auto"/>
                <w:kern w:val="0"/>
                <w:sz w:val="16"/>
                <w:szCs w:val="16"/>
                <w:lang w:val="es-ES" w:eastAsia="en-US" w:bidi="ar-SA"/>
              </w:rPr>
            </w:r>
          </w:p>
        </w:tc>
        <w:tc>
          <w:tcPr>
            <w:tcW w:w="2005" w:type="dxa"/>
            <w:gridSpan w:val="2"/>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cstheme="minorBidi" w:eastAsiaTheme="minorHAnsi" w:ascii="Verdana" w:hAnsi="Verdana"/>
                <w:color w:val="auto"/>
                <w:kern w:val="0"/>
                <w:sz w:val="16"/>
                <w:szCs w:val="16"/>
                <w:lang w:val="es-ES" w:eastAsia="en-US" w:bidi="ar-SA"/>
              </w:rPr>
            </w:r>
          </w:p>
        </w:tc>
        <w:tc>
          <w:tcPr>
            <w:tcW w:w="1238" w:type="dxa"/>
            <w:gridSpan w:val="2"/>
            <w:tcBorders>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Cofinanciación Cámara de Comercio de Gijón</w:t>
            </w:r>
          </w:p>
        </w:tc>
        <w:tc>
          <w:tcPr>
            <w:tcW w:w="1212"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16.500,00 €</w:t>
            </w:r>
          </w:p>
        </w:tc>
      </w:tr>
      <w:tr>
        <w:trPr/>
        <w:tc>
          <w:tcPr>
            <w:tcW w:w="204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Energía eléctrica y gas</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3.000,00 €</w:t>
            </w:r>
          </w:p>
        </w:tc>
        <w:tc>
          <w:tcPr>
            <w:tcW w:w="1699"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8" w:type="dxa"/>
            <w:gridSpan w:val="2"/>
            <w:vMerge w:val="restart"/>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pPr>
              <w:pStyle w:val="Normal"/>
              <w:widowControl w:val="false"/>
              <w:spacing w:before="0" w:after="200"/>
              <w:jc w:val="left"/>
              <w:rPr>
                <w:rFonts w:ascii="Verdana" w:hAnsi="Verdana"/>
                <w:sz w:val="16"/>
                <w:szCs w:val="16"/>
              </w:rPr>
            </w:pPr>
            <w:r>
              <w:rPr>
                <w:rFonts w:ascii="Verdana" w:hAnsi="Verdana"/>
                <w:sz w:val="16"/>
                <w:szCs w:val="16"/>
              </w:rPr>
              <w:t>Patrocinadores</w:t>
            </w:r>
          </w:p>
        </w:tc>
        <w:tc>
          <w:tcPr>
            <w:tcW w:w="1212" w:type="dxa"/>
            <w:vMerge w:val="restart"/>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10.000,00 €</w:t>
            </w:r>
          </w:p>
        </w:tc>
      </w:tr>
      <w:tr>
        <w:trPr/>
        <w:tc>
          <w:tcPr>
            <w:tcW w:w="204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Publicidad evento</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5.000,00 €</w:t>
            </w:r>
          </w:p>
        </w:tc>
        <w:tc>
          <w:tcPr>
            <w:tcW w:w="1699"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100,00 %</w:t>
            </w:r>
          </w:p>
        </w:tc>
        <w:tc>
          <w:tcPr>
            <w:tcW w:w="20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5.000,00 €</w:t>
            </w:r>
          </w:p>
        </w:tc>
        <w:tc>
          <w:tcPr>
            <w:tcW w:w="1238" w:type="dxa"/>
            <w:gridSpan w:val="2"/>
            <w:vMerge w:val="continue"/>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2"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c>
          <w:tcPr>
            <w:tcW w:w="204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Limpieza instalaciones</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1.000,00 €</w:t>
            </w:r>
          </w:p>
        </w:tc>
        <w:tc>
          <w:tcPr>
            <w:tcW w:w="1699"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8" w:type="dxa"/>
            <w:gridSpan w:val="2"/>
            <w:vMerge w:val="continue"/>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2"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rHeight w:val="272" w:hRule="atLeast"/>
        </w:trPr>
        <w:tc>
          <w:tcPr>
            <w:tcW w:w="204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Alquiler audiovisuales</w:t>
            </w:r>
          </w:p>
        </w:tc>
        <w:tc>
          <w:tcPr>
            <w:tcW w:w="13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2.000,00 €</w:t>
            </w:r>
          </w:p>
        </w:tc>
        <w:tc>
          <w:tcPr>
            <w:tcW w:w="1699"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8" w:type="dxa"/>
            <w:gridSpan w:val="2"/>
            <w:vMerge w:val="continue"/>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2"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rHeight w:val="272" w:hRule="atLeast"/>
        </w:trPr>
        <w:tc>
          <w:tcPr>
            <w:tcW w:w="20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Otros gastos varios</w:t>
            </w:r>
          </w:p>
        </w:tc>
        <w:tc>
          <w:tcPr>
            <w:tcW w:w="134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2.500,00 €</w:t>
            </w:r>
          </w:p>
        </w:tc>
        <w:tc>
          <w:tcPr>
            <w:tcW w:w="1698"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6" w:type="dxa"/>
            <w:vMerge w:val="restart"/>
            <w:tcBorders>
              <w:top w:val="single" w:sz="4" w:space="0" w:color="000000"/>
              <w:left w:val="single" w:sz="4" w:space="0" w:color="000000"/>
              <w:bottom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Subvención Ayto. Gijón</w:t>
            </w:r>
          </w:p>
        </w:tc>
        <w:tc>
          <w:tcPr>
            <w:tcW w:w="2" w:type="dxa"/>
            <w:vMerge w:val="restart"/>
            <w:tcBorders>
              <w:top w:val="single" w:sz="4" w:space="0" w:color="000000"/>
              <w:left w:val="single" w:sz="4" w:space="0" w:color="000000"/>
              <w:bottom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r>
          </w:p>
        </w:tc>
        <w:tc>
          <w:tcPr>
            <w:tcW w:w="1214" w:type="dxa"/>
            <w:vMerge w:val="restart"/>
            <w:tcBorders>
              <w:top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p>
            <w:pPr>
              <w:pStyle w:val="Normal"/>
              <w:widowControl w:val="false"/>
              <w:spacing w:before="0" w:after="200"/>
              <w:jc w:val="right"/>
              <w:rPr>
                <w:rFonts w:ascii="Verdana" w:hAnsi="Verdana"/>
                <w:sz w:val="16"/>
                <w:szCs w:val="16"/>
              </w:rPr>
            </w:pPr>
            <w:r>
              <w:rPr>
                <w:rFonts w:ascii="Verdana" w:hAnsi="Verdana"/>
                <w:sz w:val="16"/>
                <w:szCs w:val="16"/>
              </w:rPr>
              <w:t>20.000,00 €</w:t>
            </w:r>
          </w:p>
        </w:tc>
        <w:tc>
          <w:tcPr>
            <w:tcW w:w="1" w:type="dxa"/>
            <w:vMerge w:val="restart"/>
            <w:tcBorders>
              <w:top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c>
          <w:tcPr>
            <w:tcW w:w="20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Gasto personal fijo</w:t>
            </w:r>
          </w:p>
        </w:tc>
        <w:tc>
          <w:tcPr>
            <w:tcW w:w="134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17.000,00 €</w:t>
            </w:r>
          </w:p>
        </w:tc>
        <w:tc>
          <w:tcPr>
            <w:tcW w:w="1698"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6" w:type="dxa"/>
            <w:vMerge w:val="continue"/>
            <w:tcBorders>
              <w:top w:val="single" w:sz="4" w:space="0" w:color="000000"/>
              <w:left w:val="single" w:sz="4" w:space="0" w:color="000000"/>
              <w:bottom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4" w:type="dxa"/>
            <w:vMerge w:val="continue"/>
            <w:tcBorders>
              <w:top w:val="single" w:sz="4" w:space="0" w:color="000000"/>
              <w:lef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0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Gasto personal eventual/fijos discontinuos</w:t>
            </w:r>
          </w:p>
        </w:tc>
        <w:tc>
          <w:tcPr>
            <w:tcW w:w="1340"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5.000,00 €</w:t>
            </w:r>
          </w:p>
        </w:tc>
        <w:tc>
          <w:tcPr>
            <w:tcW w:w="1698" w:type="dxa"/>
            <w:gridSpan w:val="2"/>
            <w:tcBorders>
              <w:top w:val="single" w:sz="4" w:space="0" w:color="000000"/>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6" w:type="dxa"/>
            <w:vMerge w:val="continue"/>
            <w:tcBorders>
              <w:top w:val="single" w:sz="4" w:space="0" w:color="000000"/>
              <w:left w:val="single" w:sz="4" w:space="0" w:color="000000"/>
              <w:bottom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4" w:type="dxa"/>
            <w:vMerge w:val="continue"/>
            <w:tcBorders>
              <w:top w:val="single" w:sz="4" w:space="0" w:color="000000"/>
              <w:lef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c>
          <w:tcPr>
            <w:tcW w:w="2049" w:type="dxa"/>
            <w:gridSpan w:val="2"/>
            <w:tcBorders>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Personal contratado ETT</w:t>
            </w:r>
          </w:p>
        </w:tc>
        <w:tc>
          <w:tcPr>
            <w:tcW w:w="1340" w:type="dxa"/>
            <w:gridSpan w:val="2"/>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10.000,00 €</w:t>
            </w:r>
          </w:p>
        </w:tc>
        <w:tc>
          <w:tcPr>
            <w:tcW w:w="1698" w:type="dxa"/>
            <w:gridSpan w:val="2"/>
            <w:tcBorders>
              <w:left w:val="single" w:sz="4" w:space="0" w:color="000000"/>
              <w:bottom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2004"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236" w:type="dxa"/>
            <w:vMerge w:val="continue"/>
            <w:tcBorders>
              <w:top w:val="single" w:sz="4" w:space="0" w:color="000000"/>
              <w:left w:val="single" w:sz="4" w:space="0" w:color="000000"/>
              <w:bottom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14" w:type="dxa"/>
            <w:vMerge w:val="continue"/>
            <w:tcBorders>
              <w:top w:val="single" w:sz="4" w:space="0" w:color="000000"/>
              <w:lef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r>
      <w:tr>
        <w:trPr>
          <w:trHeight w:val="467" w:hRule="atLeast"/>
        </w:trPr>
        <w:tc>
          <w:tcPr>
            <w:tcW w:w="2048"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rPr>
                <w:rFonts w:ascii="Verdana" w:hAnsi="Verdana"/>
                <w:sz w:val="16"/>
                <w:szCs w:val="16"/>
              </w:rPr>
            </w:pPr>
            <w:r>
              <w:rPr>
                <w:rFonts w:ascii="Verdana" w:hAnsi="Verdana"/>
                <w:b/>
                <w:sz w:val="16"/>
                <w:szCs w:val="16"/>
              </w:rPr>
              <w:t>Total Dos Ruedas Meet</w:t>
            </w:r>
          </w:p>
        </w:tc>
        <w:tc>
          <w:tcPr>
            <w:tcW w:w="1339" w:type="dxa"/>
            <w:gridSpan w:val="2"/>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sz w:val="16"/>
                <w:szCs w:val="16"/>
              </w:rPr>
            </w:pPr>
            <w:r>
              <w:rPr>
                <w:rFonts w:ascii="Verdana" w:hAnsi="Verdana"/>
                <w:sz w:val="16"/>
                <w:szCs w:val="16"/>
              </w:rPr>
              <w:t>73.500,00 €</w:t>
            </w:r>
          </w:p>
        </w:tc>
        <w:tc>
          <w:tcPr>
            <w:tcW w:w="1699" w:type="dxa"/>
            <w:gridSpan w:val="2"/>
            <w:tcBorders>
              <w:top w:val="single" w:sz="4" w:space="0" w:color="000000"/>
              <w:left w:val="single" w:sz="4" w:space="0" w:color="000000"/>
              <w:bottom w:val="single" w:sz="4" w:space="0" w:color="000000"/>
            </w:tcBorders>
            <w:shd w:fill="D9D9D9" w:val="clear"/>
            <w:vAlign w:val="center"/>
          </w:tcPr>
          <w:p>
            <w:pPr>
              <w:pStyle w:val="Normal"/>
              <w:widowControl w:val="false"/>
              <w:spacing w:before="0" w:after="200"/>
              <w:jc w:val="right"/>
              <w:rPr>
                <w:rFonts w:ascii="Verdana" w:hAnsi="Verdana"/>
                <w:color w:val="FF0000"/>
                <w:sz w:val="16"/>
                <w:szCs w:val="16"/>
              </w:rPr>
            </w:pPr>
            <w:r>
              <w:rPr>
                <w:rFonts w:ascii="Verdana" w:hAnsi="Verdana"/>
                <w:color w:val="FF0000"/>
                <w:sz w:val="16"/>
                <w:szCs w:val="16"/>
              </w:rPr>
            </w:r>
          </w:p>
        </w:tc>
        <w:tc>
          <w:tcPr>
            <w:tcW w:w="2005" w:type="dxa"/>
            <w:gridSpan w:val="2"/>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sz w:val="16"/>
                <w:szCs w:val="16"/>
              </w:rPr>
            </w:pPr>
            <w:r>
              <w:rPr>
                <w:rFonts w:ascii="Verdana" w:hAnsi="Verdana"/>
                <w:sz w:val="16"/>
                <w:szCs w:val="16"/>
              </w:rPr>
              <w:t>20.000,00 €</w:t>
            </w:r>
          </w:p>
        </w:tc>
        <w:tc>
          <w:tcPr>
            <w:tcW w:w="1238" w:type="dxa"/>
            <w:gridSpan w:val="2"/>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sz w:val="16"/>
                <w:szCs w:val="16"/>
              </w:rPr>
            </w:pPr>
            <w:r>
              <w:rPr>
                <w:rFonts w:ascii="Verdana" w:hAnsi="Verdana"/>
                <w:sz w:val="16"/>
                <w:szCs w:val="16"/>
              </w:rPr>
            </w:r>
          </w:p>
        </w:tc>
        <w:tc>
          <w:tcPr>
            <w:tcW w:w="121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b w:val="false"/>
                <w:bCs w:val="false"/>
              </w:rPr>
            </w:pPr>
            <w:r>
              <w:rPr>
                <w:rFonts w:ascii="Verdana" w:hAnsi="Verdana"/>
                <w:b w:val="false"/>
                <w:bCs w:val="false"/>
                <w:sz w:val="16"/>
                <w:szCs w:val="16"/>
              </w:rPr>
              <w:t>73.500,00 €</w:t>
            </w:r>
          </w:p>
        </w:tc>
      </w:tr>
      <w:tr>
        <w:trPr/>
        <w:tc>
          <w:tcPr>
            <w:tcW w:w="2048" w:type="dxa"/>
            <w:tcBorders>
              <w:top w:val="single" w:sz="4" w:space="0" w:color="000000"/>
              <w:left w:val="single" w:sz="4" w:space="0" w:color="000000"/>
              <w:bottom w:val="single" w:sz="4" w:space="0" w:color="000000"/>
              <w:right w:val="single" w:sz="4" w:space="0" w:color="000000"/>
            </w:tcBorders>
            <w:shd w:fill="A6A6A6" w:val="clear"/>
          </w:tcPr>
          <w:p>
            <w:pPr>
              <w:pStyle w:val="Normal"/>
              <w:widowControl w:val="false"/>
              <w:spacing w:before="0" w:after="200"/>
              <w:jc w:val="center"/>
              <w:rPr>
                <w:rFonts w:ascii="Verdana" w:hAnsi="Verdana"/>
                <w:sz w:val="16"/>
                <w:szCs w:val="16"/>
              </w:rPr>
            </w:pPr>
            <w:r>
              <w:rPr>
                <w:rFonts w:ascii="Verdana" w:hAnsi="Verdana"/>
                <w:b/>
                <w:sz w:val="16"/>
                <w:szCs w:val="16"/>
              </w:rPr>
              <w:t>TOTAL Proyecto 1</w:t>
            </w:r>
          </w:p>
        </w:tc>
        <w:tc>
          <w:tcPr>
            <w:tcW w:w="1339" w:type="dxa"/>
            <w:gridSpan w:val="2"/>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right"/>
              <w:rPr>
                <w:rFonts w:ascii="Verdana" w:hAnsi="Verdana"/>
                <w:sz w:val="16"/>
                <w:szCs w:val="16"/>
              </w:rPr>
            </w:pPr>
            <w:r>
              <w:rPr>
                <w:rFonts w:ascii="Verdana" w:hAnsi="Verdana"/>
                <w:sz w:val="16"/>
                <w:szCs w:val="16"/>
              </w:rPr>
              <w:t>152.200,00 €</w:t>
            </w:r>
          </w:p>
        </w:tc>
        <w:tc>
          <w:tcPr>
            <w:tcW w:w="1699" w:type="dxa"/>
            <w:gridSpan w:val="2"/>
            <w:tcBorders>
              <w:top w:val="single" w:sz="4" w:space="0" w:color="000000"/>
              <w:left w:val="single" w:sz="4" w:space="0" w:color="000000"/>
              <w:bottom w:val="single" w:sz="4" w:space="0" w:color="000000"/>
            </w:tcBorders>
            <w:shd w:fill="A6A6A6" w:val="clear"/>
            <w:vAlign w:val="center"/>
          </w:tcPr>
          <w:p>
            <w:pPr>
              <w:pStyle w:val="Normal"/>
              <w:widowControl w:val="false"/>
              <w:spacing w:before="0" w:after="200"/>
              <w:jc w:val="right"/>
              <w:rPr>
                <w:rFonts w:ascii="Verdana" w:hAnsi="Verdana"/>
                <w:sz w:val="16"/>
                <w:szCs w:val="16"/>
              </w:rPr>
            </w:pPr>
            <w:r>
              <w:rPr>
                <w:rFonts w:ascii="Verdana" w:hAnsi="Verdana"/>
                <w:sz w:val="16"/>
                <w:szCs w:val="16"/>
              </w:rPr>
            </w:r>
          </w:p>
        </w:tc>
        <w:tc>
          <w:tcPr>
            <w:tcW w:w="2005" w:type="dxa"/>
            <w:gridSpan w:val="2"/>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right"/>
              <w:rPr>
                <w:rFonts w:ascii="Verdana" w:hAnsi="Verdana"/>
                <w:sz w:val="16"/>
                <w:szCs w:val="16"/>
              </w:rPr>
            </w:pPr>
            <w:r>
              <w:rPr>
                <w:rFonts w:ascii="Verdana" w:hAnsi="Verdana"/>
                <w:sz w:val="16"/>
                <w:szCs w:val="16"/>
              </w:rPr>
              <w:t>40.000,00 €</w:t>
            </w:r>
          </w:p>
        </w:tc>
        <w:tc>
          <w:tcPr>
            <w:tcW w:w="1238" w:type="dxa"/>
            <w:gridSpan w:val="2"/>
            <w:tcBorders>
              <w:top w:val="single" w:sz="4" w:space="0" w:color="000000"/>
              <w:left w:val="single" w:sz="4" w:space="0" w:color="000000"/>
              <w:bottom w:val="single" w:sz="4" w:space="0" w:color="000000"/>
              <w:right w:val="single" w:sz="4" w:space="0" w:color="000000"/>
            </w:tcBorders>
            <w:shd w:fill="A6A6A6" w:val="clear"/>
          </w:tcPr>
          <w:p>
            <w:pPr>
              <w:pStyle w:val="Normal"/>
              <w:widowControl w:val="false"/>
              <w:spacing w:before="0" w:after="200"/>
              <w:jc w:val="center"/>
              <w:rPr>
                <w:rFonts w:ascii="Verdana" w:hAnsi="Verdana"/>
                <w:sz w:val="16"/>
                <w:szCs w:val="16"/>
              </w:rPr>
            </w:pPr>
            <w:r>
              <w:rPr>
                <w:rFonts w:ascii="Verdana" w:hAnsi="Verdana"/>
                <w:sz w:val="16"/>
                <w:szCs w:val="16"/>
              </w:rPr>
            </w:r>
          </w:p>
        </w:tc>
        <w:tc>
          <w:tcPr>
            <w:tcW w:w="1212" w:type="dxa"/>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right"/>
              <w:rPr>
                <w:b w:val="false"/>
                <w:bCs w:val="false"/>
              </w:rPr>
            </w:pPr>
            <w:r>
              <w:rPr>
                <w:rFonts w:ascii="Verdana" w:hAnsi="Verdana"/>
                <w:b w:val="false"/>
                <w:bCs w:val="false"/>
                <w:sz w:val="16"/>
                <w:szCs w:val="16"/>
              </w:rPr>
              <w:t>152.200,00 €</w:t>
            </w:r>
          </w:p>
        </w:tc>
      </w:tr>
    </w:tbl>
    <w:p>
      <w:pPr>
        <w:pStyle w:val="Normal"/>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ascii="Verdana" w:hAnsi="Verdana"/>
          <w:sz w:val="16"/>
          <w:szCs w:val="16"/>
        </w:rPr>
      </w:r>
    </w:p>
    <w:p>
      <w:pPr>
        <w:pStyle w:val="Heading8"/>
        <w:spacing w:lineRule="auto" w:line="276" w:before="0" w:after="240"/>
        <w:ind w:hanging="0" w:left="0" w:right="0"/>
        <w:jc w:val="both"/>
        <w:rPr>
          <w:rFonts w:ascii="Verdana" w:hAnsi="Verdana"/>
          <w:sz w:val="16"/>
          <w:szCs w:val="16"/>
        </w:rPr>
      </w:pPr>
      <w:r>
        <w:rPr>
          <w:rFonts w:eastAsia="Times New Roman" w:cs="Times New Roman" w:ascii="Verdana" w:hAnsi="Verdana"/>
          <w:b w:val="false"/>
          <w:bCs w:val="false"/>
          <w:color w:val="000000"/>
          <w:sz w:val="16"/>
          <w:szCs w:val="16"/>
          <w:u w:val="single"/>
          <w:shd w:fill="auto" w:val="clear"/>
          <w:lang w:eastAsia="es-ES"/>
        </w:rPr>
        <w:t>Proyecto 2.- “Capacitación para la empleabilidad”</w:t>
      </w:r>
    </w:p>
    <w:tbl>
      <w:tblPr>
        <w:tblW w:w="9456" w:type="dxa"/>
        <w:jc w:val="center"/>
        <w:tblInd w:w="0" w:type="dxa"/>
        <w:tblLayout w:type="fixed"/>
        <w:tblCellMar>
          <w:top w:w="0" w:type="dxa"/>
          <w:left w:w="108" w:type="dxa"/>
          <w:bottom w:w="0" w:type="dxa"/>
          <w:right w:w="108" w:type="dxa"/>
        </w:tblCellMar>
      </w:tblPr>
      <w:tblGrid>
        <w:gridCol w:w="2325"/>
        <w:gridCol w:w="1479"/>
        <w:gridCol w:w="1295"/>
        <w:gridCol w:w="1415"/>
        <w:gridCol w:w="1470"/>
        <w:gridCol w:w="1471"/>
      </w:tblGrid>
      <w:tr>
        <w:trPr>
          <w:trHeight w:val="506" w:hRule="atLeast"/>
        </w:trPr>
        <w:tc>
          <w:tcPr>
            <w:tcW w:w="6514" w:type="dxa"/>
            <w:gridSpan w:val="4"/>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PRESUPUESTO DE GASTOS</w:t>
            </w:r>
          </w:p>
        </w:tc>
        <w:tc>
          <w:tcPr>
            <w:tcW w:w="2941" w:type="dxa"/>
            <w:gridSpan w:val="2"/>
            <w:tcBorders>
              <w:top w:val="single" w:sz="4" w:space="0" w:color="000000"/>
              <w:left w:val="single" w:sz="4" w:space="0" w:color="000000"/>
              <w:bottom w:val="single" w:sz="4" w:space="0" w:color="000000"/>
              <w:right w:val="single" w:sz="4" w:space="0" w:color="000000"/>
            </w:tcBorders>
            <w:shd w:fill="A6A6A6"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PRESUPUESTO DE INGRESOS</w:t>
            </w:r>
          </w:p>
        </w:tc>
      </w:tr>
      <w:tr>
        <w:trPr/>
        <w:tc>
          <w:tcPr>
            <w:tcW w:w="232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sz w:val="16"/>
                <w:szCs w:val="16"/>
              </w:rPr>
            </w:pPr>
            <w:r>
              <w:rPr>
                <w:rFonts w:ascii="Verdana" w:hAnsi="Verdana"/>
                <w:b/>
                <w:bCs/>
                <w:sz w:val="16"/>
                <w:szCs w:val="16"/>
              </w:rPr>
              <w:t>CONCEPTO</w:t>
            </w:r>
          </w:p>
        </w:tc>
        <w:tc>
          <w:tcPr>
            <w:tcW w:w="147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CUANTÍA</w:t>
            </w:r>
          </w:p>
        </w:tc>
        <w:tc>
          <w:tcPr>
            <w:tcW w:w="12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 IMPUTADO</w:t>
            </w:r>
          </w:p>
        </w:tc>
        <w:tc>
          <w:tcPr>
            <w:tcW w:w="141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GASTO IMPUTADO</w:t>
            </w:r>
          </w:p>
        </w:tc>
        <w:tc>
          <w:tcPr>
            <w:tcW w:w="147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sz w:val="16"/>
                <w:szCs w:val="16"/>
              </w:rPr>
              <w:t>CONCEPTO</w:t>
            </w:r>
          </w:p>
        </w:tc>
        <w:tc>
          <w:tcPr>
            <w:tcW w:w="1471"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center"/>
              <w:rPr>
                <w:rFonts w:ascii="Verdana" w:hAnsi="Verdana"/>
                <w:sz w:val="16"/>
                <w:szCs w:val="16"/>
              </w:rPr>
            </w:pPr>
            <w:r>
              <w:rPr>
                <w:rFonts w:ascii="Verdana" w:hAnsi="Verdana"/>
                <w:b/>
                <w:bCs/>
                <w:sz w:val="16"/>
                <w:szCs w:val="16"/>
              </w:rPr>
              <w:t>CUANTÍA</w:t>
            </w:r>
          </w:p>
        </w:tc>
      </w:tr>
      <w:tr>
        <w:trPr/>
        <w:tc>
          <w:tcPr>
            <w:tcW w:w="2325"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Costes de personal</w:t>
            </w:r>
          </w:p>
        </w:tc>
        <w:tc>
          <w:tcPr>
            <w:tcW w:w="14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color w:val="000000"/>
                <w:sz w:val="16"/>
                <w:szCs w:val="16"/>
              </w:rPr>
              <w:t>76.000,00 €</w:t>
            </w:r>
          </w:p>
        </w:tc>
        <w:tc>
          <w:tcPr>
            <w:tcW w:w="12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w:t>
            </w:r>
          </w:p>
        </w:tc>
        <w:tc>
          <w:tcPr>
            <w:tcW w:w="141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00,00 €</w:t>
            </w:r>
          </w:p>
        </w:tc>
        <w:tc>
          <w:tcPr>
            <w:tcW w:w="14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Subvención 69,64% Fondos POEFE</w:t>
            </w:r>
          </w:p>
        </w:tc>
        <w:tc>
          <w:tcPr>
            <w:tcW w:w="1471" w:type="dxa"/>
            <w:vMerge w:val="restart"/>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p>
            <w:pPr>
              <w:pStyle w:val="Normal"/>
              <w:widowControl w:val="false"/>
              <w:spacing w:before="0" w:after="200"/>
              <w:jc w:val="right"/>
              <w:rPr>
                <w:rFonts w:ascii="Verdana" w:hAnsi="Verdana"/>
                <w:sz w:val="16"/>
                <w:szCs w:val="16"/>
              </w:rPr>
            </w:pPr>
            <w:r>
              <w:rPr>
                <w:rFonts w:ascii="Verdana" w:hAnsi="Verdana"/>
                <w:sz w:val="16"/>
                <w:szCs w:val="16"/>
              </w:rPr>
              <w:t>114.931,56 €</w:t>
            </w:r>
          </w:p>
        </w:tc>
      </w:tr>
      <w:tr>
        <w:trPr>
          <w:trHeight w:val="1161" w:hRule="atLeast"/>
        </w:trPr>
        <w:tc>
          <w:tcPr>
            <w:tcW w:w="2325"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rFonts w:ascii="Verdana" w:hAnsi="Verdana"/>
                <w:sz w:val="16"/>
                <w:szCs w:val="16"/>
              </w:rPr>
            </w:pPr>
            <w:r>
              <w:rPr>
                <w:rFonts w:ascii="Verdana" w:hAnsi="Verdana"/>
                <w:sz w:val="16"/>
                <w:szCs w:val="16"/>
              </w:rPr>
            </w:r>
          </w:p>
          <w:p>
            <w:pPr>
              <w:pStyle w:val="Normal"/>
              <w:widowControl w:val="false"/>
              <w:jc w:val="left"/>
              <w:rPr>
                <w:rFonts w:ascii="Verdana" w:hAnsi="Verdana"/>
                <w:sz w:val="16"/>
                <w:szCs w:val="16"/>
              </w:rPr>
            </w:pPr>
            <w:r>
              <w:rPr>
                <w:rFonts w:ascii="Verdana" w:hAnsi="Verdana"/>
                <w:sz w:val="16"/>
                <w:szCs w:val="16"/>
              </w:rPr>
              <w:t>Formación</w:t>
            </w:r>
          </w:p>
          <w:p>
            <w:pPr>
              <w:pStyle w:val="Normal"/>
              <w:widowControl w:val="false"/>
              <w:jc w:val="left"/>
              <w:rPr>
                <w:rFonts w:ascii="Verdana" w:hAnsi="Verdana"/>
                <w:sz w:val="16"/>
                <w:szCs w:val="16"/>
              </w:rPr>
            </w:pPr>
            <w:r>
              <w:rPr>
                <w:rFonts w:ascii="Verdana" w:hAnsi="Verdana"/>
                <w:sz w:val="16"/>
                <w:szCs w:val="16"/>
              </w:rPr>
              <w:t>(Cursos, servicios de orientación, plataforma, gestión)</w:t>
            </w:r>
          </w:p>
          <w:p>
            <w:pPr>
              <w:pStyle w:val="Normal"/>
              <w:widowControl w:val="false"/>
              <w:jc w:val="left"/>
              <w:rPr>
                <w:rFonts w:ascii="Verdana" w:hAnsi="Verdana"/>
                <w:sz w:val="16"/>
                <w:szCs w:val="16"/>
              </w:rPr>
            </w:pPr>
            <w:r>
              <w:rPr>
                <w:rFonts w:ascii="Verdana" w:hAnsi="Verdana"/>
                <w:sz w:val="16"/>
                <w:szCs w:val="16"/>
              </w:rPr>
            </w:r>
          </w:p>
          <w:p>
            <w:pPr>
              <w:pStyle w:val="Normal"/>
              <w:widowControl w:val="false"/>
              <w:spacing w:before="0" w:after="200"/>
              <w:jc w:val="left"/>
              <w:rPr>
                <w:rFonts w:ascii="Verdana" w:hAnsi="Verdana"/>
                <w:i/>
                <w:i/>
                <w:sz w:val="16"/>
                <w:szCs w:val="16"/>
              </w:rPr>
            </w:pPr>
            <w:r>
              <w:rPr>
                <w:rFonts w:ascii="Verdana" w:hAnsi="Verdana"/>
                <w:i/>
                <w:sz w:val="16"/>
                <w:szCs w:val="16"/>
              </w:rPr>
            </w:r>
          </w:p>
        </w:tc>
        <w:tc>
          <w:tcPr>
            <w:tcW w:w="14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right"/>
              <w:rPr>
                <w:rFonts w:ascii="Verdana" w:hAnsi="Verdana"/>
                <w:sz w:val="16"/>
                <w:szCs w:val="16"/>
              </w:rPr>
            </w:pPr>
            <w:r>
              <w:rPr>
                <w:rFonts w:ascii="Verdana" w:hAnsi="Verdana"/>
                <w:sz w:val="16"/>
                <w:szCs w:val="16"/>
              </w:rPr>
            </w:r>
          </w:p>
          <w:p>
            <w:pPr>
              <w:pStyle w:val="Normal"/>
              <w:widowControl w:val="false"/>
              <w:jc w:val="right"/>
              <w:rPr>
                <w:rFonts w:ascii="Verdana" w:hAnsi="Verdana"/>
                <w:sz w:val="16"/>
                <w:szCs w:val="16"/>
              </w:rPr>
            </w:pPr>
            <w:r>
              <w:rPr>
                <w:rFonts w:ascii="Verdana" w:hAnsi="Verdana"/>
                <w:sz w:val="16"/>
                <w:szCs w:val="16"/>
              </w:rPr>
              <w:t xml:space="preserve"> </w:t>
            </w:r>
            <w:r>
              <w:rPr>
                <w:rFonts w:ascii="Verdana" w:hAnsi="Verdana"/>
                <w:sz w:val="16"/>
                <w:szCs w:val="16"/>
              </w:rPr>
              <w:t>74.300,00 €</w:t>
            </w:r>
          </w:p>
          <w:p>
            <w:pPr>
              <w:pStyle w:val="Normal"/>
              <w:widowControl w:val="false"/>
              <w:jc w:val="right"/>
              <w:rPr>
                <w:rFonts w:ascii="Verdana" w:hAnsi="Verdana"/>
                <w:i/>
                <w:i/>
                <w:sz w:val="16"/>
                <w:szCs w:val="16"/>
              </w:rPr>
            </w:pPr>
            <w:r>
              <w:rPr>
                <w:rFonts w:ascii="Verdana" w:hAnsi="Verdana"/>
                <w:i/>
                <w:sz w:val="16"/>
                <w:szCs w:val="16"/>
              </w:rPr>
            </w:r>
          </w:p>
          <w:p>
            <w:pPr>
              <w:pStyle w:val="Normal"/>
              <w:widowControl w:val="false"/>
              <w:spacing w:before="0" w:after="200"/>
              <w:jc w:val="right"/>
              <w:rPr>
                <w:rFonts w:ascii="Verdana" w:hAnsi="Verdana"/>
                <w:i/>
                <w:i/>
                <w:sz w:val="16"/>
                <w:szCs w:val="16"/>
              </w:rPr>
            </w:pPr>
            <w:r>
              <w:rPr>
                <w:rFonts w:ascii="Verdana" w:hAnsi="Verdana"/>
                <w:i/>
                <w:sz w:val="16"/>
                <w:szCs w:val="16"/>
              </w:rPr>
            </w:r>
          </w:p>
        </w:tc>
        <w:tc>
          <w:tcPr>
            <w:tcW w:w="12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20,19 %</w:t>
            </w:r>
          </w:p>
        </w:tc>
        <w:tc>
          <w:tcPr>
            <w:tcW w:w="1415" w:type="dxa"/>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15.000,00 €</w:t>
            </w:r>
          </w:p>
        </w:tc>
        <w:tc>
          <w:tcPr>
            <w:tcW w:w="14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471" w:type="dxa"/>
            <w:vMerge w:val="continue"/>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c>
          <w:tcPr>
            <w:tcW w:w="2325"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rFonts w:ascii="Verdana" w:hAnsi="Verdana"/>
                <w:sz w:val="16"/>
                <w:szCs w:val="16"/>
              </w:rPr>
            </w:pPr>
            <w:r>
              <w:rPr>
                <w:rFonts w:ascii="Verdana" w:hAnsi="Verdana"/>
                <w:sz w:val="16"/>
                <w:szCs w:val="16"/>
              </w:rPr>
            </w:r>
          </w:p>
          <w:p>
            <w:pPr>
              <w:pStyle w:val="Normal"/>
              <w:widowControl w:val="false"/>
              <w:spacing w:before="0" w:after="200"/>
              <w:jc w:val="left"/>
              <w:rPr>
                <w:rFonts w:ascii="Verdana" w:hAnsi="Verdana"/>
                <w:sz w:val="16"/>
                <w:szCs w:val="16"/>
              </w:rPr>
            </w:pPr>
            <w:r>
              <w:rPr>
                <w:rFonts w:ascii="Verdana" w:hAnsi="Verdana"/>
                <w:sz w:val="16"/>
                <w:szCs w:val="16"/>
              </w:rPr>
            </w:r>
          </w:p>
          <w:p>
            <w:pPr>
              <w:pStyle w:val="Normal"/>
              <w:widowControl w:val="false"/>
              <w:spacing w:before="0" w:after="200"/>
              <w:jc w:val="left"/>
              <w:rPr>
                <w:rFonts w:ascii="Verdana" w:hAnsi="Verdana"/>
                <w:sz w:val="16"/>
                <w:szCs w:val="16"/>
              </w:rPr>
            </w:pPr>
            <w:r>
              <w:rPr>
                <w:rFonts w:ascii="Verdana" w:hAnsi="Verdana"/>
                <w:sz w:val="16"/>
                <w:szCs w:val="16"/>
              </w:rPr>
              <w:t>Comunicación y promoción</w:t>
            </w:r>
          </w:p>
        </w:tc>
        <w:tc>
          <w:tcPr>
            <w:tcW w:w="1479" w:type="dxa"/>
            <w:tcBorders>
              <w:top w:val="single" w:sz="4" w:space="0" w:color="000000"/>
              <w:left w:val="single" w:sz="4" w:space="0" w:color="000000"/>
              <w:bottom w:val="single" w:sz="4" w:space="0" w:color="000000"/>
              <w:right w:val="single" w:sz="4" w:space="0" w:color="000000"/>
            </w:tcBorders>
            <w:vAlign w:val="center"/>
          </w:tcPr>
          <w:p>
            <w:pPr>
              <w:pStyle w:val="Normal"/>
              <w:rPr/>
            </w:pPr>
            <w:r>
              <w:rPr/>
            </w:r>
          </w:p>
          <w:p>
            <w:pPr>
              <w:pStyle w:val="Normal"/>
              <w:widowControl w:val="false"/>
              <w:spacing w:before="0" w:after="200"/>
              <w:jc w:val="right"/>
              <w:rPr>
                <w:rFonts w:ascii="Verdana" w:hAnsi="Verdana"/>
                <w:sz w:val="16"/>
                <w:szCs w:val="16"/>
              </w:rPr>
            </w:pPr>
            <w:r>
              <w:rPr>
                <w:rFonts w:ascii="Verdana" w:hAnsi="Verdana"/>
                <w:sz w:val="16"/>
                <w:szCs w:val="16"/>
              </w:rPr>
              <w:t>4.000,00 €</w:t>
            </w:r>
          </w:p>
        </w:tc>
        <w:tc>
          <w:tcPr>
            <w:tcW w:w="1295" w:type="dxa"/>
            <w:tcBorders>
              <w:top w:val="single" w:sz="4" w:space="0" w:color="000000"/>
              <w:left w:val="single" w:sz="4" w:space="0" w:color="000000"/>
              <w:bottom w:val="single" w:sz="4" w:space="0" w:color="000000"/>
              <w:right w:val="single" w:sz="4" w:space="0" w:color="000000"/>
            </w:tcBorders>
            <w:vAlign w:val="center"/>
          </w:tcPr>
          <w:p>
            <w:pPr>
              <w:pStyle w:val="Normal"/>
              <w:rPr>
                <w:rFonts w:ascii="Verdana" w:hAnsi="Verdana" w:eastAsia="Arial" w:cs="DejaVu Sans" w:cstheme="minorBidi" w:eastAsiaTheme="minorHAnsi"/>
                <w:color w:val="auto"/>
                <w:kern w:val="0"/>
                <w:sz w:val="16"/>
                <w:szCs w:val="16"/>
                <w:lang w:val="es-ES" w:eastAsia="en-US" w:bidi="ar-SA"/>
              </w:rPr>
            </w:pPr>
            <w:r>
              <w:rPr>
                <w:rFonts w:eastAsia="Arial" w:cs="DejaVu Sans" w:cstheme="minorBidi" w:eastAsiaTheme="minorHAnsi" w:ascii="Verdana" w:hAnsi="Verdana"/>
                <w:color w:val="auto"/>
                <w:kern w:val="0"/>
                <w:sz w:val="16"/>
                <w:szCs w:val="16"/>
                <w:lang w:val="es-ES" w:eastAsia="en-US" w:bidi="ar-SA"/>
              </w:rPr>
            </w:r>
          </w:p>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15" w:type="dxa"/>
            <w:tcBorders>
              <w:left w:val="single" w:sz="4" w:space="0" w:color="000000"/>
              <w:bottom w:val="single" w:sz="4" w:space="0" w:color="000000"/>
              <w:right w:val="single" w:sz="4" w:space="0" w:color="000000"/>
            </w:tcBorders>
            <w:vAlign w:val="center"/>
          </w:tcPr>
          <w:p>
            <w:pPr>
              <w:pStyle w:val="Normal"/>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7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r>
          </w:p>
          <w:p>
            <w:pPr>
              <w:pStyle w:val="Normal"/>
              <w:widowControl w:val="false"/>
              <w:spacing w:before="0" w:after="200"/>
              <w:jc w:val="left"/>
              <w:rPr>
                <w:rFonts w:ascii="Verdana" w:hAnsi="Verdana"/>
                <w:sz w:val="16"/>
                <w:szCs w:val="16"/>
              </w:rPr>
            </w:pPr>
            <w:r>
              <w:rPr>
                <w:rFonts w:ascii="Verdana" w:hAnsi="Verdana"/>
                <w:sz w:val="16"/>
                <w:szCs w:val="16"/>
              </w:rPr>
              <w:t>Cofinanciación Cámara de Comercio de Gijón</w:t>
            </w:r>
          </w:p>
        </w:tc>
        <w:tc>
          <w:tcPr>
            <w:tcW w:w="147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35.105,14 €</w:t>
            </w:r>
          </w:p>
        </w:tc>
      </w:tr>
      <w:tr>
        <w:trPr>
          <w:trHeight w:val="620" w:hRule="atLeast"/>
        </w:trPr>
        <w:tc>
          <w:tcPr>
            <w:tcW w:w="2325" w:type="dxa"/>
            <w:vMerge w:val="restart"/>
            <w:tcBorders>
              <w:left w:val="single" w:sz="4" w:space="0" w:color="000000"/>
              <w:bottom w:val="single" w:sz="4" w:space="0" w:color="000000"/>
              <w:right w:val="single" w:sz="4" w:space="0" w:color="000000"/>
            </w:tcBorders>
          </w:tcPr>
          <w:p>
            <w:pPr>
              <w:pStyle w:val="Normal"/>
              <w:widowControl w:val="false"/>
              <w:spacing w:before="0" w:after="200"/>
              <w:jc w:val="left"/>
              <w:rPr>
                <w:rFonts w:ascii="Verdana" w:hAnsi="Verdana"/>
                <w:sz w:val="16"/>
                <w:szCs w:val="16"/>
              </w:rPr>
            </w:pPr>
            <w:r>
              <w:rPr>
                <w:rFonts w:ascii="Verdana" w:hAnsi="Verdana"/>
                <w:sz w:val="16"/>
                <w:szCs w:val="16"/>
              </w:rPr>
              <w:t>Gastos generales</w:t>
            </w:r>
          </w:p>
          <w:p>
            <w:pPr>
              <w:pStyle w:val="Normal"/>
              <w:widowControl w:val="false"/>
              <w:jc w:val="left"/>
              <w:rPr>
                <w:rFonts w:ascii="Verdana" w:hAnsi="Verdana"/>
                <w:sz w:val="16"/>
                <w:szCs w:val="16"/>
              </w:rPr>
            </w:pPr>
            <w:r>
              <w:rPr>
                <w:rFonts w:ascii="Verdana" w:hAnsi="Verdana"/>
                <w:sz w:val="16"/>
                <w:szCs w:val="16"/>
              </w:rPr>
            </w:r>
          </w:p>
          <w:p>
            <w:pPr>
              <w:pStyle w:val="Normal"/>
              <w:widowControl w:val="false"/>
              <w:spacing w:before="0" w:after="200"/>
              <w:jc w:val="left"/>
              <w:rPr>
                <w:rFonts w:ascii="Verdana" w:hAnsi="Verdana"/>
                <w:sz w:val="16"/>
                <w:szCs w:val="16"/>
              </w:rPr>
            </w:pPr>
            <w:r>
              <w:rPr>
                <w:rFonts w:ascii="Verdana" w:hAnsi="Verdana"/>
                <w:sz w:val="16"/>
                <w:szCs w:val="16"/>
              </w:rPr>
            </w:r>
          </w:p>
        </w:tc>
        <w:tc>
          <w:tcPr>
            <w:tcW w:w="1479" w:type="dxa"/>
            <w:vMerge w:val="restart"/>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10.736,70 €</w:t>
            </w:r>
          </w:p>
        </w:tc>
        <w:tc>
          <w:tcPr>
            <w:tcW w:w="1295" w:type="dxa"/>
            <w:vMerge w:val="restart"/>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15" w:type="dxa"/>
            <w:vMerge w:val="restart"/>
            <w:tcBorders>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right"/>
              <w:rPr>
                <w:rFonts w:ascii="Verdana" w:hAnsi="Verdana" w:eastAsia="Arial" w:cs="DejaVu Sans" w:cstheme="minorBidi" w:eastAsiaTheme="minorHAnsi"/>
                <w:color w:val="auto"/>
                <w:kern w:val="0"/>
                <w:sz w:val="16"/>
                <w:szCs w:val="16"/>
                <w:lang w:val="es-ES" w:eastAsia="en-US" w:bidi="ar-SA"/>
              </w:rPr>
            </w:pPr>
            <w:r>
              <w:rPr>
                <w:rFonts w:eastAsia="Arial" w:cs="DejaVu Sans" w:ascii="Verdana" w:hAnsi="Verdana" w:cstheme="minorBidi" w:eastAsiaTheme="minorHAnsi"/>
                <w:color w:val="auto"/>
                <w:kern w:val="0"/>
                <w:sz w:val="16"/>
                <w:szCs w:val="16"/>
                <w:lang w:val="es-ES" w:eastAsia="en-US" w:bidi="ar-SA"/>
              </w:rPr>
              <w:t>0,00 €</w:t>
            </w:r>
          </w:p>
        </w:tc>
        <w:tc>
          <w:tcPr>
            <w:tcW w:w="1470"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r>
          </w:p>
        </w:tc>
        <w:tc>
          <w:tcPr>
            <w:tcW w:w="1471"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r>
          </w:p>
        </w:tc>
      </w:tr>
      <w:tr>
        <w:trPr>
          <w:trHeight w:val="232" w:hRule="atLeast"/>
        </w:trPr>
        <w:tc>
          <w:tcPr>
            <w:tcW w:w="2325" w:type="dxa"/>
            <w:vMerge w:val="continue"/>
            <w:tcBorders>
              <w:left w:val="single" w:sz="4" w:space="0" w:color="000000"/>
              <w:bottom w:val="single" w:sz="4" w:space="0" w:color="000000"/>
              <w:right w:val="single" w:sz="4" w:space="0" w:color="000000"/>
            </w:tcBorders>
          </w:tcPr>
          <w:p>
            <w:pPr>
              <w:pStyle w:val="Normal"/>
              <w:widowControl w:val="false"/>
              <w:spacing w:before="0" w:after="200"/>
              <w:rPr>
                <w:rFonts w:ascii="Verdana" w:hAnsi="Verdana"/>
                <w:sz w:val="16"/>
                <w:szCs w:val="16"/>
              </w:rPr>
            </w:pPr>
            <w:r>
              <w:rPr>
                <w:rFonts w:ascii="Verdana" w:hAnsi="Verdana"/>
                <w:sz w:val="16"/>
                <w:szCs w:val="16"/>
              </w:rPr>
            </w:r>
          </w:p>
        </w:tc>
        <w:tc>
          <w:tcPr>
            <w:tcW w:w="1479" w:type="dxa"/>
            <w:vMerge w:val="continue"/>
            <w:tcBorders>
              <w:left w:val="single" w:sz="4" w:space="0" w:color="000000"/>
              <w:bottom w:val="single" w:sz="4" w:space="0" w:color="000000"/>
              <w:right w:val="single" w:sz="4" w:space="0" w:color="000000"/>
            </w:tcBorders>
            <w:vAlign w:val="center"/>
          </w:tcPr>
          <w:p>
            <w:pPr>
              <w:pStyle w:val="Normal"/>
              <w:widowControl w:val="false"/>
              <w:spacing w:before="0" w:after="200"/>
              <w:rPr>
                <w:rFonts w:ascii="Verdana" w:hAnsi="Verdana"/>
                <w:sz w:val="16"/>
                <w:szCs w:val="16"/>
              </w:rPr>
            </w:pPr>
            <w:r>
              <w:rPr>
                <w:rFonts w:ascii="Verdana" w:hAnsi="Verdana"/>
                <w:sz w:val="16"/>
                <w:szCs w:val="16"/>
              </w:rPr>
            </w:r>
          </w:p>
        </w:tc>
        <w:tc>
          <w:tcPr>
            <w:tcW w:w="1295" w:type="dxa"/>
            <w:vMerge w:val="continue"/>
            <w:tcBorders>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left"/>
              <w:rPr/>
            </w:pPr>
            <w:r>
              <w:rPr/>
            </w:r>
          </w:p>
        </w:tc>
        <w:tc>
          <w:tcPr>
            <w:tcW w:w="1415" w:type="dxa"/>
            <w:vMerge w:val="continue"/>
            <w:tcBorders>
              <w:left w:val="single" w:sz="4" w:space="0" w:color="000000"/>
              <w:bottom w:val="single" w:sz="4" w:space="0" w:color="000000"/>
              <w:right w:val="single" w:sz="4" w:space="0" w:color="000000"/>
            </w:tcBorders>
            <w:vAlign w:val="center"/>
          </w:tcPr>
          <w:p>
            <w:pPr>
              <w:pStyle w:val="Normal"/>
              <w:widowControl/>
              <w:suppressAutoHyphens w:val="true"/>
              <w:bidi w:val="0"/>
              <w:spacing w:lineRule="auto" w:line="276" w:before="0" w:after="200"/>
              <w:jc w:val="left"/>
              <w:rPr/>
            </w:pPr>
            <w:r>
              <w:rPr/>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left"/>
              <w:rPr>
                <w:rFonts w:ascii="Verdana" w:hAnsi="Verdana"/>
                <w:sz w:val="16"/>
                <w:szCs w:val="16"/>
              </w:rPr>
            </w:pPr>
            <w:r>
              <w:rPr>
                <w:rFonts w:ascii="Verdana" w:hAnsi="Verdana"/>
                <w:sz w:val="16"/>
                <w:szCs w:val="16"/>
              </w:rPr>
              <w:t>Subvención Ayto. Gijón</w:t>
            </w:r>
          </w:p>
        </w:tc>
        <w:tc>
          <w:tcPr>
            <w:tcW w:w="1471" w:type="dxa"/>
            <w:tcBorders>
              <w:top w:val="single" w:sz="4" w:space="0" w:color="000000"/>
              <w:left w:val="single" w:sz="4" w:space="0" w:color="000000"/>
              <w:right w:val="single" w:sz="4" w:space="0" w:color="000000"/>
            </w:tcBorders>
            <w:vAlign w:val="center"/>
          </w:tcPr>
          <w:p>
            <w:pPr>
              <w:pStyle w:val="Normal"/>
              <w:widowControl w:val="false"/>
              <w:spacing w:before="0" w:after="200"/>
              <w:jc w:val="right"/>
              <w:rPr>
                <w:rFonts w:ascii="Verdana" w:hAnsi="Verdana"/>
                <w:sz w:val="16"/>
                <w:szCs w:val="16"/>
              </w:rPr>
            </w:pPr>
            <w:r>
              <w:rPr>
                <w:rFonts w:ascii="Verdana" w:hAnsi="Verdana"/>
                <w:sz w:val="16"/>
                <w:szCs w:val="16"/>
              </w:rPr>
              <w:t>15.000,00 €</w:t>
            </w:r>
          </w:p>
        </w:tc>
      </w:tr>
      <w:tr>
        <w:trPr/>
        <w:tc>
          <w:tcPr>
            <w:tcW w:w="232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sz w:val="16"/>
                <w:szCs w:val="16"/>
              </w:rPr>
            </w:pPr>
            <w:r>
              <w:rPr>
                <w:rFonts w:ascii="Verdana" w:hAnsi="Verdana"/>
                <w:b/>
                <w:sz w:val="16"/>
                <w:szCs w:val="16"/>
              </w:rPr>
              <w:t>Total Proyecto 2</w:t>
            </w:r>
          </w:p>
        </w:tc>
        <w:tc>
          <w:tcPr>
            <w:tcW w:w="147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sz w:val="16"/>
                <w:szCs w:val="16"/>
              </w:rPr>
            </w:pPr>
            <w:r>
              <w:rPr>
                <w:rFonts w:ascii="Verdana" w:hAnsi="Verdana"/>
                <w:sz w:val="16"/>
                <w:szCs w:val="16"/>
              </w:rPr>
              <w:t>165.036,70 €</w:t>
            </w:r>
          </w:p>
        </w:tc>
        <w:tc>
          <w:tcPr>
            <w:tcW w:w="12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pPr>
            <w:r>
              <w:rPr/>
            </w:r>
          </w:p>
        </w:tc>
        <w:tc>
          <w:tcPr>
            <w:tcW w:w="141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sz w:val="16"/>
                <w:szCs w:val="16"/>
              </w:rPr>
            </w:pPr>
            <w:r>
              <w:rPr>
                <w:rFonts w:ascii="Verdana" w:hAnsi="Verdana"/>
                <w:sz w:val="16"/>
                <w:szCs w:val="16"/>
              </w:rPr>
              <w:t>15.000,00 €</w:t>
            </w:r>
          </w:p>
        </w:tc>
        <w:tc>
          <w:tcPr>
            <w:tcW w:w="147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pPr>
            <w:r>
              <w:rPr/>
            </w:r>
          </w:p>
        </w:tc>
        <w:tc>
          <w:tcPr>
            <w:tcW w:w="1471"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sz w:val="16"/>
                <w:szCs w:val="16"/>
              </w:rPr>
            </w:pPr>
            <w:r>
              <w:rPr>
                <w:rFonts w:ascii="Verdana" w:hAnsi="Verdana"/>
                <w:sz w:val="16"/>
                <w:szCs w:val="16"/>
              </w:rPr>
              <w:t>165.036,70 €</w:t>
            </w:r>
          </w:p>
        </w:tc>
      </w:tr>
      <w:tr>
        <w:trPr/>
        <w:tc>
          <w:tcPr>
            <w:tcW w:w="232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sz w:val="16"/>
                <w:szCs w:val="16"/>
              </w:rPr>
            </w:pPr>
            <w:r>
              <w:rPr>
                <w:rFonts w:ascii="Verdana" w:hAnsi="Verdana"/>
                <w:b/>
                <w:sz w:val="16"/>
                <w:szCs w:val="16"/>
              </w:rPr>
              <w:t>Total Proyectos 1+2</w:t>
            </w:r>
          </w:p>
        </w:tc>
        <w:tc>
          <w:tcPr>
            <w:tcW w:w="147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b/>
                <w:bCs/>
                <w:sz w:val="16"/>
                <w:szCs w:val="16"/>
              </w:rPr>
            </w:pPr>
            <w:r>
              <w:rPr>
                <w:rFonts w:ascii="Verdana" w:hAnsi="Verdana"/>
                <w:b/>
                <w:bCs/>
                <w:sz w:val="16"/>
                <w:szCs w:val="16"/>
              </w:rPr>
              <w:t>317.236,70 €</w:t>
            </w:r>
          </w:p>
        </w:tc>
        <w:tc>
          <w:tcPr>
            <w:tcW w:w="129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b/>
                <w:bCs/>
                <w:sz w:val="16"/>
                <w:szCs w:val="16"/>
              </w:rPr>
            </w:pPr>
            <w:r>
              <w:rPr>
                <w:rFonts w:ascii="Verdana" w:hAnsi="Verdana"/>
                <w:b/>
                <w:bCs/>
                <w:sz w:val="16"/>
                <w:szCs w:val="16"/>
              </w:rPr>
            </w:r>
          </w:p>
        </w:tc>
        <w:tc>
          <w:tcPr>
            <w:tcW w:w="141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b/>
                <w:bCs/>
                <w:sz w:val="16"/>
                <w:szCs w:val="16"/>
              </w:rPr>
            </w:pPr>
            <w:r>
              <w:rPr>
                <w:rFonts w:ascii="Verdana" w:hAnsi="Verdana"/>
                <w:b/>
                <w:bCs/>
                <w:sz w:val="16"/>
                <w:szCs w:val="16"/>
              </w:rPr>
              <w:t>55.000,00 €</w:t>
            </w:r>
          </w:p>
        </w:tc>
        <w:tc>
          <w:tcPr>
            <w:tcW w:w="147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left"/>
              <w:rPr>
                <w:rFonts w:ascii="Verdana" w:hAnsi="Verdana"/>
                <w:b/>
                <w:bCs/>
                <w:sz w:val="16"/>
                <w:szCs w:val="16"/>
              </w:rPr>
            </w:pPr>
            <w:r>
              <w:rPr>
                <w:rFonts w:ascii="Verdana" w:hAnsi="Verdana"/>
                <w:b/>
                <w:bCs/>
                <w:sz w:val="16"/>
                <w:szCs w:val="16"/>
              </w:rPr>
            </w:r>
          </w:p>
        </w:tc>
        <w:tc>
          <w:tcPr>
            <w:tcW w:w="1471"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spacing w:before="0" w:after="200"/>
              <w:jc w:val="right"/>
              <w:rPr>
                <w:rFonts w:ascii="Verdana" w:hAnsi="Verdana"/>
                <w:b/>
                <w:bCs/>
                <w:sz w:val="16"/>
                <w:szCs w:val="16"/>
              </w:rPr>
            </w:pPr>
            <w:r>
              <w:rPr>
                <w:rFonts w:ascii="Verdana" w:hAnsi="Verdana"/>
                <w:b/>
                <w:bCs/>
                <w:sz w:val="16"/>
                <w:szCs w:val="16"/>
              </w:rPr>
              <w:t>317.236,70 €</w:t>
            </w:r>
          </w:p>
        </w:tc>
      </w:tr>
    </w:tbl>
    <w:p>
      <w:pPr>
        <w:pStyle w:val="Normal"/>
        <w:rPr>
          <w:rFonts w:ascii="Verdana" w:hAnsi="Verdana"/>
          <w:sz w:val="16"/>
          <w:szCs w:val="16"/>
        </w:rPr>
      </w:pPr>
      <w:r>
        <w:rPr>
          <w:rFonts w:ascii="Verdana" w:hAnsi="Verdana"/>
          <w:sz w:val="16"/>
          <w:szCs w:val="16"/>
        </w:rPr>
      </w:r>
    </w:p>
    <w:p>
      <w:pPr>
        <w:pStyle w:val="Normal"/>
        <w:spacing w:lineRule="auto" w:line="276" w:before="0" w:after="57"/>
        <w:jc w:val="both"/>
        <w:rPr>
          <w:rFonts w:ascii="Verdana" w:hAnsi="Verdana"/>
          <w:sz w:val="16"/>
          <w:szCs w:val="16"/>
        </w:rPr>
      </w:pPr>
      <w:r>
        <w:rPr>
          <w:rFonts w:ascii="Verdana" w:hAnsi="Verdana"/>
          <w:b/>
          <w:sz w:val="16"/>
          <w:szCs w:val="16"/>
          <w:shd w:fill="auto" w:val="clear"/>
        </w:rPr>
        <w:t>SEGUNDA.- OBLIGACIONES DE LA ENTIDAD BENEFICIARIA</w:t>
      </w:r>
    </w:p>
    <w:p>
      <w:pPr>
        <w:pStyle w:val="Normal"/>
        <w:widowControl w:val="false"/>
        <w:numPr>
          <w:ilvl w:val="0"/>
          <w:numId w:val="33"/>
        </w:numPr>
        <w:spacing w:lineRule="auto" w:line="276" w:before="0" w:after="57"/>
        <w:ind w:hanging="360" w:left="360"/>
        <w:jc w:val="both"/>
        <w:rPr>
          <w:rFonts w:ascii="Verdana" w:hAnsi="Verdana"/>
          <w:sz w:val="16"/>
          <w:szCs w:val="16"/>
        </w:rPr>
      </w:pPr>
      <w:r>
        <w:rPr>
          <w:rFonts w:ascii="Verdana" w:hAnsi="Verdana"/>
          <w:sz w:val="16"/>
          <w:szCs w:val="16"/>
          <w:shd w:fill="auto" w:val="clear"/>
        </w:rPr>
        <w:t>Comunicar al Área de Empleo, cualquier alteración sustancial de los proyectos presentados. En este sentido, la entidad deberá presentar al Ayuntamiento de Gijón/Xixón, antes de su ejecución, los distintos proyectos de actividades concretas que se articulen para cumplir los objetivos propuestos y que no estén incluidos en el presente convenio, al objeto de obtener la precisa autorización del cambio y, en su caso, la aprobación de los mismos por la Junta de Gobierno Local.</w:t>
      </w:r>
    </w:p>
    <w:p>
      <w:pPr>
        <w:pStyle w:val="Normal"/>
        <w:widowControl w:val="false"/>
        <w:numPr>
          <w:ilvl w:val="0"/>
          <w:numId w:val="34"/>
        </w:numPr>
        <w:spacing w:lineRule="auto" w:line="276" w:before="0" w:after="57"/>
        <w:ind w:hanging="360" w:left="360"/>
        <w:jc w:val="both"/>
        <w:rPr>
          <w:rFonts w:ascii="Verdana" w:hAnsi="Verdana"/>
          <w:sz w:val="16"/>
          <w:szCs w:val="16"/>
        </w:rPr>
      </w:pPr>
      <w:r>
        <w:rPr>
          <w:rFonts w:ascii="Verdana" w:hAnsi="Verdana"/>
          <w:sz w:val="16"/>
          <w:szCs w:val="16"/>
          <w:shd w:fill="auto" w:val="clear"/>
        </w:rPr>
        <w:t>Participar conjuntamente en el diseño y ejecución de proyectos acudiendo a programas e iniciativas nacionales o comunitarias, cuando sea requerido para ello.</w:t>
      </w:r>
    </w:p>
    <w:p>
      <w:pPr>
        <w:pStyle w:val="Normal"/>
        <w:widowControl w:val="false"/>
        <w:numPr>
          <w:ilvl w:val="0"/>
          <w:numId w:val="35"/>
        </w:numPr>
        <w:spacing w:lineRule="auto" w:line="276" w:before="0" w:after="57"/>
        <w:ind w:hanging="360" w:left="360"/>
        <w:jc w:val="both"/>
        <w:rPr>
          <w:rFonts w:ascii="Verdana" w:hAnsi="Verdana"/>
          <w:sz w:val="16"/>
          <w:szCs w:val="16"/>
        </w:rPr>
      </w:pPr>
      <w:r>
        <w:rPr>
          <w:rFonts w:ascii="Verdana" w:hAnsi="Verdana"/>
          <w:sz w:val="16"/>
          <w:szCs w:val="16"/>
          <w:shd w:fill="auto" w:val="clear"/>
        </w:rPr>
        <w:t>Colaborar a requerimiento del Área de Empleo, en aquellos seminarios y eventos que pueda organizar ésta, para facilitar información sobre su trabajo, gestión y/o funcionamiento, a fin de facilitar información a todas aquellas personas e instituciones interesadas.</w:t>
      </w:r>
    </w:p>
    <w:p>
      <w:pPr>
        <w:pStyle w:val="Normal"/>
        <w:widowControl w:val="false"/>
        <w:numPr>
          <w:ilvl w:val="0"/>
          <w:numId w:val="36"/>
        </w:numPr>
        <w:spacing w:lineRule="auto" w:line="276" w:before="0" w:after="57"/>
        <w:ind w:hanging="360" w:left="360"/>
        <w:jc w:val="both"/>
        <w:rPr>
          <w:rFonts w:ascii="Verdana" w:hAnsi="Verdana"/>
          <w:sz w:val="16"/>
          <w:szCs w:val="16"/>
        </w:rPr>
      </w:pPr>
      <w:r>
        <w:rPr>
          <w:rFonts w:ascii="Verdana" w:hAnsi="Verdana"/>
          <w:sz w:val="16"/>
          <w:szCs w:val="16"/>
          <w:shd w:fill="auto" w:val="clear"/>
        </w:rPr>
        <w:t>Colaborar con la Agencia Local de Promoción Económica y Empleo con la finalidad de facilitar la realización de las tareas de seguimiento que se lleven a cabo al objeto de verificar el grado de cumplimiento de las actividades desarrolladas.</w:t>
      </w:r>
    </w:p>
    <w:p>
      <w:pPr>
        <w:pStyle w:val="BodyTextIndent"/>
        <w:widowControl w:val="false"/>
        <w:numPr>
          <w:ilvl w:val="0"/>
          <w:numId w:val="37"/>
        </w:numPr>
        <w:spacing w:lineRule="auto" w:line="276" w:before="0" w:after="57"/>
        <w:ind w:hanging="360" w:left="360"/>
        <w:jc w:val="both"/>
        <w:rPr>
          <w:rFonts w:ascii="Verdana" w:hAnsi="Verdana"/>
          <w:sz w:val="16"/>
          <w:szCs w:val="16"/>
        </w:rPr>
      </w:pPr>
      <w:r>
        <w:rPr>
          <w:rFonts w:ascii="Verdana" w:hAnsi="Verdana"/>
          <w:sz w:val="16"/>
          <w:szCs w:val="16"/>
          <w:shd w:fill="auto" w:val="clear"/>
        </w:rPr>
        <w:t>Justificar documentalmente al Ayuntamiento de Gijón/Xixón, en la forma y plazos previstos en el presente convenio, el cumplimiento de los requisitos y condiciones impuestas, así como la realización de la actividad y la consecución de los objetivos que determinen la concesión de la subvención y, en su caso, la aplicación de los fondos recibidos.</w:t>
      </w:r>
    </w:p>
    <w:p>
      <w:pPr>
        <w:pStyle w:val="Normal"/>
        <w:widowControl w:val="false"/>
        <w:numPr>
          <w:ilvl w:val="0"/>
          <w:numId w:val="38"/>
        </w:numPr>
        <w:spacing w:lineRule="auto" w:line="276" w:before="0" w:after="57"/>
        <w:ind w:hanging="360" w:left="360"/>
        <w:jc w:val="both"/>
        <w:rPr>
          <w:rFonts w:ascii="Verdana" w:hAnsi="Verdana"/>
          <w:sz w:val="16"/>
          <w:szCs w:val="16"/>
        </w:rPr>
      </w:pPr>
      <w:r>
        <w:rPr>
          <w:rFonts w:ascii="Verdana" w:hAnsi="Verdana"/>
          <w:sz w:val="16"/>
          <w:szCs w:val="16"/>
          <w:shd w:fill="auto" w:val="clear"/>
        </w:rPr>
        <w:t>Someterse a las actuaciones de comprobación, a efectuar por el Ayuntamiento de Gijón/Xixón, así como cualesquiera otras de comprobación y control financiero que puedan realizar los órganos de control competentes, aportando cuanta información sea requerida en el ejercicio de las actuaciones anteriores.</w:t>
      </w:r>
    </w:p>
    <w:p>
      <w:pPr>
        <w:pStyle w:val="Normal"/>
        <w:widowControl w:val="false"/>
        <w:numPr>
          <w:ilvl w:val="0"/>
          <w:numId w:val="39"/>
        </w:numPr>
        <w:spacing w:lineRule="auto" w:line="276" w:before="0" w:after="57"/>
        <w:ind w:hanging="360" w:left="360"/>
        <w:jc w:val="both"/>
        <w:rPr>
          <w:rFonts w:ascii="Verdana" w:hAnsi="Verdana"/>
          <w:sz w:val="16"/>
          <w:szCs w:val="16"/>
        </w:rPr>
      </w:pPr>
      <w:r>
        <w:rPr>
          <w:rFonts w:ascii="Verdana" w:hAnsi="Verdana"/>
          <w:sz w:val="16"/>
          <w:szCs w:val="16"/>
          <w:shd w:fill="auto" w:val="clear"/>
        </w:rPr>
        <w:t>Comunicar al Ayuntamiento de Gijón/Xixón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pPr>
        <w:pStyle w:val="Normal"/>
        <w:widowControl w:val="false"/>
        <w:numPr>
          <w:ilvl w:val="0"/>
          <w:numId w:val="40"/>
        </w:numPr>
        <w:spacing w:lineRule="auto" w:line="276" w:before="0" w:after="57"/>
        <w:ind w:hanging="360" w:left="360"/>
        <w:jc w:val="both"/>
        <w:rPr>
          <w:rFonts w:ascii="Verdana" w:hAnsi="Verdana"/>
          <w:sz w:val="16"/>
          <w:szCs w:val="16"/>
        </w:rPr>
      </w:pPr>
      <w:r>
        <w:rPr>
          <w:rFonts w:ascii="Verdana" w:hAnsi="Verdana"/>
          <w:sz w:val="16"/>
          <w:szCs w:val="16"/>
          <w:shd w:fill="auto" w:val="clear"/>
        </w:rPr>
        <w:t>Disponer de los libros contables, registros diligenciados y demás documentación debidamente auditados en los términos exigidos en la legislación mercantil y sectorial aplicable al beneficiario en cada caso.</w:t>
      </w:r>
    </w:p>
    <w:p>
      <w:pPr>
        <w:pStyle w:val="Normal"/>
        <w:widowControl w:val="false"/>
        <w:numPr>
          <w:ilvl w:val="0"/>
          <w:numId w:val="41"/>
        </w:numPr>
        <w:spacing w:lineRule="auto" w:line="276" w:before="0" w:after="57"/>
        <w:ind w:hanging="360" w:left="360"/>
        <w:jc w:val="both"/>
        <w:rPr>
          <w:rFonts w:ascii="Verdana" w:hAnsi="Verdana"/>
          <w:sz w:val="16"/>
          <w:szCs w:val="16"/>
        </w:rPr>
      </w:pPr>
      <w:r>
        <w:rPr>
          <w:rFonts w:ascii="Verdana" w:hAnsi="Verdana"/>
          <w:sz w:val="16"/>
          <w:szCs w:val="16"/>
          <w:shd w:fill="auto" w:val="clear"/>
        </w:rPr>
        <w:t>Conservar los documentos justificativos de la aplicación de los fondos recibidos, incluidos los documentos electrónicos, en tanto puedan ser objeto de las actuaciones de comprobación y control.</w:t>
      </w:r>
    </w:p>
    <w:p>
      <w:pPr>
        <w:pStyle w:val="Normal"/>
        <w:widowControl w:val="false"/>
        <w:numPr>
          <w:ilvl w:val="0"/>
          <w:numId w:val="42"/>
        </w:numPr>
        <w:spacing w:lineRule="auto" w:line="276" w:before="0" w:after="57"/>
        <w:ind w:hanging="360" w:left="360"/>
        <w:jc w:val="both"/>
        <w:rPr>
          <w:rFonts w:ascii="Verdana" w:hAnsi="Verdana"/>
          <w:sz w:val="16"/>
          <w:szCs w:val="16"/>
        </w:rPr>
      </w:pPr>
      <w:r>
        <w:rPr>
          <w:rFonts w:ascii="Verdana" w:hAnsi="Verdana"/>
          <w:sz w:val="16"/>
          <w:szCs w:val="16"/>
          <w:shd w:fill="auto" w:val="clear"/>
        </w:rPr>
        <w:t>Adoptar las medidas que garanticen la adecuada publicidad de la financiación de los proyectos objeto de subvención, de conformidad con lo establecido en el artículo 18 de la Ley General de Subvenciones y en el artículo 31 del Reglamento que la desarrolla.</w:t>
      </w:r>
    </w:p>
    <w:p>
      <w:pPr>
        <w:pStyle w:val="Normal"/>
        <w:widowControl w:val="false"/>
        <w:numPr>
          <w:ilvl w:val="0"/>
          <w:numId w:val="43"/>
        </w:numPr>
        <w:spacing w:lineRule="auto" w:line="276" w:before="0" w:after="57"/>
        <w:ind w:hanging="360" w:left="360"/>
        <w:jc w:val="both"/>
        <w:rPr>
          <w:rFonts w:ascii="Verdana" w:hAnsi="Verdana"/>
          <w:sz w:val="16"/>
          <w:szCs w:val="16"/>
        </w:rPr>
      </w:pPr>
      <w:r>
        <w:rPr>
          <w:rFonts w:ascii="Verdana" w:hAnsi="Verdana"/>
          <w:sz w:val="16"/>
          <w:szCs w:val="16"/>
          <w:shd w:fill="auto" w:val="clear"/>
        </w:rPr>
        <w:t xml:space="preserve">Proceder </w:t>
      </w:r>
      <w:r>
        <w:rPr>
          <w:rFonts w:cs="Verdana" w:ascii="Verdana" w:hAnsi="Verdana"/>
          <w:sz w:val="16"/>
          <w:szCs w:val="16"/>
          <w:shd w:fill="auto" w:val="clear"/>
        </w:rPr>
        <w:t>al reintegro de los fondos percibidos en los supuestos contemplados en el articulo 37 de la Ley General de Subvenciones, así como en el artículo 34</w:t>
      </w:r>
      <w:r>
        <w:rPr>
          <w:rFonts w:eastAsia="Times New Roman" w:cs="Verdana" w:ascii="Verdana" w:hAnsi="Verdana"/>
          <w:b w:val="false"/>
          <w:bCs w:val="false"/>
          <w:color w:val="000000"/>
          <w:kern w:val="0"/>
          <w:sz w:val="16"/>
          <w:szCs w:val="16"/>
          <w:shd w:fill="auto" w:val="clear"/>
          <w:lang w:val="es-ES" w:eastAsia="es-ES" w:bidi="ar-SA"/>
        </w:rPr>
        <w:t xml:space="preserve"> Ordenanza General de Subvenciones del Ayuntamiento de Gijón/Xixón, aprobada por el Ayuntamiento pleno en sesión ordinaria celebrada el 14 de diciembre de 2022 (BOPA n.º 40 de 28/02/2023)</w:t>
      </w:r>
      <w:r>
        <w:rPr>
          <w:rFonts w:cs="Verdana" w:ascii="Verdana" w:hAnsi="Verdana"/>
          <w:sz w:val="16"/>
          <w:szCs w:val="16"/>
          <w:shd w:fill="auto" w:val="clear"/>
        </w:rPr>
        <w:t>.</w:t>
      </w:r>
    </w:p>
    <w:p>
      <w:pPr>
        <w:pStyle w:val="Normal"/>
        <w:numPr>
          <w:ilvl w:val="0"/>
          <w:numId w:val="44"/>
        </w:numPr>
        <w:spacing w:lineRule="auto" w:line="276" w:before="0" w:after="170"/>
        <w:ind w:hanging="397" w:left="397" w:right="0"/>
        <w:jc w:val="both"/>
        <w:rPr>
          <w:rFonts w:ascii="Verdana" w:hAnsi="Verdana"/>
          <w:sz w:val="16"/>
          <w:szCs w:val="16"/>
        </w:rPr>
      </w:pPr>
      <w:r>
        <w:rPr>
          <w:rFonts w:ascii="Verdana" w:hAnsi="Verdana"/>
          <w:sz w:val="16"/>
          <w:szCs w:val="16"/>
          <w:shd w:fill="auto" w:val="clear"/>
        </w:rPr>
        <w:t>Aportar los recursos técnicos, materiales y humanos necesarios para un adecuado desarrollo de las actividades detalladas en los proyectos presentados. En este sentido, las contrataciones de personal que realice la entidad en ningún caso vincularán al Ayuntamiento de Gijón/Xixón, quedando eximido el mismo de cualquier incidencia que se pudiera suscitar en materia laboral y civil derivada de la ejecución de las actividades previstas en la cláusula primera del presente convenio.</w:t>
      </w:r>
    </w:p>
    <w:p>
      <w:pPr>
        <w:pStyle w:val="Normal"/>
        <w:numPr>
          <w:ilvl w:val="0"/>
          <w:numId w:val="45"/>
        </w:numPr>
        <w:spacing w:lineRule="auto" w:line="276" w:before="0" w:after="170"/>
        <w:ind w:hanging="397" w:left="397" w:right="0"/>
        <w:jc w:val="both"/>
        <w:rPr>
          <w:rFonts w:ascii="Verdana" w:hAnsi="Verdana"/>
          <w:sz w:val="16"/>
          <w:szCs w:val="16"/>
        </w:rPr>
      </w:pPr>
      <w:r>
        <w:rPr>
          <w:rFonts w:cs="Verdana" w:ascii="Verdana" w:hAnsi="Verdana"/>
          <w:color w:val="000000"/>
          <w:sz w:val="16"/>
          <w:szCs w:val="16"/>
          <w:shd w:fill="auto" w:val="clear"/>
        </w:rPr>
        <w:t>Las actuaciones que se desarrollen, deberán orientarse a fomentar la igualdad de oportunidades y la calidad del empleo al objeto de superar las desigualdades que operan en el mercado laboral.</w:t>
      </w:r>
    </w:p>
    <w:p>
      <w:pPr>
        <w:pStyle w:val="Normal"/>
        <w:spacing w:before="0" w:after="57"/>
        <w:jc w:val="left"/>
        <w:rPr>
          <w:rFonts w:ascii="Verdana" w:hAnsi="Verdana"/>
        </w:rPr>
      </w:pPr>
      <w:r>
        <w:rPr>
          <w:rFonts w:ascii="Verdana" w:hAnsi="Verdana"/>
          <w:b/>
          <w:sz w:val="16"/>
          <w:shd w:fill="auto" w:val="clear"/>
        </w:rPr>
        <w:t>TERCERA.- SUBCONTRATACIÓN</w:t>
      </w:r>
    </w:p>
    <w:p>
      <w:pPr>
        <w:pStyle w:val="Normal"/>
        <w:spacing w:before="0" w:after="113"/>
        <w:jc w:val="both"/>
        <w:rPr/>
      </w:pPr>
      <w:r>
        <w:rPr>
          <w:rFonts w:ascii="Verdana" w:hAnsi="Verdana"/>
          <w:sz w:val="16"/>
        </w:rPr>
        <w:t xml:space="preserve">En el supuesto de que haya habido subcontratación para alguna de las actividades desarrolladas o a desarrollar, se requiere indicar el concepto y porcentaje de subcontratación, así como la empresa seleccionada, en el momento en que se tenga conocimiento de la misma. </w:t>
      </w:r>
    </w:p>
    <w:p>
      <w:pPr>
        <w:pStyle w:val="Normal"/>
        <w:spacing w:before="0" w:after="113"/>
        <w:jc w:val="both"/>
        <w:rPr/>
      </w:pPr>
      <w:r>
        <w:rPr>
          <w:rFonts w:ascii="Verdana" w:hAnsi="Verdana"/>
          <w:sz w:val="16"/>
        </w:rPr>
        <w:t>Además, debe presentarse una declaración responsable por la que se acredite, en cumplimiento de lo previsto en el art.29 de la Ley General de Subvenciones, que la persona o entidad que vaya a ser subcontratada:</w:t>
      </w:r>
    </w:p>
    <w:p>
      <w:pPr>
        <w:pStyle w:val="Normal"/>
        <w:spacing w:before="0" w:after="57"/>
        <w:jc w:val="both"/>
        <w:rPr/>
      </w:pPr>
      <w:r>
        <w:rPr>
          <w:rFonts w:ascii="Verdana" w:hAnsi="Verdana"/>
          <w:sz w:val="16"/>
        </w:rPr>
        <w:t>-No se halle incursa en alguna de las prohibiciones del artículo 13 de la referida Ley.</w:t>
      </w:r>
    </w:p>
    <w:p>
      <w:pPr>
        <w:pStyle w:val="Normal"/>
        <w:spacing w:before="0" w:after="57"/>
        <w:jc w:val="both"/>
        <w:rPr/>
      </w:pPr>
      <w:r>
        <w:rPr>
          <w:rFonts w:ascii="Verdana" w:hAnsi="Verdana"/>
          <w:sz w:val="16"/>
        </w:rPr>
        <w:t>-No haya percibido otras subvenciones para la realización de la actividad objeto de contratación.</w:t>
      </w:r>
    </w:p>
    <w:p>
      <w:pPr>
        <w:pStyle w:val="Normal"/>
        <w:spacing w:before="0" w:after="113"/>
        <w:jc w:val="both"/>
        <w:rPr/>
      </w:pPr>
      <w:r>
        <w:rPr>
          <w:rFonts w:ascii="Verdana" w:hAnsi="Verdana"/>
          <w:sz w:val="16"/>
        </w:rPr>
        <w:t>-No se trate de intermediarios o asesores en los que los pagos se definan como un porcentaje del coste total de la operación, a menos que dicho pago esté justificado con referencia al valor de mercado del trabajo realizado o los servicios prestados.</w:t>
      </w:r>
    </w:p>
    <w:p>
      <w:pPr>
        <w:pStyle w:val="Normal"/>
        <w:spacing w:before="0" w:after="113"/>
        <w:jc w:val="both"/>
        <w:rPr/>
      </w:pPr>
      <w:r>
        <w:rPr>
          <w:rFonts w:ascii="Verdana" w:hAnsi="Verdana"/>
          <w:sz w:val="16"/>
        </w:rPr>
        <w:t>En el supuesto de que la seleccionada sea empresa vinculada con la entidad, es necesario que presenten una declaración acerca del tipo de vinculación con dicha entidad, ya que en este caso es necesario proceder a la oportuna autorización en el texto del convenio y dónde se acredite que el importe subvencionable no exceda del coste incurrido por la entidad vinculada.</w:t>
      </w:r>
    </w:p>
    <w:p>
      <w:pPr>
        <w:pStyle w:val="Normal"/>
        <w:spacing w:before="0" w:after="113"/>
        <w:jc w:val="both"/>
        <w:rPr/>
      </w:pPr>
      <w:r>
        <w:rPr>
          <w:rFonts w:ascii="Verdana" w:hAnsi="Verdana"/>
          <w:sz w:val="16"/>
        </w:rPr>
        <w:t>La acreditación del coste se realizará en la justificación en los mismos términos establecidos para la acreditación de los gastos del beneficiario, tal y como se establece en la Ley General de Subvenciones.</w:t>
      </w:r>
    </w:p>
    <w:p>
      <w:pPr>
        <w:pStyle w:val="Normal"/>
        <w:spacing w:lineRule="auto" w:line="276" w:before="0" w:after="57"/>
        <w:jc w:val="both"/>
        <w:rPr>
          <w:rFonts w:ascii="Verdana" w:hAnsi="Verdana"/>
          <w:sz w:val="16"/>
          <w:szCs w:val="16"/>
        </w:rPr>
      </w:pPr>
      <w:r>
        <w:rPr>
          <w:rFonts w:ascii="Verdana" w:hAnsi="Verdana"/>
          <w:b/>
          <w:sz w:val="16"/>
          <w:szCs w:val="16"/>
          <w:shd w:fill="auto" w:val="clear"/>
        </w:rPr>
        <w:t>CUARTA.- FINANCIACIÓN</w:t>
      </w:r>
    </w:p>
    <w:p>
      <w:pPr>
        <w:pStyle w:val="Normal"/>
        <w:spacing w:lineRule="auto" w:line="276" w:before="0" w:after="113"/>
        <w:jc w:val="both"/>
        <w:rPr>
          <w:rFonts w:ascii="Verdana" w:hAnsi="Verdana"/>
          <w:sz w:val="16"/>
          <w:szCs w:val="16"/>
        </w:rPr>
      </w:pPr>
      <w:r>
        <w:rPr>
          <w:rFonts w:ascii="Verdana" w:hAnsi="Verdana"/>
          <w:sz w:val="16"/>
          <w:szCs w:val="16"/>
          <w:shd w:fill="auto" w:val="clear"/>
        </w:rPr>
        <w:t>El Ayuntamiento de Gijón/Xixón, se compromete a financiar el proyecto presentado por la entidad mediante la concesión de una subvención de concesión directa, estando consignada nominalmente en el presupuesto, por importe máximo de 55.000,00 € con cargo a la aplicación presupuestaria PD53.43300.480.20 (Promoción Económica, Empleo, Turismo y Comercio Local. Desarrollo empresarial. Otras Transferencias) del  presupuesto municipal para el año 2024 y que representa aproximadamente el 17,34 % del total de los gastos del proyecto según el presupuesto presentado, que ascienden 317.236,70 €.</w:t>
      </w:r>
      <w:r>
        <w:rPr>
          <w:rFonts w:eastAsia="Calibri" w:cs="" w:ascii="Verdana" w:hAnsi="Verdana"/>
          <w:color w:val="000000"/>
          <w:kern w:val="0"/>
          <w:sz w:val="16"/>
          <w:szCs w:val="16"/>
          <w:shd w:fill="auto" w:val="clear"/>
          <w:lang w:val="es-ES" w:eastAsia="en-US" w:bidi="ar-SA"/>
        </w:rPr>
        <w:t xml:space="preserve"> Debiendo presentar declaración justificativa de  la totalidad de los gastos e ingresos generados por el desarrollo del proyecto, conforme a lo establecido en las cláusulas  sexta y séptima de este convenio.</w:t>
      </w:r>
    </w:p>
    <w:p>
      <w:pPr>
        <w:pStyle w:val="Normal"/>
        <w:spacing w:lineRule="auto" w:line="276" w:before="0" w:after="170"/>
        <w:jc w:val="both"/>
        <w:rPr>
          <w:rFonts w:ascii="Verdana" w:hAnsi="Verdana"/>
          <w:sz w:val="16"/>
          <w:szCs w:val="16"/>
        </w:rPr>
      </w:pPr>
      <w:r>
        <w:rPr>
          <w:rFonts w:cs="Verdana" w:ascii="Verdana" w:hAnsi="Verdana"/>
          <w:b w:val="false"/>
          <w:bCs w:val="false"/>
          <w:i w:val="false"/>
          <w:caps w:val="false"/>
          <w:smallCaps w:val="false"/>
          <w:strike w:val="false"/>
          <w:dstrike w:val="false"/>
          <w:color w:val="000000"/>
          <w:spacing w:val="0"/>
          <w:sz w:val="16"/>
          <w:szCs w:val="16"/>
          <w:shd w:fill="auto" w:val="clear"/>
        </w:rPr>
        <w:t>En todo caso será admisible una desviación, en la ejecución del gasto total, de hasta un 10% menos de lo inicialmente presupuestado en el proyecto. En el supuesto de que la desviación supere dicho porcentaje, procederá la pérdida de derecho/revocación parcial, en una cuantía que será proporcional al gasto realmente ejecutado, (descontando la referida desviación del 10% permitida).</w:t>
      </w:r>
      <w:r>
        <w:rPr>
          <w:rFonts w:cs="Verdana" w:ascii="Verdana" w:hAnsi="Verdana"/>
          <w:b w:val="false"/>
          <w:bCs w:val="false"/>
          <w:strike w:val="false"/>
          <w:dstrike w:val="false"/>
          <w:color w:val="000000"/>
          <w:sz w:val="16"/>
          <w:szCs w:val="16"/>
          <w:shd w:fill="auto" w:val="clear"/>
        </w:rPr>
        <w:t xml:space="preserve"> </w:t>
      </w:r>
    </w:p>
    <w:p>
      <w:pPr>
        <w:pStyle w:val="Normal"/>
        <w:spacing w:lineRule="auto" w:line="276" w:before="0" w:after="57"/>
        <w:jc w:val="both"/>
        <w:rPr>
          <w:rFonts w:eastAsia="Arial" w:cs="DejaVu Sans" w:cstheme="minorBidi" w:eastAsiaTheme="minorHAnsi"/>
          <w:highlight w:val="none"/>
          <w:shd w:fill="auto" w:val="clear"/>
        </w:rPr>
      </w:pPr>
      <w:r>
        <w:rPr>
          <w:rFonts w:eastAsia="Arial" w:cs="DejaVu Sans" w:ascii="Verdana" w:hAnsi="Verdana" w:cstheme="minorBidi" w:eastAsiaTheme="minorHAnsi"/>
          <w:b/>
          <w:sz w:val="16"/>
          <w:szCs w:val="16"/>
          <w:shd w:fill="auto" w:val="clear"/>
        </w:rPr>
        <w:t xml:space="preserve">QUINTA.- </w:t>
      </w:r>
      <w:r>
        <w:rPr>
          <w:rFonts w:eastAsia="Arial" w:cs="DejaVu Sans" w:ascii="Verdana" w:hAnsi="Verdana" w:cstheme="minorBidi" w:eastAsiaTheme="minorHAnsi"/>
          <w:b/>
          <w:sz w:val="16"/>
          <w:szCs w:val="16"/>
          <w:shd w:fill="FFFF00" w:val="clear"/>
        </w:rPr>
        <w:t>ABONO DE LA SUBVENCIÓN</w:t>
      </w:r>
    </w:p>
    <w:p>
      <w:pPr>
        <w:pStyle w:val="Normal"/>
        <w:spacing w:lineRule="auto" w:line="276" w:before="0" w:after="120"/>
        <w:jc w:val="both"/>
        <w:rPr>
          <w:highlight w:val="none"/>
          <w:shd w:fill="FFFF00" w:val="clear"/>
        </w:rPr>
      </w:pPr>
      <w:r>
        <w:rPr>
          <w:rFonts w:eastAsia="Calibri" w:cs="Verdana" w:ascii="Verdana" w:hAnsi="Verdana"/>
          <w:b w:val="false"/>
          <w:bCs w:val="false"/>
          <w:i w:val="false"/>
          <w:caps w:val="false"/>
          <w:smallCaps w:val="false"/>
          <w:strike w:val="false"/>
          <w:dstrike w:val="false"/>
          <w:color w:val="000000"/>
          <w:spacing w:val="0"/>
          <w:kern w:val="0"/>
          <w:sz w:val="16"/>
          <w:szCs w:val="16"/>
          <w:shd w:fill="FFFF00" w:val="clear"/>
          <w:lang w:val="es-ES" w:eastAsia="en-US" w:bidi="ar-SA"/>
        </w:rPr>
        <w:t>La subvención se hará efectiva mediante la realización de un ÚNICO PAGO, a la presentación de la relación completa de los gastos y la memoria económica a la que se hace referencia en la cláusula sexta. Dicho pago tendrá la consideración de anticipado a expensas de la presentación de la justificación completa.</w:t>
      </w:r>
      <w:r>
        <w:rPr>
          <w:rFonts w:eastAsia="Calibri" w:cs="Verdana" w:ascii="Verdana" w:hAnsi="Verdana"/>
          <w:b w:val="false"/>
          <w:bCs w:val="false"/>
          <w:i w:val="false"/>
          <w:caps w:val="false"/>
          <w:smallCaps w:val="false"/>
          <w:strike w:val="false"/>
          <w:dstrike w:val="false"/>
          <w:color w:val="C9211E"/>
          <w:spacing w:val="0"/>
          <w:kern w:val="0"/>
          <w:sz w:val="16"/>
          <w:szCs w:val="16"/>
          <w:shd w:fill="auto" w:val="clear"/>
          <w:lang w:val="es-ES" w:eastAsia="en-US" w:bidi="ar-SA"/>
        </w:rPr>
        <w:t xml:space="preserve"> </w:t>
      </w:r>
      <w:r>
        <w:rPr>
          <w:rFonts w:eastAsia="Calibri" w:cs="Verdana" w:ascii="Verdana" w:hAnsi="Verdana"/>
          <w:b w:val="false"/>
          <w:bCs w:val="false"/>
          <w:i w:val="false"/>
          <w:caps w:val="false"/>
          <w:smallCaps w:val="false"/>
          <w:strike w:val="false"/>
          <w:dstrike w:val="false"/>
          <w:color w:val="C9211E"/>
          <w:spacing w:val="0"/>
          <w:kern w:val="0"/>
          <w:sz w:val="16"/>
          <w:szCs w:val="16"/>
          <w:shd w:fill="auto" w:val="clear"/>
          <w:lang w:val="es-ES" w:eastAsia="en-US" w:bidi="ar-SA"/>
        </w:rPr>
        <w:t>(ahora: anticipo 80% y 20% a la justificacion final)</w:t>
      </w:r>
    </w:p>
    <w:p>
      <w:pPr>
        <w:pStyle w:val="Normal"/>
        <w:spacing w:lineRule="auto" w:line="276" w:before="0" w:after="120"/>
        <w:jc w:val="both"/>
        <w:rPr>
          <w:rFonts w:ascii="Verdana" w:hAnsi="Verdana"/>
          <w:sz w:val="16"/>
          <w:szCs w:val="16"/>
        </w:rPr>
      </w:pPr>
      <w:r>
        <w:rPr>
          <w:rFonts w:ascii="Verdana" w:hAnsi="Verdana"/>
          <w:color w:val="000000"/>
          <w:sz w:val="16"/>
          <w:szCs w:val="16"/>
        </w:rPr>
        <w:t>Con carácter previo al cobro de la subvención, el beneficiario habrá de acreditar encontrarse al corriente de sus obligaciones tributarias y de Seguridad Social, así como de no ser deudor</w:t>
      </w:r>
      <w:r>
        <w:rPr>
          <w:rFonts w:eastAsia="Calibri" w:cs="" w:ascii="Verdana" w:hAnsi="Verdana"/>
          <w:color w:val="000000"/>
          <w:kern w:val="0"/>
          <w:sz w:val="16"/>
          <w:szCs w:val="16"/>
          <w:lang w:val="es-ES" w:eastAsia="en-US" w:bidi="ar-SA"/>
        </w:rPr>
        <w:t xml:space="preserve"> de la Administración del Principado de Asturias,</w:t>
      </w:r>
      <w:r>
        <w:rPr>
          <w:rFonts w:cs="Verdana" w:ascii="Verdana" w:hAnsi="Verdana"/>
          <w:color w:val="000000"/>
          <w:sz w:val="16"/>
          <w:szCs w:val="16"/>
        </w:rPr>
        <w:t xml:space="preserve"> </w:t>
      </w:r>
      <w:r>
        <w:rPr>
          <w:rFonts w:ascii="Verdana" w:hAnsi="Verdana"/>
          <w:color w:val="000000"/>
          <w:sz w:val="16"/>
          <w:szCs w:val="16"/>
        </w:rPr>
        <w:t>del Ayuntamiento de Gijón/Xixón, sus organismos autónomos y entidades de derecho público dependientes, por cualquier tipo de deuda tributaria vencida, líquida y exigible por la vía de apremio.</w:t>
      </w:r>
    </w:p>
    <w:p>
      <w:pPr>
        <w:pStyle w:val="Normal"/>
        <w:spacing w:lineRule="auto" w:line="276"/>
        <w:jc w:val="both"/>
        <w:rPr>
          <w:rFonts w:ascii="Verdana" w:hAnsi="Verdana"/>
          <w:sz w:val="16"/>
          <w:szCs w:val="16"/>
        </w:rPr>
      </w:pPr>
      <w:r>
        <w:rPr>
          <w:rFonts w:ascii="Verdana" w:hAnsi="Verdana"/>
          <w:color w:val="000000"/>
          <w:sz w:val="16"/>
          <w:szCs w:val="16"/>
        </w:rPr>
        <w:t>Dicha acreditación se realizará mediante la presentación de las correspondientes certificaciones administrativas de carácter positivo expedidas por el órgano competente, en caso de oposición expresa para su comprobación de oficio.</w:t>
      </w:r>
    </w:p>
    <w:p>
      <w:pPr>
        <w:pStyle w:val="Normal"/>
        <w:spacing w:lineRule="auto" w:line="276" w:before="0" w:after="360"/>
        <w:jc w:val="both"/>
        <w:rPr>
          <w:rFonts w:ascii="Verdana" w:hAnsi="Verdana"/>
          <w:sz w:val="16"/>
          <w:szCs w:val="16"/>
        </w:rPr>
      </w:pPr>
      <w:r>
        <w:rPr>
          <w:rFonts w:ascii="Verdana" w:hAnsi="Verdana"/>
          <w:color w:val="000000"/>
          <w:sz w:val="16"/>
          <w:szCs w:val="16"/>
          <w:shd w:fill="auto" w:val="clear"/>
          <w:lang w:val="es-ES"/>
        </w:rPr>
        <w:t>Si bien, ello no exime a dichas entidades de presentar dichas certificaciones cuando, por circunstancias sobrevenidas, no pueda comprobarse de oficio el cumplimiento de dichos extremos.</w:t>
      </w:r>
    </w:p>
    <w:p>
      <w:pPr>
        <w:pStyle w:val="Normal"/>
        <w:spacing w:lineRule="auto" w:line="276" w:before="0" w:after="57"/>
        <w:jc w:val="both"/>
        <w:rPr>
          <w:highlight w:val="none"/>
          <w:shd w:fill="auto" w:val="clear"/>
        </w:rPr>
      </w:pPr>
      <w:r>
        <w:rPr>
          <w:rFonts w:ascii="Verdana" w:hAnsi="Verdana"/>
          <w:b/>
          <w:sz w:val="16"/>
          <w:szCs w:val="16"/>
          <w:shd w:fill="auto" w:val="clear"/>
        </w:rPr>
        <w:t>SEXTA.- JUS</w:t>
      </w:r>
      <w:r>
        <w:rPr>
          <w:rFonts w:cs="DejaVu Sans" w:ascii="Verdana" w:hAnsi="Verdana" w:cstheme="minorBidi"/>
          <w:b/>
          <w:sz w:val="16"/>
          <w:szCs w:val="16"/>
          <w:shd w:fill="auto" w:val="clear"/>
        </w:rPr>
        <w:t>TIFICACIÓN DE LA S</w:t>
      </w:r>
      <w:r>
        <w:rPr>
          <w:rFonts w:ascii="Verdana" w:hAnsi="Verdana"/>
          <w:b/>
          <w:sz w:val="16"/>
          <w:szCs w:val="16"/>
          <w:shd w:fill="auto" w:val="clear"/>
        </w:rPr>
        <w:t>UBVENCIÓN Y DOCUMENTACIÓN A PRESENTAR</w:t>
      </w:r>
    </w:p>
    <w:p>
      <w:pPr>
        <w:pStyle w:val="BodyText"/>
        <w:spacing w:lineRule="auto" w:line="276" w:before="0" w:after="113"/>
        <w:rPr>
          <w:rFonts w:ascii="Verdana" w:hAnsi="Verdana"/>
          <w:sz w:val="16"/>
          <w:szCs w:val="16"/>
        </w:rPr>
      </w:pPr>
      <w:r>
        <w:rPr>
          <w:rFonts w:ascii="Verdana" w:hAnsi="Verdana"/>
          <w:b/>
          <w:sz w:val="16"/>
          <w:szCs w:val="16"/>
        </w:rPr>
        <w:t>Normas generales:</w:t>
      </w:r>
    </w:p>
    <w:p>
      <w:pPr>
        <w:pStyle w:val="BodyTextIndent"/>
        <w:numPr>
          <w:ilvl w:val="0"/>
          <w:numId w:val="46"/>
        </w:numPr>
        <w:tabs>
          <w:tab w:val="clear" w:pos="720"/>
          <w:tab w:val="left" w:pos="360" w:leader="none"/>
        </w:tabs>
        <w:spacing w:lineRule="auto" w:line="276"/>
        <w:jc w:val="both"/>
        <w:rPr>
          <w:rFonts w:ascii="Verdana" w:hAnsi="Verdana"/>
          <w:sz w:val="16"/>
          <w:szCs w:val="16"/>
        </w:rPr>
      </w:pPr>
      <w:r>
        <w:rPr>
          <w:rFonts w:ascii="Verdana" w:hAnsi="Verdana"/>
          <w:sz w:val="16"/>
          <w:szCs w:val="16"/>
        </w:rPr>
        <w:t>La entidad beneficiaria de la subvención vendrá obligada a justificar documentalmente el cumplimiento de las condiciones impuestas y la consecución de los objetivos previstos en el convenio y, en su caso, la aplicación de los fondos recibidos.</w:t>
      </w:r>
    </w:p>
    <w:p>
      <w:pPr>
        <w:pStyle w:val="BodyTextIndent"/>
        <w:numPr>
          <w:ilvl w:val="0"/>
          <w:numId w:val="47"/>
        </w:numPr>
        <w:tabs>
          <w:tab w:val="clear" w:pos="720"/>
          <w:tab w:val="left" w:pos="360" w:leader="none"/>
        </w:tabs>
        <w:spacing w:lineRule="auto" w:line="276"/>
        <w:jc w:val="both"/>
        <w:rPr>
          <w:highlight w:val="none"/>
          <w:shd w:fill="FFFF00" w:val="clear"/>
        </w:rPr>
      </w:pPr>
      <w:r>
        <w:rPr>
          <w:rFonts w:ascii="Verdana" w:hAnsi="Verdana"/>
          <w:sz w:val="16"/>
          <w:szCs w:val="16"/>
          <w:shd w:fill="FFFF00" w:val="clear"/>
        </w:rPr>
        <w:t xml:space="preserve">Los </w:t>
      </w:r>
      <w:r>
        <w:rPr>
          <w:rFonts w:ascii="Verdana" w:hAnsi="Verdana"/>
          <w:b/>
          <w:bCs/>
          <w:sz w:val="16"/>
          <w:szCs w:val="16"/>
          <w:shd w:fill="FFFF00" w:val="clear"/>
        </w:rPr>
        <w:t>gastos subvencionables</w:t>
      </w:r>
      <w:r>
        <w:rPr>
          <w:rFonts w:ascii="Verdana" w:hAnsi="Verdana"/>
          <w:sz w:val="16"/>
          <w:szCs w:val="16"/>
          <w:shd w:fill="FFFF00" w:val="clear"/>
        </w:rPr>
        <w:t xml:space="preserve"> serán aquellos que, de manera indubitada, respondan a la naturaleza de la actividad subvencionada, </w:t>
      </w:r>
      <w:r>
        <w:rPr>
          <w:rFonts w:ascii="Verdana" w:hAnsi="Verdana"/>
          <w:b/>
          <w:bCs/>
          <w:sz w:val="16"/>
          <w:szCs w:val="16"/>
          <w:u w:val="none"/>
          <w:shd w:fill="FFFF00" w:val="clear"/>
        </w:rPr>
        <w:t>generados entre el 1 de enero y el 30 de noviembre de 2024</w:t>
      </w:r>
      <w:r>
        <w:rPr>
          <w:rFonts w:ascii="Verdana" w:hAnsi="Verdana"/>
          <w:b w:val="false"/>
          <w:bCs w:val="false"/>
          <w:sz w:val="16"/>
          <w:szCs w:val="16"/>
          <w:u w:val="none"/>
          <w:shd w:fill="FFFF00" w:val="clear"/>
        </w:rPr>
        <w:t xml:space="preserve"> y </w:t>
      </w:r>
      <w:r>
        <w:rPr>
          <w:rFonts w:ascii="Verdana" w:hAnsi="Verdana"/>
          <w:b/>
          <w:bCs/>
          <w:sz w:val="16"/>
          <w:szCs w:val="16"/>
          <w:u w:val="none"/>
          <w:shd w:fill="FFFF00" w:val="clear"/>
        </w:rPr>
        <w:t>pagados antes del 10 de diciembre de 2024</w:t>
      </w:r>
      <w:r>
        <w:rPr>
          <w:rFonts w:ascii="Verdana" w:hAnsi="Verdana"/>
          <w:b w:val="false"/>
          <w:bCs w:val="false"/>
          <w:sz w:val="16"/>
          <w:szCs w:val="16"/>
          <w:u w:val="none"/>
          <w:shd w:fill="FFFF00" w:val="clear"/>
        </w:rPr>
        <w:t xml:space="preserve"> (a excepción de las retenciones IRPF 4T de 2024 que podrán abonarse hasta el 31 de enero de 2025</w:t>
      </w:r>
      <w:r>
        <w:rPr>
          <w:rFonts w:ascii="Verdana" w:hAnsi="Verdana"/>
          <w:b w:val="false"/>
          <w:bCs w:val="false"/>
          <w:sz w:val="16"/>
          <w:szCs w:val="16"/>
          <w:shd w:fill="FFFF00" w:val="clear"/>
        </w:rPr>
        <w:t xml:space="preserve">). </w:t>
      </w:r>
      <w:r>
        <w:rPr>
          <w:rFonts w:ascii="Verdana" w:hAnsi="Verdana"/>
          <w:b w:val="false"/>
          <w:bCs w:val="false"/>
          <w:color w:val="000000"/>
          <w:sz w:val="16"/>
          <w:szCs w:val="16"/>
          <w:shd w:fill="FFFF00" w:val="clear"/>
          <w:lang w:val="es-ES_tradnl"/>
        </w:rPr>
        <w:t xml:space="preserve">A dichos efectos la entidad podrá presentar </w:t>
      </w:r>
      <w:r>
        <w:rPr>
          <w:rFonts w:ascii="Verdana" w:hAnsi="Verdana"/>
          <w:b/>
          <w:bCs/>
          <w:color w:val="000000"/>
          <w:sz w:val="16"/>
          <w:szCs w:val="16"/>
          <w:shd w:fill="FFFF00" w:val="clear"/>
          <w:lang w:val="es-ES_tradnl"/>
        </w:rPr>
        <w:t>declaración responsable</w:t>
      </w:r>
      <w:r>
        <w:rPr>
          <w:rFonts w:ascii="Verdana" w:hAnsi="Verdana"/>
          <w:b w:val="false"/>
          <w:bCs w:val="false"/>
          <w:color w:val="000000"/>
          <w:sz w:val="16"/>
          <w:szCs w:val="16"/>
          <w:shd w:fill="FFFF00" w:val="clear"/>
          <w:lang w:val="es-ES_tradnl"/>
        </w:rPr>
        <w:t xml:space="preserve"> que incluya la previsión de dichas retenciones.</w:t>
      </w:r>
    </w:p>
    <w:p>
      <w:pPr>
        <w:pStyle w:val="BodyTextIndent"/>
        <w:numPr>
          <w:ilvl w:val="0"/>
          <w:numId w:val="0"/>
        </w:numPr>
        <w:tabs>
          <w:tab w:val="clear" w:pos="720"/>
          <w:tab w:val="left" w:pos="360" w:leader="none"/>
        </w:tabs>
        <w:spacing w:lineRule="auto" w:line="276" w:before="0" w:after="57"/>
        <w:ind w:hanging="0" w:left="720"/>
        <w:jc w:val="both"/>
        <w:rPr>
          <w:b w:val="false"/>
          <w:bCs w:val="false"/>
          <w:color w:val="auto"/>
        </w:rPr>
      </w:pPr>
      <w:r>
        <w:rPr>
          <w:rFonts w:ascii="Verdana" w:hAnsi="Verdana"/>
          <w:b w:val="false"/>
          <w:bCs w:val="false"/>
          <w:color w:val="000000"/>
          <w:sz w:val="16"/>
          <w:szCs w:val="16"/>
          <w:shd w:fill="auto" w:val="clear"/>
        </w:rPr>
        <w:t xml:space="preserve">En concreto, por lo que respecta al proyecto presentado, serán subvencionables los gastos que seguidamente se especifican, según las actividades a desarrollar: </w:t>
      </w:r>
    </w:p>
    <w:p>
      <w:pPr>
        <w:pStyle w:val="Normal"/>
        <w:spacing w:before="0" w:after="0"/>
        <w:ind w:hanging="0" w:left="737" w:right="0"/>
        <w:jc w:val="both"/>
        <w:rPr>
          <w:b w:val="false"/>
          <w:bCs w:val="false"/>
          <w:color w:val="auto"/>
        </w:rPr>
      </w:pPr>
      <w:r>
        <w:rPr>
          <w:rFonts w:ascii="Verdana" w:hAnsi="Verdana"/>
          <w:b w:val="false"/>
          <w:bCs w:val="false"/>
          <w:color w:val="000000"/>
          <w:sz w:val="16"/>
          <w:szCs w:val="16"/>
          <w:u w:val="single"/>
          <w:shd w:fill="auto" w:val="clear"/>
        </w:rPr>
        <w:t>Actividad n.º 1.- “IX Edición Espacio Mascotas”</w:t>
      </w:r>
    </w:p>
    <w:p>
      <w:pPr>
        <w:pStyle w:val="Normal"/>
        <w:spacing w:before="0" w:after="0"/>
        <w:ind w:hanging="0" w:left="737" w:right="0"/>
        <w:jc w:val="both"/>
        <w:rPr>
          <w:b w:val="false"/>
          <w:bCs w:val="false"/>
          <w:color w:val="auto"/>
        </w:rPr>
      </w:pPr>
      <w:r>
        <w:rPr>
          <w:rFonts w:ascii="Verdana" w:hAnsi="Verdana"/>
          <w:b w:val="false"/>
          <w:bCs w:val="false"/>
          <w:color w:val="000000"/>
          <w:sz w:val="16"/>
          <w:szCs w:val="16"/>
          <w:u w:val="none"/>
          <w:shd w:fill="auto" w:val="clear"/>
        </w:rPr>
        <w:t>Gastos derivados de la  organización de la exhibición de animales exóticos, la de aves, talleres caninos (tales como premios, trofeos, alimentos de animales, publicidad, servicio de ambulancia, alquiler de audiovisuales), así como los gastos correspondientes al suministro e instalación y montaje del stand (moqueta y varios).</w:t>
      </w:r>
    </w:p>
    <w:p>
      <w:pPr>
        <w:pStyle w:val="Normal"/>
        <w:spacing w:before="0" w:after="57"/>
        <w:ind w:hanging="0" w:left="737" w:right="0"/>
        <w:jc w:val="both"/>
        <w:rPr>
          <w:b w:val="false"/>
          <w:bCs w:val="false"/>
          <w:color w:val="auto"/>
        </w:rPr>
      </w:pPr>
      <w:r>
        <w:rPr>
          <w:rFonts w:ascii="Verdana" w:hAnsi="Verdana"/>
          <w:b w:val="false"/>
          <w:bCs w:val="false"/>
          <w:color w:val="000000"/>
          <w:sz w:val="16"/>
          <w:szCs w:val="16"/>
          <w:u w:val="none"/>
          <w:shd w:fill="auto" w:val="clear"/>
        </w:rPr>
        <w:t>Gastos de alojamiento y dietas de jueces de los concursos, y transportes. Así como otros gastos corrientes precisos para celebrar el evento y directamente relacionados con la ejecución de mismo.</w:t>
      </w:r>
    </w:p>
    <w:p>
      <w:pPr>
        <w:pStyle w:val="Normal"/>
        <w:spacing w:before="0" w:after="57"/>
        <w:ind w:hanging="0" w:left="737" w:right="0"/>
        <w:jc w:val="both"/>
        <w:rPr>
          <w:b w:val="false"/>
          <w:bCs w:val="false"/>
          <w:color w:val="auto"/>
          <w:u w:val="single"/>
        </w:rPr>
      </w:pPr>
      <w:r>
        <w:rPr>
          <w:rFonts w:ascii="Verdana" w:hAnsi="Verdana"/>
          <w:b w:val="false"/>
          <w:bCs w:val="false"/>
          <w:color w:val="000000"/>
          <w:sz w:val="16"/>
          <w:szCs w:val="16"/>
          <w:u w:val="single"/>
          <w:shd w:fill="auto" w:val="clear"/>
        </w:rPr>
        <w:t>Actividad n.º 2.- “Dos Ruedas Meet”.</w:t>
      </w:r>
    </w:p>
    <w:p>
      <w:pPr>
        <w:pStyle w:val="Normal"/>
        <w:spacing w:before="0" w:after="57"/>
        <w:ind w:hanging="0" w:left="737" w:right="0"/>
        <w:jc w:val="both"/>
        <w:rPr>
          <w:b w:val="false"/>
          <w:bCs w:val="false"/>
          <w:color w:val="auto"/>
        </w:rPr>
      </w:pPr>
      <w:r>
        <w:rPr>
          <w:rFonts w:ascii="Verdana" w:hAnsi="Verdana"/>
          <w:b w:val="false"/>
          <w:bCs w:val="false"/>
          <w:color w:val="000000"/>
          <w:sz w:val="16"/>
          <w:szCs w:val="16"/>
          <w:u w:val="none"/>
          <w:shd w:fill="auto" w:val="clear"/>
        </w:rPr>
        <w:t>Gastos derivados del montaje/desmontaje, así como los correspondientes al suministro e instalación de moquetas, paneles y stands modulares.</w:t>
      </w:r>
    </w:p>
    <w:p>
      <w:pPr>
        <w:pStyle w:val="Normal"/>
        <w:spacing w:before="0" w:after="57"/>
        <w:ind w:hanging="0" w:left="737" w:right="0"/>
        <w:jc w:val="both"/>
        <w:rPr>
          <w:b w:val="false"/>
          <w:bCs w:val="false"/>
          <w:color w:val="auto"/>
        </w:rPr>
      </w:pPr>
      <w:r>
        <w:rPr>
          <w:rFonts w:ascii="Verdana" w:hAnsi="Verdana"/>
          <w:b w:val="false"/>
          <w:bCs w:val="false"/>
          <w:color w:val="000000"/>
          <w:sz w:val="16"/>
          <w:szCs w:val="16"/>
          <w:u w:val="none"/>
          <w:shd w:fill="auto" w:val="clear"/>
        </w:rPr>
        <w:t>Gastos de imprenta (flyers, carteles, lonas etc), u otros como, pasquines, entradas, tarjetones para sorteos.</w:t>
      </w:r>
    </w:p>
    <w:p>
      <w:pPr>
        <w:pStyle w:val="Normal"/>
        <w:spacing w:before="0" w:after="57"/>
        <w:ind w:hanging="0" w:left="737" w:right="0"/>
        <w:jc w:val="both"/>
        <w:rPr>
          <w:b w:val="false"/>
          <w:bCs w:val="false"/>
          <w:color w:val="auto"/>
        </w:rPr>
      </w:pPr>
      <w:r>
        <w:rPr>
          <w:rFonts w:ascii="Verdana" w:hAnsi="Verdana"/>
          <w:b w:val="false"/>
          <w:bCs w:val="false"/>
          <w:color w:val="000000"/>
          <w:sz w:val="16"/>
          <w:szCs w:val="16"/>
          <w:u w:val="none"/>
          <w:shd w:fill="auto" w:val="clear"/>
        </w:rPr>
        <w:t>Gastos de publicidad (vinilos, mupis, bolsas re-utilizables, cartelería, dossier comercial y otros).</w:t>
      </w:r>
    </w:p>
    <w:p>
      <w:pPr>
        <w:pStyle w:val="Normal"/>
        <w:spacing w:before="0" w:after="57"/>
        <w:ind w:hanging="0" w:left="737" w:right="0"/>
        <w:jc w:val="both"/>
        <w:rPr>
          <w:b w:val="false"/>
          <w:bCs w:val="false"/>
          <w:color w:val="auto"/>
        </w:rPr>
      </w:pPr>
      <w:r>
        <w:rPr>
          <w:rFonts w:ascii="Verdana" w:hAnsi="Verdana"/>
          <w:b w:val="false"/>
          <w:bCs w:val="false"/>
          <w:color w:val="000000"/>
          <w:sz w:val="16"/>
          <w:szCs w:val="16"/>
          <w:u w:val="none"/>
          <w:shd w:fill="auto" w:val="clear"/>
        </w:rPr>
        <w:t>Así como otros gastos corrientes precisos para celebrar el evento y directamente relacionados con la ejecución de mismo.</w:t>
      </w:r>
    </w:p>
    <w:p>
      <w:pPr>
        <w:pStyle w:val="Normal"/>
        <w:spacing w:before="0" w:after="57"/>
        <w:ind w:hanging="0" w:left="737" w:right="0"/>
        <w:jc w:val="both"/>
        <w:rPr>
          <w:rFonts w:ascii="Verdana" w:hAnsi="Verdana"/>
          <w:color w:val="C9211E"/>
          <w:sz w:val="16"/>
          <w:szCs w:val="16"/>
          <w:u w:val="none"/>
          <w:shd w:fill="auto" w:val="clear"/>
        </w:rPr>
      </w:pPr>
      <w:r>
        <w:rPr>
          <w:rFonts w:ascii="Verdana" w:hAnsi="Verdana"/>
          <w:b w:val="false"/>
          <w:bCs w:val="false"/>
          <w:color w:val="000000"/>
          <w:sz w:val="16"/>
          <w:szCs w:val="16"/>
          <w:u w:val="single"/>
          <w:shd w:fill="auto" w:val="clear"/>
        </w:rPr>
        <w:t>Actividad nº3.-</w:t>
      </w:r>
      <w:r>
        <w:rPr>
          <w:rFonts w:eastAsia="Times New Roman" w:cs="Times New Roman" w:ascii="Verdana" w:hAnsi="Verdana"/>
          <w:b w:val="false"/>
          <w:bCs w:val="false"/>
          <w:color w:val="000000"/>
          <w:sz w:val="16"/>
          <w:szCs w:val="16"/>
          <w:u w:val="single"/>
          <w:shd w:fill="auto" w:val="clear"/>
          <w:lang w:eastAsia="es-ES"/>
        </w:rPr>
        <w:t>“Capacitación para la empleabilidad”</w:t>
      </w:r>
    </w:p>
    <w:p>
      <w:pPr>
        <w:pStyle w:val="Normal"/>
        <w:ind w:hanging="0" w:left="737" w:right="0"/>
        <w:jc w:val="both"/>
        <w:rPr>
          <w:color w:val="auto"/>
          <w:highlight w:val="none"/>
          <w:shd w:fill="auto" w:val="clear"/>
        </w:rPr>
      </w:pPr>
      <w:r>
        <w:rPr>
          <w:rFonts w:ascii="Verdana" w:hAnsi="Verdana"/>
          <w:b w:val="false"/>
          <w:bCs w:val="false"/>
          <w:color w:val="000000"/>
          <w:sz w:val="16"/>
          <w:szCs w:val="16"/>
          <w:u w:val="none"/>
          <w:shd w:fill="auto" w:val="clear"/>
        </w:rPr>
        <w:t>Gato de formadores preciso para el desarrollo del proyecto, gastos de comunicación, promoción y otros directamente relacionados con el mismo que no sean objeto de financiación por  fondos europeos.</w:t>
      </w:r>
    </w:p>
    <w:p>
      <w:pPr>
        <w:pStyle w:val="Normal"/>
        <w:ind w:hanging="0" w:left="737" w:right="0"/>
        <w:jc w:val="both"/>
        <w:rPr>
          <w:highlight w:val="none"/>
          <w:shd w:fill="FFFF00" w:val="clear"/>
        </w:rPr>
      </w:pPr>
      <w:r>
        <w:rPr>
          <w:rFonts w:eastAsia="Times New Roman" w:cs="Verdana" w:ascii="Verdana" w:hAnsi="Verdana"/>
          <w:b w:val="false"/>
          <w:bCs w:val="false"/>
          <w:color w:val="000000"/>
          <w:kern w:val="0"/>
          <w:sz w:val="16"/>
          <w:szCs w:val="16"/>
          <w:u w:val="none"/>
          <w:shd w:fill="FFFF00" w:val="clear"/>
          <w:lang w:val="es-ES" w:eastAsia="zh-CN" w:bidi="ar-SA"/>
        </w:rPr>
        <w:t xml:space="preserve">Se establece como </w:t>
      </w:r>
      <w:r>
        <w:rPr>
          <w:rFonts w:eastAsia="Times New Roman" w:cs="Verdana" w:ascii="Verdana" w:hAnsi="Verdana"/>
          <w:b/>
          <w:bCs/>
          <w:color w:val="000000"/>
          <w:kern w:val="0"/>
          <w:sz w:val="16"/>
          <w:szCs w:val="16"/>
          <w:u w:val="none"/>
          <w:shd w:fill="FFFF00" w:val="clear"/>
          <w:lang w:val="es-ES" w:eastAsia="zh-CN" w:bidi="ar-SA"/>
        </w:rPr>
        <w:t>plazo máximo</w:t>
      </w:r>
      <w:r>
        <w:rPr>
          <w:rFonts w:eastAsia="Times New Roman" w:cs="Verdana" w:ascii="Verdana" w:hAnsi="Verdana"/>
          <w:b w:val="false"/>
          <w:bCs w:val="false"/>
          <w:color w:val="000000"/>
          <w:kern w:val="0"/>
          <w:sz w:val="16"/>
          <w:szCs w:val="16"/>
          <w:u w:val="none"/>
          <w:shd w:fill="FFFF00" w:val="clear"/>
          <w:lang w:val="es-ES" w:eastAsia="zh-CN" w:bidi="ar-SA"/>
        </w:rPr>
        <w:t xml:space="preserve"> para la presentación de la justificación completa del gasto incluido en la </w:t>
      </w:r>
      <w:r>
        <w:rPr>
          <w:rFonts w:eastAsia="Times New Roman" w:cs="Verdana" w:ascii="Verdana" w:hAnsi="Verdana"/>
          <w:b/>
          <w:bCs/>
          <w:color w:val="000000"/>
          <w:kern w:val="0"/>
          <w:sz w:val="16"/>
          <w:szCs w:val="16"/>
          <w:u w:val="none"/>
          <w:shd w:fill="FFFF00" w:val="clear"/>
          <w:lang w:val="es-ES" w:eastAsia="zh-CN" w:bidi="ar-SA"/>
        </w:rPr>
        <w:t>declaración responsable</w:t>
      </w:r>
      <w:r>
        <w:rPr>
          <w:rFonts w:eastAsia="Times New Roman" w:cs="Verdana" w:ascii="Verdana" w:hAnsi="Verdana"/>
          <w:b w:val="false"/>
          <w:bCs w:val="false"/>
          <w:color w:val="000000"/>
          <w:kern w:val="0"/>
          <w:sz w:val="16"/>
          <w:szCs w:val="16"/>
          <w:u w:val="none"/>
          <w:shd w:fill="FFFF00" w:val="clear"/>
          <w:lang w:val="es-ES" w:eastAsia="zh-CN" w:bidi="ar-SA"/>
        </w:rPr>
        <w:t xml:space="preserve">, memoria final de actuación y relación definitiva del gasto total del proyecto presentado por la entidad el </w:t>
      </w:r>
      <w:r>
        <w:rPr>
          <w:rFonts w:eastAsia="Times New Roman" w:cs="Verdana" w:ascii="Verdana" w:hAnsi="Verdana"/>
          <w:b/>
          <w:bCs/>
          <w:color w:val="000000"/>
          <w:kern w:val="0"/>
          <w:sz w:val="16"/>
          <w:szCs w:val="16"/>
          <w:u w:val="none"/>
          <w:shd w:fill="FFFF00" w:val="clear"/>
          <w:lang w:val="es-ES" w:eastAsia="zh-CN" w:bidi="ar-SA"/>
        </w:rPr>
        <w:t>31 de enero de 2025</w:t>
      </w:r>
      <w:r>
        <w:rPr>
          <w:rFonts w:eastAsia="Times New Roman" w:cs="Verdana" w:ascii="Verdana" w:hAnsi="Verdana"/>
          <w:b w:val="false"/>
          <w:bCs w:val="false"/>
          <w:color w:val="000000"/>
          <w:kern w:val="0"/>
          <w:sz w:val="16"/>
          <w:szCs w:val="16"/>
          <w:u w:val="none"/>
          <w:shd w:fill="FFFF00" w:val="clear"/>
          <w:lang w:val="es-ES" w:eastAsia="zh-CN" w:bidi="ar-SA"/>
        </w:rPr>
        <w:t>.</w:t>
      </w:r>
    </w:p>
    <w:p>
      <w:pPr>
        <w:pStyle w:val="BodyText"/>
        <w:numPr>
          <w:ilvl w:val="0"/>
          <w:numId w:val="48"/>
        </w:numPr>
        <w:spacing w:lineRule="auto" w:line="276" w:before="0" w:after="120"/>
        <w:jc w:val="both"/>
        <w:rPr>
          <w:rFonts w:ascii="Verdana" w:hAnsi="Verdana"/>
          <w:sz w:val="16"/>
          <w:szCs w:val="16"/>
        </w:rPr>
      </w:pPr>
      <w:r>
        <w:rPr>
          <w:rFonts w:ascii="Verdana" w:hAnsi="Verdana"/>
          <w:sz w:val="16"/>
          <w:szCs w:val="16"/>
        </w:rPr>
        <w:t>Cuando las actividades hayan sido financiadas con fondos propios u otras subvenciones o recursos, además de la subvención municipal, deberá acreditarse en la justificación el importe, procedencia y aplicación de tales fondos a las actividades subvencionadas.</w:t>
      </w:r>
    </w:p>
    <w:p>
      <w:pPr>
        <w:pStyle w:val="BodyText"/>
        <w:numPr>
          <w:ilvl w:val="0"/>
          <w:numId w:val="49"/>
        </w:numPr>
        <w:spacing w:lineRule="auto" w:line="276" w:before="0" w:after="120"/>
        <w:jc w:val="both"/>
        <w:rPr>
          <w:rFonts w:ascii="Verdana" w:hAnsi="Verdana"/>
          <w:sz w:val="16"/>
          <w:szCs w:val="16"/>
        </w:rPr>
      </w:pPr>
      <w:r>
        <w:rPr>
          <w:rFonts w:ascii="Verdana" w:hAnsi="Verdana"/>
          <w:sz w:val="16"/>
          <w:szCs w:val="16"/>
        </w:rPr>
        <w:t>En ningún caso el importe de la subvención recibida, en concurrencia con otras financiaciones, podrá ser superior al coste total del proyecto que se financia. Asimismo, en caso de que la entidad obtenga aportaciones de otros entes públicos o privados para el desarrollo de esta actividad, la suma de estas aportaciones no podrá superar el montante que conlleve la ejecución de las mismas (en este caso, la aportación municipal se minorará en función de los ingresos recibidos por la entidad).</w:t>
      </w:r>
    </w:p>
    <w:p>
      <w:pPr>
        <w:pStyle w:val="BodyText"/>
        <w:numPr>
          <w:ilvl w:val="0"/>
          <w:numId w:val="50"/>
        </w:numPr>
        <w:spacing w:lineRule="auto" w:line="276"/>
        <w:ind w:hanging="360" w:left="720" w:right="0"/>
        <w:jc w:val="both"/>
        <w:rPr>
          <w:rFonts w:ascii="Verdana" w:hAnsi="Verdana"/>
          <w:sz w:val="16"/>
          <w:szCs w:val="16"/>
        </w:rPr>
      </w:pPr>
      <w:r>
        <w:rPr>
          <w:rFonts w:ascii="Verdana" w:hAnsi="Verdana"/>
          <w:sz w:val="16"/>
          <w:szCs w:val="16"/>
        </w:rPr>
        <w:t xml:space="preserve">En ningún caso el importe de la subvención recibida, en concurrencia con otras financiaciones, podrá ser superior al coste total del proyecto que se financia. Asimismo, en caso de que la entidad obtenga aportaciones de otros entes públicos o privados para el desarrollo de esta actividad, la suma de estas aportaciones no podrá superar el montante que conlleve la ejecución de las mismas (en este caso, la aportación municipal se minorará en función de los ingresos recibidos por la entidad). </w:t>
      </w:r>
    </w:p>
    <w:p>
      <w:pPr>
        <w:pStyle w:val="BodyText"/>
        <w:numPr>
          <w:ilvl w:val="0"/>
          <w:numId w:val="51"/>
        </w:numPr>
        <w:spacing w:lineRule="auto" w:line="276" w:before="0" w:after="120"/>
        <w:jc w:val="both"/>
        <w:rPr>
          <w:rFonts w:ascii="Verdana" w:hAnsi="Verdana"/>
          <w:sz w:val="16"/>
          <w:szCs w:val="16"/>
        </w:rPr>
      </w:pPr>
      <w:r>
        <w:rPr>
          <w:rFonts w:ascii="Verdana" w:hAnsi="Verdana"/>
          <w:sz w:val="16"/>
          <w:szCs w:val="16"/>
        </w:rPr>
        <w:t>Si la documentación presentada para la justificación de la subvención aparece estampillada por otra Administración o área municipal, el sello deberá indicar, en todo caso, el importe de la subvención concedida, el/la trabajador/a o trabajadores/as afectados/as, así como el porcentaje imputado. En su defecto o cuando aquél no sea legible, no permitiendo identificar claramente el gasto financiado, se acompañará un certificado expedido por el organismo competente que indique tales extremos. Caso contrario, se considerará que el gasto que acredita dicho documento se ha financiado en su totalidad, por lo que no se admitirá para la justificación de la subvención objeto del presente convenio.</w:t>
      </w:r>
    </w:p>
    <w:p>
      <w:pPr>
        <w:pStyle w:val="BodyText"/>
        <w:numPr>
          <w:ilvl w:val="0"/>
          <w:numId w:val="52"/>
        </w:numPr>
        <w:spacing w:lineRule="auto" w:line="276" w:before="0" w:after="120"/>
        <w:jc w:val="both"/>
        <w:rPr>
          <w:rFonts w:ascii="Verdana" w:hAnsi="Verdana"/>
          <w:sz w:val="16"/>
          <w:szCs w:val="16"/>
        </w:rPr>
      </w:pPr>
      <w:r>
        <w:rPr>
          <w:rFonts w:ascii="Verdana" w:hAnsi="Verdana"/>
          <w:b w:val="false"/>
          <w:bCs w:val="false"/>
          <w:sz w:val="16"/>
          <w:szCs w:val="16"/>
        </w:rPr>
        <w:t>Únicamente se admitirán pagos en metálico cuya cuantía no exceda de 150 euros.</w:t>
      </w:r>
    </w:p>
    <w:p>
      <w:pPr>
        <w:pStyle w:val="Normal"/>
        <w:spacing w:before="0" w:after="113"/>
        <w:jc w:val="both"/>
        <w:rPr>
          <w:color w:val="000000"/>
        </w:rPr>
      </w:pPr>
      <w:r>
        <w:rPr>
          <w:color w:val="000000"/>
        </w:rPr>
      </w:r>
    </w:p>
    <w:p>
      <w:pPr>
        <w:pStyle w:val="Normal"/>
        <w:spacing w:before="0" w:after="113"/>
        <w:jc w:val="both"/>
        <w:rPr>
          <w:rFonts w:ascii="Verdana" w:hAnsi="Verdana"/>
          <w:sz w:val="16"/>
          <w:szCs w:val="16"/>
        </w:rPr>
      </w:pPr>
      <w:r>
        <w:rPr>
          <w:rFonts w:ascii="Verdana" w:hAnsi="Verdana"/>
          <w:b/>
          <w:color w:val="000000"/>
          <w:sz w:val="16"/>
          <w:szCs w:val="16"/>
        </w:rPr>
        <w:t>Documentación a presentar para la acreditación del gasto:</w:t>
      </w:r>
    </w:p>
    <w:p>
      <w:pPr>
        <w:pStyle w:val="Normal"/>
        <w:spacing w:before="0" w:after="57"/>
        <w:jc w:val="both"/>
        <w:rPr>
          <w:rFonts w:ascii="Verdana" w:hAnsi="Verdana"/>
          <w:sz w:val="16"/>
          <w:szCs w:val="16"/>
        </w:rPr>
      </w:pPr>
      <w:r>
        <w:rPr>
          <w:rFonts w:ascii="Verdana" w:hAnsi="Verdana"/>
          <w:color w:val="000000"/>
          <w:sz w:val="16"/>
          <w:szCs w:val="16"/>
        </w:rPr>
        <w:t>La justificación del gasto conforme al fin para el que la subvención es concedida, deberá realizarse aportando la cuenta justificativa (Memoria económica y Memoria de actuación anual) que deberá incluir la documentación que a continuación se relaciona:</w:t>
      </w:r>
    </w:p>
    <w:p>
      <w:pPr>
        <w:pStyle w:val="Normal"/>
        <w:spacing w:before="0" w:after="57"/>
        <w:jc w:val="both"/>
        <w:rPr>
          <w:rFonts w:ascii="Verdana" w:hAnsi="Verdana"/>
          <w:sz w:val="16"/>
          <w:szCs w:val="16"/>
        </w:rPr>
      </w:pPr>
      <w:r>
        <w:rPr>
          <w:rFonts w:ascii="Verdana" w:hAnsi="Verdana"/>
          <w:color w:val="000000"/>
          <w:sz w:val="16"/>
          <w:szCs w:val="16"/>
        </w:rPr>
        <w:t xml:space="preserve">-Una </w:t>
      </w:r>
      <w:r>
        <w:rPr>
          <w:rFonts w:ascii="Verdana" w:hAnsi="Verdana"/>
          <w:color w:val="000000"/>
          <w:sz w:val="16"/>
          <w:szCs w:val="16"/>
          <w:u w:val="single"/>
        </w:rPr>
        <w:t>Memoria económica</w:t>
      </w:r>
      <w:r>
        <w:rPr>
          <w:rFonts w:ascii="Verdana" w:hAnsi="Verdana"/>
          <w:color w:val="000000"/>
          <w:sz w:val="16"/>
          <w:szCs w:val="16"/>
        </w:rPr>
        <w:t xml:space="preserve"> justificativa del coste de las actividades realizadas correspondiente al período que se justifica, firmada por el responsable de la entidad, que deberá aportarse además de por el medio descrito en la base séptima (Registro General del Ayuntamiento de Gijón/Xixón), por correo electrónico en formato Excel y que contendrá:</w:t>
      </w:r>
    </w:p>
    <w:p>
      <w:pPr>
        <w:pStyle w:val="Normal"/>
        <w:numPr>
          <w:ilvl w:val="0"/>
          <w:numId w:val="1"/>
        </w:numPr>
        <w:spacing w:before="0" w:after="0"/>
        <w:jc w:val="both"/>
        <w:rPr>
          <w:rFonts w:ascii="Verdana" w:hAnsi="Verdana"/>
          <w:sz w:val="16"/>
          <w:szCs w:val="16"/>
        </w:rPr>
      </w:pPr>
      <w:r>
        <w:rPr>
          <w:rFonts w:ascii="Verdana" w:hAnsi="Verdana"/>
          <w:color w:val="000000"/>
          <w:sz w:val="16"/>
          <w:szCs w:val="16"/>
        </w:rPr>
        <w:t>Una relación clasificada de los gastos de organización, coordinación y dirección, generales y de funcionamiento  (ficha cuadro con listado de facturas, indicando núm, identificación del proveedor (CIF/ nombre comercial o razón social), proveedor, concepto, base imponible, IVA, total factura, % imputado a la subvención y % financiado con fondos públicos y/o privados).</w:t>
      </w:r>
    </w:p>
    <w:p>
      <w:pPr>
        <w:pStyle w:val="BodyTextIndent2"/>
        <w:numPr>
          <w:ilvl w:val="0"/>
          <w:numId w:val="1"/>
        </w:numPr>
        <w:spacing w:lineRule="auto" w:line="240" w:before="0" w:after="0"/>
        <w:jc w:val="both"/>
        <w:rPr>
          <w:rFonts w:ascii="Verdana" w:hAnsi="Verdana" w:eastAsia="Calibri" w:cs=""/>
          <w:color w:val="000000"/>
          <w:kern w:val="0"/>
          <w:sz w:val="16"/>
          <w:szCs w:val="16"/>
          <w:lang w:val="es-ES" w:eastAsia="en-US" w:bidi="ar-SA"/>
        </w:rPr>
      </w:pPr>
      <w:r>
        <w:rPr>
          <w:rFonts w:eastAsia="Calibri" w:cs="" w:ascii="Verdana" w:hAnsi="Verdana"/>
          <w:color w:val="000000"/>
          <w:kern w:val="0"/>
          <w:sz w:val="16"/>
          <w:szCs w:val="16"/>
          <w:lang w:val="es-ES" w:eastAsia="en-US" w:bidi="ar-SA"/>
        </w:rPr>
        <w:t>Una declaración responsable  de otros ingresos o subvenciones que hayan financiado la actividad subvencionada con indicación del importe, su procedencia y % de financiación, así como  de los otros gastos del proyecto, no imputados a la subvención, con los comentarios y aclaraciones que procedan.</w:t>
      </w:r>
    </w:p>
    <w:p>
      <w:pPr>
        <w:pStyle w:val="BodyTextIndent2"/>
        <w:numPr>
          <w:ilvl w:val="0"/>
          <w:numId w:val="1"/>
        </w:numPr>
        <w:spacing w:lineRule="auto" w:line="276" w:before="0" w:after="57"/>
        <w:jc w:val="both"/>
        <w:rPr>
          <w:rFonts w:ascii="Verdana" w:hAnsi="Verdana"/>
          <w:sz w:val="16"/>
          <w:szCs w:val="16"/>
        </w:rPr>
      </w:pPr>
      <w:r>
        <w:rPr>
          <w:rFonts w:eastAsia="Times New Roman" w:cs="Verdana" w:ascii="Verdana" w:hAnsi="Verdana"/>
          <w:color w:val="000000"/>
          <w:kern w:val="0"/>
          <w:sz w:val="16"/>
          <w:szCs w:val="16"/>
          <w:lang w:val="es-ES_tradnl" w:eastAsia="zh-CN" w:bidi="ar-SA"/>
        </w:rPr>
        <w:t>Indicación de las desviaciones en relación al proyecto presentado.</w:t>
      </w:r>
    </w:p>
    <w:p>
      <w:pPr>
        <w:pStyle w:val="Normal"/>
        <w:spacing w:before="0" w:after="57"/>
        <w:jc w:val="both"/>
        <w:rPr>
          <w:rFonts w:ascii="Verdana" w:hAnsi="Verdana"/>
          <w:sz w:val="16"/>
          <w:szCs w:val="16"/>
        </w:rPr>
      </w:pPr>
      <w:r>
        <w:rPr>
          <w:rFonts w:ascii="Verdana" w:hAnsi="Verdana"/>
          <w:color w:val="000000"/>
          <w:sz w:val="16"/>
          <w:szCs w:val="16"/>
        </w:rPr>
        <w:t>-Copia legible de las facturas o documentos de valor probatorio equivalente, válidamente emitidas, entendiendo por tales aquellas que incluyan los elementos señalados por la normativa aplicable en cada caso, considerándose imprescindible  que recojan: el nombre o razón social de la empresa que factura y su NIF, la fecha de emisión, el importe y desglose de cada uno de los conceptos facturados, debiendo figurar la base imponible y el IVA de forma diferenciada y de conformidad con el Real Decreto 1619/2012 de 30 de noviembre, por el que se aprueba el Reglamento por el que se regulan las obligaciones de facturación.</w:t>
      </w:r>
    </w:p>
    <w:p>
      <w:pPr>
        <w:pStyle w:val="Normal"/>
        <w:spacing w:before="0" w:after="57"/>
        <w:jc w:val="both"/>
        <w:rPr>
          <w:rFonts w:ascii="Verdana" w:hAnsi="Verdana"/>
          <w:sz w:val="16"/>
          <w:szCs w:val="16"/>
        </w:rPr>
      </w:pPr>
      <w:r>
        <w:rPr>
          <w:rFonts w:ascii="Verdana" w:hAnsi="Verdana"/>
          <w:color w:val="000000"/>
          <w:sz w:val="16"/>
          <w:szCs w:val="16"/>
        </w:rPr>
        <w:t>-</w:t>
      </w:r>
      <w:r>
        <w:rPr>
          <w:rFonts w:eastAsia="Times New Roman" w:cs="Verdana" w:ascii="Verdana" w:hAnsi="Verdana"/>
          <w:color w:val="000000"/>
          <w:kern w:val="0"/>
          <w:sz w:val="16"/>
          <w:szCs w:val="16"/>
          <w:lang w:val="es-ES_tradnl" w:eastAsia="zh-CN" w:bidi="ar-SA"/>
        </w:rPr>
        <w:t>Modelo 111. Retenciones e ingresos a cuenta. Rendimientos del trabajo y de actividades económicas, premios y determinadas ganancias patrimoniales e imputaciones de Renta.</w:t>
      </w:r>
    </w:p>
    <w:p>
      <w:pPr>
        <w:pStyle w:val="Normal"/>
        <w:spacing w:before="0" w:after="57"/>
        <w:jc w:val="both"/>
        <w:rPr>
          <w:rFonts w:ascii="Verdana" w:hAnsi="Verdana"/>
          <w:sz w:val="16"/>
          <w:szCs w:val="16"/>
        </w:rPr>
      </w:pPr>
      <w:r>
        <w:rPr>
          <w:rFonts w:ascii="Verdana" w:hAnsi="Verdana"/>
          <w:color w:val="000000"/>
          <w:sz w:val="16"/>
          <w:szCs w:val="16"/>
        </w:rPr>
        <w:t xml:space="preserve">-Si </w:t>
      </w:r>
      <w:r>
        <w:rPr>
          <w:rFonts w:cs="Verdana" w:ascii="Verdana" w:hAnsi="Verdana"/>
          <w:color w:val="000000"/>
          <w:sz w:val="16"/>
          <w:szCs w:val="16"/>
          <w:shd w:fill="auto" w:val="clear"/>
        </w:rPr>
        <w:t>la entidad beneficiaria opta por imputar como gasto subvencionable el importe correspondiente al IVA de las facturas presentadas, deberá aportar debidamente cumplimentada una declaración responsable según modelo (</w:t>
      </w:r>
      <w:r>
        <w:rPr>
          <w:rFonts w:cs="Verdana" w:ascii="Verdana" w:hAnsi="Verdana"/>
          <w:b/>
          <w:bCs/>
          <w:color w:val="000000"/>
          <w:sz w:val="16"/>
          <w:szCs w:val="16"/>
          <w:shd w:fill="auto" w:val="clear"/>
        </w:rPr>
        <w:t>ANEXO I</w:t>
      </w:r>
      <w:r>
        <w:rPr>
          <w:rFonts w:cs="Verdana" w:ascii="Verdana" w:hAnsi="Verdana"/>
          <w:color w:val="000000"/>
          <w:sz w:val="16"/>
          <w:szCs w:val="16"/>
          <w:shd w:fill="auto" w:val="clear"/>
        </w:rPr>
        <w:t>), por la que se justifica la cuantía del IVA soportado correspondiente a los gastos subvencionables que se estima susceptible de compensación o recuperación por el beneficiario de la subvención mediante la deducción en sus declaraciones – autoliquidaciones de IVA.</w:t>
      </w:r>
    </w:p>
    <w:p>
      <w:pPr>
        <w:pStyle w:val="Normal"/>
        <w:spacing w:before="0" w:after="113"/>
        <w:jc w:val="both"/>
        <w:rPr>
          <w:rFonts w:ascii="Verdana" w:hAnsi="Verdana"/>
          <w:sz w:val="16"/>
          <w:szCs w:val="16"/>
        </w:rPr>
      </w:pPr>
      <w:r>
        <w:rPr>
          <w:rFonts w:ascii="Verdana" w:hAnsi="Verdana"/>
          <w:color w:val="000000"/>
          <w:sz w:val="16"/>
          <w:szCs w:val="16"/>
        </w:rPr>
        <w:t xml:space="preserve">-Certificados de estar al corriente de las obligaciones tributarias, con la Seguridad Social, con la  </w:t>
      </w:r>
      <w:r>
        <w:rPr>
          <w:rFonts w:eastAsia="Calibri" w:cs="" w:ascii="Verdana" w:hAnsi="Verdana"/>
          <w:color w:val="000000"/>
          <w:kern w:val="0"/>
          <w:sz w:val="16"/>
          <w:szCs w:val="16"/>
          <w:lang w:val="es-ES" w:eastAsia="en-US" w:bidi="ar-SA"/>
        </w:rPr>
        <w:t xml:space="preserve">de la Administración del Principado de Asturias, y </w:t>
      </w:r>
      <w:r>
        <w:rPr>
          <w:rFonts w:ascii="Verdana" w:hAnsi="Verdana"/>
          <w:color w:val="000000"/>
          <w:sz w:val="16"/>
          <w:szCs w:val="16"/>
        </w:rPr>
        <w:t>Hacienda Municipal por deudas vencidas, líquidas y exigibles en vía de apremio, en caso de oposición expresa para su comprobación de oficio, salvo que se encuentren en vigor las que obren en poder de la Administración, previa indicación del número de expediente al que se aportaron, conforme a lo establecido en la cláusula cuarta del presente convenio.</w:t>
      </w:r>
    </w:p>
    <w:p>
      <w:pPr>
        <w:pStyle w:val="Normal"/>
        <w:bidi w:val="0"/>
        <w:spacing w:lineRule="auto" w:line="240" w:before="0" w:after="0"/>
        <w:ind w:hanging="0" w:left="0" w:right="0"/>
        <w:jc w:val="both"/>
        <w:rPr>
          <w:rFonts w:ascii="Verdana" w:hAnsi="Verdana" w:cs="Verdana"/>
          <w:sz w:val="16"/>
          <w:szCs w:val="16"/>
        </w:rPr>
      </w:pPr>
      <w:r>
        <w:rPr>
          <w:rFonts w:cs="Verdana" w:ascii="Verdana" w:hAnsi="Verdana"/>
          <w:sz w:val="16"/>
          <w:szCs w:val="16"/>
        </w:rPr>
      </w:r>
    </w:p>
    <w:p>
      <w:pPr>
        <w:pStyle w:val="Normal"/>
        <w:spacing w:before="0" w:after="113"/>
        <w:jc w:val="both"/>
        <w:rPr>
          <w:rFonts w:ascii="Verdana" w:hAnsi="Verdana"/>
          <w:sz w:val="16"/>
          <w:szCs w:val="16"/>
        </w:rPr>
      </w:pPr>
      <w:r>
        <w:rPr>
          <w:rFonts w:ascii="Verdana" w:hAnsi="Verdana"/>
          <w:b/>
          <w:color w:val="000000"/>
          <w:sz w:val="16"/>
          <w:szCs w:val="16"/>
        </w:rPr>
        <w:t>Documentación a presentar para la acreditación del pago:</w:t>
      </w:r>
    </w:p>
    <w:p>
      <w:pPr>
        <w:pStyle w:val="Normal"/>
        <w:jc w:val="both"/>
        <w:rPr>
          <w:rFonts w:ascii="Verdana" w:hAnsi="Verdana"/>
          <w:sz w:val="16"/>
          <w:szCs w:val="16"/>
        </w:rPr>
      </w:pPr>
      <w:r>
        <w:rPr>
          <w:rFonts w:ascii="Verdana" w:hAnsi="Verdana"/>
          <w:b w:val="false"/>
          <w:bCs w:val="false"/>
          <w:color w:val="000000"/>
          <w:sz w:val="16"/>
          <w:szCs w:val="16"/>
        </w:rPr>
        <w:t>-C</w:t>
      </w:r>
      <w:r>
        <w:rPr>
          <w:rFonts w:ascii="Verdana" w:hAnsi="Verdana"/>
          <w:color w:val="000000"/>
          <w:sz w:val="16"/>
          <w:szCs w:val="16"/>
        </w:rPr>
        <w:t>ada uno de los documentos de gasto debe acreditar de forma inequívoca que ha sido pagado por cualquiera de estos medios: Mediante “recibí” con firma, fecha y sello del emisor en la propia factura o mediante recibo de la empresa emisora, cuando el pago se realice en metálico (sólo se admite para pagos no superiores a 150 €), o mediante transferencia bancaria o adeudo bancario que permita identificar el gasto concreto al que corresponde. Los cheques, pagarés o talones deberán acompañarse del adeudo o extracto de cuenta bancaria que permita acreditar los movimientos de la misma, identificando el gasto.</w:t>
      </w:r>
    </w:p>
    <w:p>
      <w:pPr>
        <w:pStyle w:val="Normal"/>
        <w:jc w:val="both"/>
        <w:rPr>
          <w:rFonts w:ascii="Verdana" w:hAnsi="Verdana"/>
          <w:sz w:val="16"/>
          <w:szCs w:val="16"/>
        </w:rPr>
      </w:pPr>
      <w:r>
        <w:rPr>
          <w:rFonts w:ascii="Verdana" w:hAnsi="Verdana"/>
          <w:color w:val="000000"/>
          <w:sz w:val="16"/>
          <w:szCs w:val="16"/>
        </w:rPr>
        <w:t>-Para los pagos que se hayan realizado mediante transferencia bancaria, y se trate de un pago parcial. el sumatorio de los documentos de pago correspondientes deberá coincidir con el total de la factura.</w:t>
      </w:r>
    </w:p>
    <w:p>
      <w:pPr>
        <w:pStyle w:val="Normal"/>
        <w:jc w:val="both"/>
        <w:rPr>
          <w:rFonts w:ascii="Verdana" w:hAnsi="Verdana"/>
          <w:sz w:val="16"/>
          <w:szCs w:val="16"/>
        </w:rPr>
      </w:pPr>
      <w:r>
        <w:rPr>
          <w:rFonts w:cs="Verdana" w:ascii="Verdana" w:hAnsi="Verdana"/>
          <w:color w:val="000000"/>
          <w:sz w:val="16"/>
          <w:szCs w:val="16"/>
          <w:shd w:fill="auto" w:val="clear"/>
        </w:rPr>
        <w:t>-</w:t>
      </w:r>
      <w:r>
        <w:rPr>
          <w:rFonts w:cs="Verdana" w:ascii="Verdana" w:hAnsi="Verdana"/>
          <w:sz w:val="16"/>
          <w:szCs w:val="16"/>
          <w:shd w:fill="auto" w:val="clear"/>
        </w:rPr>
        <w:t>Asimismo,</w:t>
      </w:r>
      <w:r>
        <w:rPr>
          <w:rFonts w:cs="Verdana" w:ascii="Verdana" w:hAnsi="Verdana"/>
          <w:sz w:val="16"/>
          <w:szCs w:val="16"/>
        </w:rPr>
        <w:t xml:space="preserve"> a la finalización del plazo de presentación de la justificación, 31 de enero de 2025, la entidad deberá </w:t>
      </w:r>
      <w:r>
        <w:rPr>
          <w:rFonts w:eastAsia="Calibri" w:cs="" w:ascii="Verdana" w:hAnsi="Verdana"/>
          <w:color w:val="000000"/>
          <w:kern w:val="0"/>
          <w:sz w:val="16"/>
          <w:szCs w:val="16"/>
          <w:lang w:val="es-ES" w:eastAsia="en-US" w:bidi="ar-SA"/>
        </w:rPr>
        <w:t>presentar, además de una Memoria económica final,  una Memoria de actuación anual justificativa del cumplimiento de las condiciones impuestas en la concesión de la subvención, con indicación de las actividades realizadas, de los resultados obtenidos y de la aplicación de los fondos recibidos que permita el seguimiento y evaluación del desarrollo de las acciones que se financien mediante el presente convenio.</w:t>
      </w:r>
      <w:r>
        <w:rPr>
          <w:rFonts w:cs="Verdana" w:ascii="Verdana" w:hAnsi="Verdana"/>
          <w:sz w:val="16"/>
          <w:szCs w:val="16"/>
        </w:rPr>
        <w:t xml:space="preserve"> </w:t>
      </w:r>
    </w:p>
    <w:p>
      <w:pPr>
        <w:pStyle w:val="BodyTextIndent"/>
        <w:spacing w:lineRule="auto" w:line="276" w:before="0" w:after="113"/>
        <w:ind w:hanging="0" w:left="283" w:right="0"/>
        <w:rPr>
          <w:rFonts w:ascii="Verdana" w:hAnsi="Verdana" w:cs="Verdana"/>
          <w:sz w:val="16"/>
          <w:szCs w:val="16"/>
        </w:rPr>
      </w:pPr>
      <w:r>
        <w:rPr>
          <w:rFonts w:cs="Verdana" w:ascii="Verdana" w:hAnsi="Verdana"/>
          <w:sz w:val="16"/>
          <w:szCs w:val="16"/>
        </w:rPr>
        <w:t>En dicha memoria deben desarrollarse, al menos, los siguientes apartados:</w:t>
      </w:r>
    </w:p>
    <w:p>
      <w:pPr>
        <w:pStyle w:val="BodyTextIndent"/>
        <w:numPr>
          <w:ilvl w:val="0"/>
          <w:numId w:val="6"/>
        </w:numPr>
        <w:spacing w:lineRule="auto" w:line="276" w:before="0" w:after="57"/>
        <w:ind w:hanging="363" w:left="737" w:right="283"/>
        <w:jc w:val="both"/>
        <w:rPr>
          <w:rFonts w:ascii="Verdana" w:hAnsi="Verdana" w:cs="Verdana"/>
          <w:sz w:val="16"/>
          <w:szCs w:val="16"/>
        </w:rPr>
      </w:pPr>
      <w:r>
        <w:rPr>
          <w:rFonts w:cs="Verdana" w:ascii="Verdana" w:hAnsi="Verdana"/>
          <w:sz w:val="16"/>
          <w:szCs w:val="16"/>
        </w:rPr>
        <w:t>Identificación de la/s persona/s responsable/s del proyecto</w:t>
      </w:r>
    </w:p>
    <w:p>
      <w:pPr>
        <w:pStyle w:val="BodyTextIndent"/>
        <w:numPr>
          <w:ilvl w:val="0"/>
          <w:numId w:val="7"/>
        </w:numPr>
        <w:spacing w:lineRule="auto" w:line="276" w:before="0" w:after="57"/>
        <w:ind w:hanging="363" w:left="737" w:right="283"/>
        <w:jc w:val="both"/>
        <w:rPr>
          <w:rFonts w:ascii="Verdana" w:hAnsi="Verdana" w:cs="Verdana"/>
          <w:sz w:val="16"/>
          <w:szCs w:val="16"/>
        </w:rPr>
      </w:pPr>
      <w:r>
        <w:rPr>
          <w:rFonts w:cs="Verdana" w:ascii="Verdana" w:hAnsi="Verdana"/>
          <w:sz w:val="16"/>
          <w:szCs w:val="16"/>
        </w:rPr>
        <w:t>Actuaciones desarrolladas conforme al proyectos presentado.</w:t>
      </w:r>
    </w:p>
    <w:p>
      <w:pPr>
        <w:pStyle w:val="BodyTextIndent"/>
        <w:spacing w:lineRule="auto" w:line="276" w:before="0" w:after="57"/>
        <w:ind w:hanging="0" w:left="737" w:right="283"/>
        <w:jc w:val="both"/>
        <w:rPr/>
      </w:pPr>
      <w:r>
        <w:rPr>
          <w:rFonts w:cs="Verdana" w:ascii="Verdana" w:hAnsi="Verdana"/>
          <w:sz w:val="16"/>
          <w:szCs w:val="16"/>
        </w:rPr>
        <w:t>En este apartado, se indicarán las actividades, cuantificando los/as beneficiarios/as y relacionando los medios empleados para su desarrollo</w:t>
      </w:r>
      <w:r>
        <w:rPr>
          <w:rFonts w:cs="Verdana" w:ascii="Verdana" w:hAnsi="Verdana"/>
          <w:b w:val="false"/>
          <w:bCs w:val="false"/>
          <w:sz w:val="16"/>
          <w:szCs w:val="16"/>
        </w:rPr>
        <w:t>, debiendo quedar suficientemente acreditado que los gastos imputados a la subvención se corresponden con las actuaciones llevadas a cabo en el marco del proyecto subvencionado, y que el importe de la subvención no es destinado a la financiación de gastos ajenos al proyecto.</w:t>
      </w:r>
    </w:p>
    <w:p>
      <w:pPr>
        <w:pStyle w:val="BodyTextIndent"/>
        <w:numPr>
          <w:ilvl w:val="0"/>
          <w:numId w:val="8"/>
        </w:numPr>
        <w:spacing w:lineRule="auto" w:line="276" w:before="0" w:after="57"/>
        <w:ind w:hanging="363" w:left="737" w:right="283"/>
        <w:jc w:val="both"/>
        <w:rPr>
          <w:rFonts w:ascii="Verdana" w:hAnsi="Verdana" w:cs="Verdana"/>
          <w:sz w:val="16"/>
          <w:szCs w:val="16"/>
        </w:rPr>
      </w:pPr>
      <w:r>
        <w:rPr>
          <w:rFonts w:cs="Verdana" w:ascii="Verdana" w:hAnsi="Verdana"/>
          <w:sz w:val="16"/>
          <w:szCs w:val="16"/>
        </w:rPr>
        <w:t xml:space="preserve">Resultados obtenidos en base a los objetivos previstos. Indicadores que permitan evaluar las actuaciones realizadas. </w:t>
      </w:r>
    </w:p>
    <w:p>
      <w:pPr>
        <w:pStyle w:val="BodyTextIndent"/>
        <w:numPr>
          <w:ilvl w:val="0"/>
          <w:numId w:val="9"/>
        </w:numPr>
        <w:spacing w:lineRule="auto" w:line="276" w:before="0" w:after="57"/>
        <w:ind w:hanging="363" w:left="737" w:right="283"/>
        <w:jc w:val="both"/>
        <w:rPr>
          <w:rFonts w:ascii="Verdana" w:hAnsi="Verdana" w:cs="Verdana"/>
          <w:sz w:val="16"/>
          <w:szCs w:val="16"/>
        </w:rPr>
      </w:pPr>
      <w:r>
        <w:rPr>
          <w:rFonts w:cs="Verdana" w:ascii="Verdana" w:hAnsi="Verdana"/>
          <w:sz w:val="16"/>
          <w:szCs w:val="16"/>
        </w:rPr>
        <w:t>Infraestructura utilizada.</w:t>
      </w:r>
    </w:p>
    <w:p>
      <w:pPr>
        <w:pStyle w:val="BodyTextIndent"/>
        <w:numPr>
          <w:ilvl w:val="0"/>
          <w:numId w:val="10"/>
        </w:numPr>
        <w:spacing w:lineRule="auto" w:line="276" w:before="0" w:after="57"/>
        <w:ind w:hanging="363" w:left="737" w:right="283"/>
        <w:jc w:val="both"/>
        <w:rPr>
          <w:rFonts w:ascii="Verdana" w:hAnsi="Verdana" w:cs="Verdana"/>
          <w:sz w:val="16"/>
          <w:szCs w:val="16"/>
        </w:rPr>
      </w:pPr>
      <w:r>
        <w:rPr>
          <w:rFonts w:cs="Verdana" w:ascii="Verdana" w:hAnsi="Verdana"/>
          <w:sz w:val="16"/>
          <w:szCs w:val="16"/>
        </w:rPr>
        <w:t>Recursos humanos empleados.</w:t>
      </w:r>
    </w:p>
    <w:p>
      <w:pPr>
        <w:pStyle w:val="BodyTextIndent"/>
        <w:numPr>
          <w:ilvl w:val="0"/>
          <w:numId w:val="11"/>
        </w:numPr>
        <w:spacing w:lineRule="auto" w:line="276" w:before="0" w:after="57"/>
        <w:ind w:hanging="363" w:left="737" w:right="283"/>
        <w:jc w:val="both"/>
        <w:rPr>
          <w:rFonts w:ascii="Verdana" w:hAnsi="Verdana" w:eastAsia="Calibri" w:cs="Verdana"/>
          <w:sz w:val="16"/>
          <w:szCs w:val="16"/>
          <w:shd w:fill="auto" w:val="clear"/>
        </w:rPr>
      </w:pPr>
      <w:r>
        <w:rPr>
          <w:rFonts w:cs="Verdana" w:ascii="Verdana" w:hAnsi="Verdana"/>
          <w:sz w:val="16"/>
          <w:szCs w:val="16"/>
        </w:rPr>
        <w:t>Evaluación y medición de resultados.</w:t>
      </w:r>
    </w:p>
    <w:p>
      <w:pPr>
        <w:pStyle w:val="BodyTextIndent"/>
        <w:numPr>
          <w:ilvl w:val="0"/>
          <w:numId w:val="5"/>
        </w:numPr>
        <w:spacing w:lineRule="auto" w:line="276" w:before="0" w:after="113"/>
        <w:ind w:hanging="363" w:left="737" w:right="283"/>
        <w:jc w:val="both"/>
        <w:rPr>
          <w:rFonts w:ascii="Verdana" w:hAnsi="Verdana" w:cs="Verdana"/>
          <w:sz w:val="16"/>
          <w:szCs w:val="16"/>
        </w:rPr>
      </w:pPr>
      <w:r>
        <w:rPr>
          <w:rFonts w:eastAsia="Calibri" w:cs="Verdana" w:ascii="Verdana" w:hAnsi="Verdana"/>
          <w:color w:val="000000"/>
          <w:sz w:val="16"/>
          <w:szCs w:val="16"/>
          <w:shd w:fill="auto" w:val="clear"/>
        </w:rPr>
        <w:t>Constar expresamente que ha sido cumplida la finalidad para la cual se otorgó la subvención.</w:t>
      </w:r>
    </w:p>
    <w:p>
      <w:pPr>
        <w:pStyle w:val="BodyTextIndent"/>
        <w:spacing w:lineRule="auto" w:line="276" w:before="0" w:after="170"/>
        <w:ind w:hanging="0" w:left="0" w:right="0"/>
        <w:jc w:val="both"/>
        <w:rPr>
          <w:rFonts w:ascii="Verdana" w:hAnsi="Verdana"/>
          <w:sz w:val="16"/>
          <w:szCs w:val="16"/>
        </w:rPr>
      </w:pPr>
      <w:r>
        <w:rPr>
          <w:rFonts w:ascii="Verdana" w:hAnsi="Verdana"/>
          <w:color w:val="000000"/>
          <w:sz w:val="16"/>
          <w:szCs w:val="16"/>
        </w:rPr>
        <w:t>-Con carácter general, el Servicio de Promoción, Desarrollo e Innovación podrá requerir en todo momento la información complementaria que se considere necesaria para acreditar el exacto cumplimiento de las condiciones exigidas en el presente convenio de colaboración.</w:t>
      </w:r>
    </w:p>
    <w:p>
      <w:pPr>
        <w:pStyle w:val="Normal"/>
        <w:spacing w:lineRule="auto" w:line="276" w:before="0" w:after="57"/>
        <w:jc w:val="both"/>
        <w:rPr>
          <w:rFonts w:ascii="Verdana" w:hAnsi="Verdana"/>
          <w:sz w:val="16"/>
          <w:szCs w:val="16"/>
        </w:rPr>
      </w:pPr>
      <w:r>
        <w:rPr>
          <w:rFonts w:ascii="Verdana" w:hAnsi="Verdana"/>
          <w:b/>
          <w:sz w:val="16"/>
          <w:szCs w:val="16"/>
        </w:rPr>
        <w:t>SÉPTIMA.-PLAZO PARA LA JUSTIFICACIÓN Y LUGAR DE PRESENTACIÓN DE LA DOCUMENTACIÓN</w:t>
      </w:r>
    </w:p>
    <w:p>
      <w:pPr>
        <w:pStyle w:val="Normal"/>
        <w:spacing w:lineRule="auto" w:line="276" w:before="0" w:after="0"/>
        <w:jc w:val="both"/>
        <w:rPr/>
      </w:pPr>
      <w:r>
        <w:rPr>
          <w:rFonts w:cs="Verdana" w:ascii="Verdana" w:hAnsi="Verdana"/>
          <w:color w:val="000000"/>
          <w:sz w:val="16"/>
          <w:szCs w:val="16"/>
        </w:rPr>
        <w:t xml:space="preserve">La documentación relacionada en la cláusula anterior y justificativa del gasto financiado deberá presentarse en el orden indicado en el listado o relación de documentos que se aporte en el plazo máximo de </w:t>
      </w:r>
      <w:r>
        <w:rPr>
          <w:rFonts w:cs="Verdana" w:ascii="Verdana" w:hAnsi="Verdana"/>
          <w:b/>
          <w:color w:val="000000"/>
          <w:sz w:val="16"/>
          <w:szCs w:val="16"/>
        </w:rPr>
        <w:t>un mes</w:t>
      </w:r>
      <w:r>
        <w:rPr>
          <w:rFonts w:cs="Verdana" w:ascii="Verdana" w:hAnsi="Verdana"/>
          <w:color w:val="000000"/>
          <w:sz w:val="16"/>
          <w:szCs w:val="16"/>
        </w:rPr>
        <w:t xml:space="preserve"> desde la finalización del proyecto, siendo en todo caso el plazo límite de presentación,</w:t>
      </w:r>
      <w:r>
        <w:rPr>
          <w:rFonts w:eastAsia="Times New Roman" w:cs="Verdana" w:ascii="Verdana" w:hAnsi="Verdana"/>
          <w:color w:val="000000"/>
          <w:kern w:val="0"/>
          <w:sz w:val="16"/>
          <w:szCs w:val="16"/>
          <w:lang w:val="es-ES" w:eastAsia="zh-CN" w:bidi="ar-SA"/>
        </w:rPr>
        <w:t xml:space="preserve"> a efectos de realizar el pago</w:t>
      </w:r>
      <w:r>
        <w:rPr>
          <w:rFonts w:eastAsia="Times New Roman" w:cs="Verdana" w:ascii="Verdana" w:hAnsi="Verdana"/>
          <w:color w:val="000000"/>
          <w:kern w:val="0"/>
          <w:sz w:val="16"/>
          <w:szCs w:val="16"/>
          <w:shd w:fill="auto" w:val="clear"/>
          <w:lang w:val="es-ES" w:eastAsia="zh-CN" w:bidi="ar-SA"/>
        </w:rPr>
        <w:t xml:space="preserve"> de la subvención antes de la finalización del ejercicio, </w:t>
      </w:r>
      <w:r>
        <w:rPr>
          <w:rFonts w:cs="Verdana" w:ascii="Verdana" w:hAnsi="Verdana"/>
          <w:b w:val="false"/>
          <w:bCs w:val="false"/>
          <w:color w:val="000000"/>
          <w:sz w:val="16"/>
          <w:szCs w:val="16"/>
          <w:shd w:fill="FFFF00" w:val="clear"/>
        </w:rPr>
        <w:t>el</w:t>
      </w:r>
      <w:r>
        <w:rPr>
          <w:rFonts w:cs="Verdana" w:ascii="Verdana" w:hAnsi="Verdana"/>
          <w:b/>
          <w:color w:val="000000"/>
          <w:sz w:val="16"/>
          <w:szCs w:val="16"/>
          <w:shd w:fill="FFFF00" w:val="clear"/>
        </w:rPr>
        <w:t xml:space="preserve"> </w:t>
      </w:r>
      <w:r>
        <w:rPr>
          <w:rFonts w:cs="Verdana" w:ascii="Verdana" w:hAnsi="Verdana"/>
          <w:b/>
          <w:bCs/>
          <w:color w:val="000000"/>
          <w:sz w:val="16"/>
          <w:szCs w:val="16"/>
          <w:shd w:fill="FFFF00" w:val="clear"/>
        </w:rPr>
        <w:t>10 de diciembre de 2024, con la excepción prevista en el apartado 2 de la cláusula sexta</w:t>
      </w:r>
      <w:r>
        <w:rPr>
          <w:rFonts w:cs="Verdana" w:ascii="Verdana" w:hAnsi="Verdana"/>
          <w:b/>
          <w:bCs/>
          <w:color w:val="000000"/>
          <w:sz w:val="16"/>
          <w:szCs w:val="16"/>
          <w:shd w:fill="auto" w:val="clear"/>
        </w:rPr>
        <w:t xml:space="preserve"> </w:t>
      </w:r>
      <w:r>
        <w:rPr>
          <w:rFonts w:cs="Verdana" w:ascii="Verdana" w:hAnsi="Verdana"/>
          <w:b w:val="false"/>
          <w:bCs w:val="false"/>
          <w:color w:val="000000"/>
          <w:sz w:val="16"/>
          <w:szCs w:val="16"/>
          <w:shd w:fill="auto" w:val="clear"/>
        </w:rPr>
        <w:t>(</w:t>
      </w:r>
      <w:r>
        <w:rPr>
          <w:rFonts w:eastAsia="Times New Roman" w:cs="Verdana" w:ascii="Verdana" w:hAnsi="Verdana"/>
          <w:b w:val="false"/>
          <w:bCs w:val="false"/>
          <w:color w:val="000000"/>
          <w:kern w:val="0"/>
          <w:sz w:val="16"/>
          <w:szCs w:val="16"/>
          <w:u w:val="none"/>
          <w:shd w:fill="auto" w:val="clear"/>
          <w:lang w:val="es-ES" w:eastAsia="zh-CN" w:bidi="ar-SA"/>
        </w:rPr>
        <w:t>justificación completa del gasto incluido en la declaración responsable, Memoria final de actuación y relación definitiva del gasto total del proyecto presentado</w:t>
      </w:r>
      <w:r>
        <w:rPr>
          <w:rFonts w:eastAsia="Times New Roman" w:cs="Verdana" w:ascii="Verdana" w:hAnsi="Verdana"/>
          <w:b w:val="false"/>
          <w:bCs w:val="false"/>
          <w:color w:val="000000"/>
          <w:kern w:val="0"/>
          <w:sz w:val="16"/>
          <w:szCs w:val="16"/>
          <w:shd w:fill="auto" w:val="clear"/>
          <w:lang w:val="es-ES" w:eastAsia="zh-CN" w:bidi="ar-SA"/>
        </w:rPr>
        <w:t>)</w:t>
      </w:r>
      <w:r>
        <w:rPr>
          <w:rFonts w:cs="Verdana" w:ascii="Verdana" w:hAnsi="Verdana"/>
          <w:b w:val="false"/>
          <w:bCs w:val="false"/>
          <w:color w:val="000000"/>
          <w:sz w:val="16"/>
          <w:szCs w:val="16"/>
          <w:shd w:fill="auto" w:val="clear"/>
        </w:rPr>
        <w:t>.</w:t>
      </w:r>
    </w:p>
    <w:p>
      <w:pPr>
        <w:pStyle w:val="Normal"/>
        <w:spacing w:lineRule="auto" w:line="276" w:before="171" w:after="171"/>
        <w:jc w:val="both"/>
        <w:rPr>
          <w:rFonts w:ascii="Verdana" w:hAnsi="Verdana" w:cs="Verdana"/>
          <w:color w:val="000000"/>
          <w:sz w:val="16"/>
          <w:szCs w:val="16"/>
        </w:rPr>
      </w:pPr>
      <w:r>
        <w:rPr>
          <w:rFonts w:cs="Verdana" w:ascii="Verdana" w:hAnsi="Verdana"/>
          <w:color w:val="000000"/>
          <w:sz w:val="16"/>
          <w:szCs w:val="16"/>
        </w:rPr>
        <w:t xml:space="preserve">Dicha documentación se presentará a través de la Sede Electrónica 24 h (Oficina Virtual) de la web municipal (www.gijon.es) o por cualesquiera de los medios regulados en el artículo 16 de la Ley 39/2015, de 1 de octubre, del Procedimiento Administrativo Común. </w:t>
      </w:r>
    </w:p>
    <w:p>
      <w:pPr>
        <w:pStyle w:val="Normal"/>
        <w:spacing w:lineRule="auto" w:line="276" w:before="114" w:after="170"/>
        <w:jc w:val="both"/>
        <w:rPr>
          <w:rFonts w:ascii="Verdana" w:hAnsi="Verdana" w:cs="Verdana"/>
          <w:color w:val="000000"/>
          <w:sz w:val="16"/>
          <w:szCs w:val="16"/>
        </w:rPr>
      </w:pPr>
      <w:r>
        <w:rPr>
          <w:rFonts w:eastAsia="Calibri" w:cs="Verdana" w:ascii="Verdana" w:hAnsi="Verdana"/>
          <w:b w:val="false"/>
          <w:bCs w:val="false"/>
          <w:color w:val="000000"/>
          <w:kern w:val="0"/>
          <w:sz w:val="16"/>
          <w:szCs w:val="16"/>
          <w:lang w:val="es-ES" w:eastAsia="en-US" w:bidi="ar-SA"/>
        </w:rPr>
        <w:t>Posteriormente, podrá requerirse la presentación de la documentación original para su compulsa y estampillado por el servicio gestor, indicando en la estampilla la subvención para cuya justificación ha sido presentada y si el importe del justificante se imputa total o parcialmente a la subvención.</w:t>
      </w:r>
    </w:p>
    <w:p>
      <w:pPr>
        <w:pStyle w:val="Normal"/>
        <w:spacing w:lineRule="auto" w:line="276" w:before="0" w:after="57"/>
        <w:jc w:val="both"/>
        <w:rPr>
          <w:rFonts w:ascii="Verdana" w:hAnsi="Verdana"/>
          <w:sz w:val="16"/>
          <w:szCs w:val="16"/>
        </w:rPr>
      </w:pPr>
      <w:r>
        <w:rPr>
          <w:rFonts w:ascii="Verdana" w:hAnsi="Verdana"/>
          <w:b/>
          <w:sz w:val="16"/>
          <w:szCs w:val="16"/>
        </w:rPr>
        <w:t>OCTAVA.- PUBLICIDAD Y DIFUSIÓN DEL CONVENIO EN LA BASE DE DATOS NACIONAL DE SUBVENCIONES</w:t>
      </w:r>
    </w:p>
    <w:p>
      <w:pPr>
        <w:pStyle w:val="Normal"/>
        <w:spacing w:lineRule="auto" w:line="276" w:before="0" w:after="113"/>
        <w:jc w:val="both"/>
        <w:rPr>
          <w:rFonts w:ascii="Verdana" w:hAnsi="Verdana"/>
          <w:sz w:val="16"/>
          <w:szCs w:val="16"/>
        </w:rPr>
      </w:pPr>
      <w:r>
        <w:rPr>
          <w:rFonts w:ascii="Verdana" w:hAnsi="Verdana"/>
          <w:sz w:val="16"/>
          <w:szCs w:val="16"/>
        </w:rPr>
        <w:t>La publicidad de la presente subvención nominativa, se realizará a través de la Base de Datos Nacional de Subvenciones (BDNS), en cumplimiento de lo establecido en los artículos 18 y 20 de la Ley General de Subvenciones, en su redacción dada tras las modificaciones introducidas por la Ley 19/2013 de 9 de diciembre de transparencia, acceso a la información pública y buen gobierno, así como por la Ley 15/2014, de 16 de septiembre, de racionalización del Sector Público y otras medidas de reforma administrativa.</w:t>
      </w:r>
    </w:p>
    <w:p>
      <w:pPr>
        <w:pStyle w:val="BodyText"/>
        <w:spacing w:lineRule="auto" w:line="276" w:before="0" w:after="113"/>
        <w:jc w:val="both"/>
        <w:rPr>
          <w:rFonts w:asciiTheme="minorHAnsi" w:cstheme="minorBidi" w:eastAsiaTheme="minorHAnsi" w:hAnsiTheme="minorHAnsi"/>
          <w:highlight w:val="none"/>
          <w:shd w:fill="FFFF00" w:val="clear"/>
        </w:rPr>
      </w:pPr>
      <w:r>
        <w:rPr>
          <w:rFonts w:asciiTheme="minorHAnsi" w:cstheme="minorBidi" w:eastAsiaTheme="minorHAnsi" w:hAnsiTheme="minorHAnsi" w:ascii="Verdana" w:hAnsi="Verdana"/>
          <w:sz w:val="16"/>
          <w:szCs w:val="16"/>
          <w:shd w:fill="FFFF00" w:val="clear"/>
        </w:rPr>
        <w:t xml:space="preserve">La BDNS, comunicará al Boletín Oficial del Principado de Asturias un extracto del convenio de colaboración, y una vez que aquella tenga constancia de la publicación de dicho extracto o en todo caso, transcurridas 72 horas desde que se ponga a disposición del mismo, la BNDS ofrecerá toda la información referente a la subvención nominativa, a través del Sistema Nacional de Publicidad. </w:t>
      </w:r>
    </w:p>
    <w:p>
      <w:pPr>
        <w:pStyle w:val="BodyText"/>
        <w:spacing w:lineRule="auto" w:line="276" w:before="0" w:after="113"/>
        <w:jc w:val="both"/>
        <w:rPr>
          <w:rFonts w:ascii="Verdana" w:hAnsi="Verdana"/>
          <w:sz w:val="16"/>
          <w:szCs w:val="16"/>
        </w:rPr>
      </w:pPr>
      <w:r>
        <w:rPr>
          <w:rFonts w:ascii="Verdana" w:hAnsi="Verdana"/>
          <w:sz w:val="16"/>
          <w:szCs w:val="16"/>
        </w:rPr>
        <w:t>Asimismo, se remitirá a la Base de Datos Nacional de Subvenciones la información relativa no solo a la concesión de las subvenciones, sino que también del pago y, en su caso, la devolución, reintegro, sanción, inhabilitación; de forma continuada a medida que se vayan produciendo los actos.</w:t>
      </w:r>
    </w:p>
    <w:p>
      <w:pPr>
        <w:pStyle w:val="Normal"/>
        <w:spacing w:lineRule="auto" w:line="276" w:before="0" w:after="170"/>
        <w:jc w:val="both"/>
        <w:rPr>
          <w:rFonts w:ascii="Verdana" w:hAnsi="Verdana"/>
          <w:sz w:val="16"/>
          <w:szCs w:val="16"/>
        </w:rPr>
      </w:pPr>
      <w:r>
        <w:rPr>
          <w:rFonts w:ascii="Verdana" w:hAnsi="Verdana"/>
          <w:sz w:val="16"/>
          <w:szCs w:val="16"/>
        </w:rPr>
        <w:t>Todo ello sin perjuicio de la publicación en la página web del Ayuntamiento de Gijón/Xixón y en otros medios establecidos al efecto de garantizar la información y transparencia de las subvenciones municipales</w:t>
      </w:r>
      <w:r>
        <w:rPr>
          <w:rFonts w:ascii="Verdana" w:hAnsi="Verdana"/>
          <w:b/>
          <w:sz w:val="16"/>
          <w:szCs w:val="16"/>
        </w:rPr>
        <w:t>.</w:t>
      </w:r>
    </w:p>
    <w:p>
      <w:pPr>
        <w:pStyle w:val="Normal"/>
        <w:spacing w:lineRule="auto" w:line="276" w:before="0" w:after="57"/>
        <w:jc w:val="both"/>
        <w:rPr>
          <w:rFonts w:ascii="Verdana" w:hAnsi="Verdana"/>
          <w:sz w:val="16"/>
          <w:szCs w:val="16"/>
        </w:rPr>
      </w:pPr>
      <w:r>
        <w:rPr>
          <w:rFonts w:ascii="Verdana" w:hAnsi="Verdana"/>
          <w:b/>
          <w:sz w:val="16"/>
          <w:szCs w:val="16"/>
        </w:rPr>
        <w:t>NOVENA.- PUBLICIDAD Y DIFUSIÓN</w:t>
      </w:r>
    </w:p>
    <w:p>
      <w:pPr>
        <w:pStyle w:val="Normal"/>
        <w:spacing w:lineRule="auto" w:line="276" w:before="0" w:after="113"/>
        <w:jc w:val="both"/>
        <w:rPr/>
      </w:pPr>
      <w:r>
        <w:rPr>
          <w:rFonts w:eastAsia="Times New Roman" w:cs="Verdana" w:ascii="Verdana" w:hAnsi="Verdana"/>
          <w:b w:val="false"/>
          <w:bCs w:val="false"/>
          <w:color w:val="000000"/>
          <w:kern w:val="0"/>
          <w:sz w:val="16"/>
          <w:szCs w:val="16"/>
          <w:lang w:val="es-ES" w:eastAsia="es-ES" w:bidi="ar-SA"/>
        </w:rPr>
        <w:t>De conformidad con lo dispuesto en el artículo 11.l de la Ordenanza General de Subvenciones del Ayuntamiento de Gijón/Xixón, aprobada por el Ayuntamiento pleno en sesión ordinaria celebrada el 14 de diciembre de 2022 (BOPA n.º 40 de 28/02/2023), se deberán adoptar medidas de difusión del carácter público de la financiación del programa, actividad, inversión o actuación subvencionada, adecuadas al objeto subvencionado tanto en su forma como en su duración, así como la inclusión de la imagen institucional del Ayuntamiento de Gijón/Xixón o sus organismos públicos o leyendas relativas a su financiación pública en carteles, placas conmemorativas, materiales impresos, medios electrónicos o audiovisuales, o menciones realizadas en medios de comunicación y, con análoga relevancia, respecto a otras fuentes de financiación en los términos previstos en el convenio.</w:t>
      </w:r>
    </w:p>
    <w:p>
      <w:pPr>
        <w:pStyle w:val="Normal"/>
        <w:spacing w:lineRule="auto" w:line="276" w:before="0" w:after="113"/>
        <w:jc w:val="both"/>
        <w:rPr/>
      </w:pPr>
      <w:r>
        <w:rPr>
          <w:rFonts w:cs="Verdana" w:ascii="Verdana" w:hAnsi="Verdana"/>
          <w:color w:val="000000"/>
          <w:sz w:val="16"/>
        </w:rPr>
        <w:t xml:space="preserve">Las partes firmantes del convenio, se compromenten a llevar a cabo campañas de promoción de los programas que desarrollen. </w:t>
      </w:r>
    </w:p>
    <w:p>
      <w:pPr>
        <w:pStyle w:val="Normal"/>
        <w:spacing w:lineRule="auto" w:line="276" w:before="0" w:after="113"/>
        <w:jc w:val="both"/>
        <w:rPr/>
      </w:pPr>
      <w:r>
        <w:rPr>
          <w:rFonts w:cs="Verdana" w:ascii="Verdana" w:hAnsi="Verdana"/>
          <w:color w:val="000000"/>
          <w:sz w:val="16"/>
        </w:rPr>
        <w:t xml:space="preserve">La entidad beneficiaria, deberá adoptar medidas de difusión del carácter publico de la financiación del programa, adecuadas al objeto subvencionado tanto en su forma como en su duración, así como la inclusión de la imagen institucional del Ayuntamiento de Gijón/Xixón (logotipo) o leyendas relativas a su financiación pública en carteles, placas conmemorativas, materiales impresos, medios electrónicos o audiovisuales, o menciones realizadas en medios de comunicación y, con análoga relevancia, respecto a otras fuentes de financiación , ademas de dar publicidad en los términos y condiciones establecidos en la legislación estatal y autonómica de transparencia, acceso a la información pública y buen gobierno </w:t>
      </w:r>
      <w:r>
        <w:rPr>
          <w:rFonts w:eastAsia="Times New Roman" w:cs="Verdana" w:ascii="Verdana" w:hAnsi="Verdana"/>
          <w:b w:val="false"/>
          <w:bCs w:val="false"/>
          <w:color w:val="000000"/>
          <w:kern w:val="0"/>
          <w:sz w:val="16"/>
          <w:szCs w:val="16"/>
          <w:lang w:val="es-ES" w:eastAsia="es-ES" w:bidi="ar-SA"/>
        </w:rPr>
        <w:t xml:space="preserve">    </w:t>
      </w:r>
    </w:p>
    <w:p>
      <w:pPr>
        <w:pStyle w:val="Normal"/>
        <w:spacing w:lineRule="auto" w:line="276" w:before="0" w:after="113"/>
        <w:jc w:val="both"/>
        <w:rPr/>
      </w:pPr>
      <w:r>
        <w:rPr>
          <w:rFonts w:cs="Verdana" w:ascii="Verdana" w:hAnsi="Verdana"/>
          <w:color w:val="000000"/>
          <w:sz w:val="16"/>
          <w:szCs w:val="16"/>
        </w:rPr>
        <w:t>Asimismo y en tanto se mantenga en vigor la colaboración entre ambas instituciones, el Ayuntamiento de Gijón/Xixón podrá publicar o difundir los informes y memorias que sean remitidos por la C</w:t>
      </w:r>
      <w:r>
        <w:rPr>
          <w:rFonts w:ascii="Verdana" w:hAnsi="Verdana"/>
          <w:sz w:val="16"/>
          <w:szCs w:val="16"/>
        </w:rPr>
        <w:t xml:space="preserve">ámara Oficial de Comercio, Industria, Servicios y Navegación de Gijón </w:t>
      </w:r>
      <w:r>
        <w:rPr>
          <w:rFonts w:cs="Verdana" w:ascii="Verdana" w:hAnsi="Verdana"/>
          <w:color w:val="000000"/>
          <w:sz w:val="16"/>
          <w:szCs w:val="16"/>
        </w:rPr>
        <w:t>que versen acerca de los resultados obtenidos a lo largo de la misma.</w:t>
      </w:r>
    </w:p>
    <w:p>
      <w:pPr>
        <w:pStyle w:val="Normal"/>
        <w:spacing w:lineRule="auto" w:line="276" w:before="0" w:after="198"/>
        <w:jc w:val="both"/>
        <w:rPr/>
      </w:pPr>
      <w:r>
        <w:rPr>
          <w:rFonts w:eastAsia="Times New Roman" w:cs="Times New Roman" w:ascii="Verdana" w:hAnsi="Verdana"/>
          <w:b w:val="false"/>
          <w:bCs w:val="false"/>
          <w:color w:val="000000"/>
          <w:kern w:val="0"/>
          <w:sz w:val="16"/>
          <w:szCs w:val="16"/>
          <w:lang w:val="es-ES" w:eastAsia="es-ES" w:bidi="ar-SA"/>
        </w:rPr>
        <w:t>Con carácter previo a la edición de cualquier material divulgativo, la entidad remitirá un ejemplar de muestra al objeto de recabar la conformidad del Ayuntamiento de Gijón/Xixón.</w:t>
      </w:r>
    </w:p>
    <w:p>
      <w:pPr>
        <w:pStyle w:val="Normal"/>
        <w:spacing w:lineRule="auto" w:line="276" w:before="0" w:after="57"/>
        <w:jc w:val="both"/>
        <w:rPr>
          <w:rFonts w:ascii="Verdana" w:hAnsi="Verdana"/>
          <w:sz w:val="16"/>
          <w:szCs w:val="16"/>
        </w:rPr>
      </w:pPr>
      <w:r>
        <w:rPr>
          <w:rFonts w:ascii="Verdana" w:hAnsi="Verdana"/>
          <w:b/>
          <w:sz w:val="16"/>
          <w:szCs w:val="16"/>
        </w:rPr>
        <w:t>DÉCIMA.- OBLIGACIONES EN MATERIA DE TRANSPARENCIA</w:t>
      </w:r>
    </w:p>
    <w:p>
      <w:pPr>
        <w:pStyle w:val="Normal"/>
        <w:spacing w:lineRule="auto" w:line="276" w:before="0" w:after="113"/>
        <w:jc w:val="both"/>
        <w:rPr>
          <w:rFonts w:ascii="Verdana" w:hAnsi="Verdana"/>
          <w:sz w:val="16"/>
          <w:szCs w:val="16"/>
        </w:rPr>
      </w:pPr>
      <w:r>
        <w:rPr>
          <w:rFonts w:eastAsia="Times New Roman" w:cs="Times New Roman" w:ascii="Verdana" w:hAnsi="Verdana"/>
          <w:b w:val="false"/>
          <w:bCs w:val="false"/>
          <w:color w:val="000000"/>
          <w:kern w:val="0"/>
          <w:sz w:val="16"/>
          <w:szCs w:val="16"/>
          <w:lang w:val="es-ES" w:eastAsia="es-ES" w:bidi="ar-SA"/>
        </w:rPr>
        <w:t>De conformidad con lo dispuesto en el artículo 14 de la Ordenanza General de Subvenciones del Ayuntamiento de Gijón/Xixón, aprobada por el Ayuntamiento pleno en sesión ordinaria celebrada el 14 de diciembre de 2022 (BOPA n.º 40 de 28/02/2023), en materia de Publicidad y transparencia de la actividad subvencionada las personas o entidades beneficiarias, sin perjuicio de su deber de difundir el carácter público de la financiación de sus programas, actividades, inversiones o actuaciones en los términos establecidos en el artículo 11.l) de la Ordenanza, deberán dar publicidad a las subvenciones y ayudas percibidas en los términos y condiciones establecidos en la legislación estatal y autonómica de transparencia, acceso a la información pública y buen gobierno. En el caso de que las entidades sin ánimo de lucro hagan uso de la previsión contenida en el artículo 5.4 de la Ley estatal de Transparencia, Acceso a la Información Pública y Buen Gobierno, la Base de Datos Nacional de Subvenciones servirá de medio electrónico para el cumplimiento de las obligaciones de publicidad activa.</w:t>
      </w:r>
    </w:p>
    <w:p>
      <w:pPr>
        <w:pStyle w:val="Normal"/>
        <w:spacing w:lineRule="auto" w:line="276" w:before="0" w:after="113"/>
        <w:jc w:val="both"/>
        <w:rPr>
          <w:rFonts w:ascii="Verdana" w:hAnsi="Verdana"/>
          <w:sz w:val="16"/>
          <w:szCs w:val="16"/>
        </w:rPr>
      </w:pPr>
      <w:r>
        <w:rPr>
          <w:rFonts w:ascii="Verdana" w:hAnsi="Verdana"/>
          <w:color w:val="000000"/>
          <w:sz w:val="16"/>
          <w:szCs w:val="16"/>
        </w:rPr>
        <w:t>Resulta de aplicación la Ley del Principado de Asturias 8/2018, de 14 de septiembre de Transparencia, Buen Gobierno y Grupos de Interés (BOPA de 24/09/2018).</w:t>
      </w:r>
    </w:p>
    <w:p>
      <w:pPr>
        <w:pStyle w:val="Normal"/>
        <w:spacing w:lineRule="auto" w:line="276" w:before="0" w:after="113"/>
        <w:jc w:val="both"/>
        <w:rPr>
          <w:rFonts w:ascii="Verdana" w:hAnsi="Verdana"/>
          <w:sz w:val="16"/>
          <w:szCs w:val="16"/>
        </w:rPr>
      </w:pPr>
      <w:r>
        <w:rPr>
          <w:rFonts w:ascii="Verdana" w:hAnsi="Verdana"/>
          <w:color w:val="000000"/>
          <w:sz w:val="16"/>
          <w:szCs w:val="16"/>
        </w:rPr>
        <w:t xml:space="preserve">De conformidad con lo dispuesto en la en la Ley 19/2013 de 9 de diciembre, de Transparencia, acceso a la información pública y buen gobierno, y a la Ordenanza Municipal, dictada en el ejercicio de la potestad reglamentaria para el desarrollo de la misma (BOPA 28/11/2016): </w:t>
      </w:r>
      <w:r>
        <w:rPr>
          <w:rFonts w:ascii="Verdana" w:hAnsi="Verdana"/>
          <w:i/>
          <w:iCs/>
          <w:color w:val="000000"/>
          <w:sz w:val="16"/>
          <w:szCs w:val="16"/>
        </w:rPr>
        <w:t>“ las entidades privadas que perciban durante el periodo de un año ayudas o subvenciones públicas en una cuantía superior a 100.000 € o cuando al menos el 40% del total de sus ingresos anuales tengan el carácter de ayuda o subvención pública, siempre que alcancen como mínimo la cantidad de 5.000 €”</w:t>
      </w:r>
      <w:r>
        <w:rPr>
          <w:rFonts w:ascii="Verdana" w:hAnsi="Verdana"/>
          <w:color w:val="000000"/>
          <w:sz w:val="16"/>
          <w:szCs w:val="16"/>
        </w:rPr>
        <w:t xml:space="preserve"> , están obligadas a suministrar información según la citada normativa.</w:t>
      </w:r>
    </w:p>
    <w:p>
      <w:pPr>
        <w:pStyle w:val="Normal"/>
        <w:spacing w:lineRule="auto" w:line="276" w:before="0" w:after="113"/>
        <w:jc w:val="both"/>
        <w:rPr>
          <w:rFonts w:ascii="Verdana" w:hAnsi="Verdana"/>
          <w:sz w:val="16"/>
          <w:szCs w:val="16"/>
        </w:rPr>
      </w:pPr>
      <w:r>
        <w:rPr>
          <w:rFonts w:ascii="Verdana" w:hAnsi="Verdana"/>
          <w:color w:val="000000"/>
          <w:sz w:val="16"/>
          <w:szCs w:val="16"/>
        </w:rPr>
        <w:t>Según establecen los artículos 6 y 8 de la referida Ley 19/2013, las entidades beneficiarias que resulten obligadas, deberán elaborar una memoria técnica y económica, que contendrá un índice en el que se referencia toda la información y documentación cuya publicación resulta preceptiva a tenor de lo establecido en los anteriormente citados artículos 6 y 8 de la Ley 19/2013, documentos entre los que cabe destacar:</w:t>
      </w:r>
    </w:p>
    <w:p>
      <w:pPr>
        <w:pStyle w:val="Normal"/>
        <w:spacing w:lineRule="auto" w:line="276" w:before="0" w:after="57"/>
        <w:jc w:val="both"/>
        <w:rPr>
          <w:rFonts w:ascii="Verdana" w:hAnsi="Verdana"/>
          <w:sz w:val="16"/>
          <w:szCs w:val="16"/>
        </w:rPr>
      </w:pPr>
      <w:r>
        <w:rPr>
          <w:rFonts w:ascii="Verdana" w:hAnsi="Verdana"/>
          <w:color w:val="000000"/>
          <w:sz w:val="16"/>
          <w:szCs w:val="16"/>
        </w:rPr>
        <w:t>1. La información relativa a las funciones que desarrolla la entidad, la normativa que les es de aplicación, su estructura organizativa, incluyendo un organigrama actualizado que identifique a los responsables de los diferentes órganos y su perfil y trayectoria profesional.</w:t>
      </w:r>
    </w:p>
    <w:p>
      <w:pPr>
        <w:pStyle w:val="Normal"/>
        <w:spacing w:lineRule="auto" w:line="276" w:before="0" w:after="57"/>
        <w:jc w:val="both"/>
        <w:rPr>
          <w:rFonts w:ascii="Verdana" w:hAnsi="Verdana"/>
          <w:sz w:val="16"/>
          <w:szCs w:val="16"/>
        </w:rPr>
      </w:pPr>
      <w:r>
        <w:rPr>
          <w:rFonts w:ascii="Verdana" w:hAnsi="Verdana"/>
          <w:color w:val="000000"/>
          <w:sz w:val="16"/>
          <w:szCs w:val="16"/>
        </w:rPr>
        <w:t>2. Todos los contratos celebrados con cualquier Administración Pública con indicación del objeto, duración, el importe de licitación y de adjudicación, procedimiento utilizado para su celebración, etc.</w:t>
      </w:r>
    </w:p>
    <w:p>
      <w:pPr>
        <w:pStyle w:val="Normal"/>
        <w:spacing w:lineRule="auto" w:line="276" w:before="0" w:after="57"/>
        <w:jc w:val="both"/>
        <w:rPr>
          <w:rFonts w:ascii="Verdana" w:hAnsi="Verdana"/>
          <w:sz w:val="16"/>
          <w:szCs w:val="16"/>
        </w:rPr>
      </w:pPr>
      <w:r>
        <w:rPr>
          <w:rFonts w:ascii="Verdana" w:hAnsi="Verdana"/>
          <w:color w:val="000000"/>
          <w:sz w:val="16"/>
          <w:szCs w:val="16"/>
        </w:rPr>
        <w:t>3. Las subvenciones y ayudas públicas que le han sido concedidas con indicación de su importe, objetivo o finalidad y beneficiarios.</w:t>
      </w:r>
    </w:p>
    <w:p>
      <w:pPr>
        <w:pStyle w:val="Normal"/>
        <w:spacing w:lineRule="auto" w:line="276" w:before="0" w:after="57"/>
        <w:jc w:val="both"/>
        <w:rPr>
          <w:rFonts w:ascii="Verdana" w:hAnsi="Verdana"/>
          <w:sz w:val="16"/>
          <w:szCs w:val="16"/>
        </w:rPr>
      </w:pPr>
      <w:r>
        <w:rPr>
          <w:rFonts w:ascii="Verdana" w:hAnsi="Verdana"/>
          <w:color w:val="000000"/>
          <w:sz w:val="16"/>
          <w:szCs w:val="16"/>
        </w:rPr>
        <w:t>4. La relación de los convenios suscritos con cualquier Administración Pública, con mención de las partes firmantes, su objeto, plazo de duración, modificaciones realizadas, y obligaciones económicas derivadas de los mismos.</w:t>
      </w:r>
    </w:p>
    <w:p>
      <w:pPr>
        <w:pStyle w:val="Normal"/>
        <w:spacing w:lineRule="auto" w:line="276" w:before="0" w:after="57"/>
        <w:jc w:val="both"/>
        <w:rPr>
          <w:rFonts w:ascii="Verdana" w:hAnsi="Verdana"/>
          <w:sz w:val="16"/>
          <w:szCs w:val="16"/>
        </w:rPr>
      </w:pPr>
      <w:r>
        <w:rPr>
          <w:rFonts w:ascii="Verdana" w:hAnsi="Verdana"/>
          <w:color w:val="000000"/>
          <w:sz w:val="16"/>
          <w:szCs w:val="16"/>
        </w:rPr>
        <w:t>5. Las retribuciones percibidas anualmente por los altos cargos y máximos responsables de las entidades obligadas.</w:t>
      </w:r>
    </w:p>
    <w:p>
      <w:pPr>
        <w:pStyle w:val="Normal"/>
        <w:spacing w:lineRule="auto" w:line="276" w:before="0" w:after="57"/>
        <w:jc w:val="both"/>
        <w:rPr>
          <w:rFonts w:ascii="Verdana" w:hAnsi="Verdana"/>
          <w:sz w:val="16"/>
          <w:szCs w:val="16"/>
        </w:rPr>
      </w:pPr>
      <w:r>
        <w:rPr>
          <w:rFonts w:ascii="Verdana" w:hAnsi="Verdana"/>
          <w:color w:val="000000"/>
          <w:sz w:val="16"/>
          <w:szCs w:val="16"/>
        </w:rPr>
        <w:t>6. El presupuesto anual de la entidad beneficiaria y presupuesto total de la actividad objeto de subvención, con detalle del porcentaje de las ayudas municipales respecto al presupuesto anual de la entidad.</w:t>
      </w:r>
    </w:p>
    <w:p>
      <w:pPr>
        <w:pStyle w:val="Normal"/>
        <w:spacing w:lineRule="auto" w:line="276" w:before="0" w:after="57"/>
        <w:jc w:val="both"/>
        <w:rPr>
          <w:rFonts w:ascii="Verdana" w:hAnsi="Verdana"/>
          <w:sz w:val="16"/>
          <w:szCs w:val="16"/>
        </w:rPr>
      </w:pPr>
      <w:r>
        <w:rPr>
          <w:rFonts w:ascii="Verdana" w:hAnsi="Verdana"/>
          <w:color w:val="000000"/>
          <w:sz w:val="16"/>
          <w:szCs w:val="16"/>
        </w:rPr>
        <w:t>7. Las cuentas anuales debidamente aprobadas por el órgano competente de la entidad beneficiaria.</w:t>
      </w:r>
    </w:p>
    <w:p>
      <w:pPr>
        <w:pStyle w:val="Normal"/>
        <w:spacing w:lineRule="auto" w:line="276" w:before="0" w:after="198"/>
        <w:jc w:val="both"/>
        <w:rPr>
          <w:rFonts w:ascii="Verdana" w:hAnsi="Verdana"/>
          <w:sz w:val="16"/>
          <w:szCs w:val="16"/>
        </w:rPr>
      </w:pPr>
      <w:r>
        <w:rPr>
          <w:rFonts w:eastAsia="Times New Roman" w:cs="Times New Roman" w:ascii="Verdana" w:hAnsi="Verdana"/>
          <w:b w:val="false"/>
          <w:bCs w:val="false"/>
          <w:color w:val="000000"/>
          <w:kern w:val="0"/>
          <w:sz w:val="16"/>
          <w:szCs w:val="16"/>
          <w:lang w:val="es-ES" w:eastAsia="es-ES" w:bidi="ar-SA"/>
        </w:rPr>
        <w:t>La información referida y toda aquella cuya publicación sea preceptiva, deberá necesariamente estar referenciada al año inmediatamente anterior a aquel en el que se soliciten las ayudas de cuya tramitación se deriven las obligaciones de publicidad y transparencia, al objeto de que se trate de datos definitivos, y deberá tratarse de información global de la entidad y no referenciada a un proyecto o actuación concreta. Dicha información deberá ser actualizada cada año antes de la tramitación y concesión de nuevas ayudas.</w:t>
      </w:r>
    </w:p>
    <w:p>
      <w:pPr>
        <w:pStyle w:val="Normal"/>
        <w:spacing w:lineRule="auto" w:line="276" w:before="0" w:after="57"/>
        <w:jc w:val="both"/>
        <w:rPr>
          <w:rFonts w:ascii="Verdana" w:hAnsi="Verdana"/>
          <w:sz w:val="16"/>
          <w:szCs w:val="16"/>
        </w:rPr>
      </w:pPr>
      <w:r>
        <w:rPr>
          <w:rFonts w:ascii="Verdana" w:hAnsi="Verdana"/>
          <w:b/>
          <w:bCs/>
          <w:sz w:val="16"/>
          <w:szCs w:val="16"/>
          <w:shd w:fill="auto" w:val="clear"/>
        </w:rPr>
        <w:t>Procedimiento de presentación de la información.</w:t>
      </w:r>
    </w:p>
    <w:p>
      <w:pPr>
        <w:pStyle w:val="Normal"/>
        <w:spacing w:lineRule="auto" w:line="276" w:before="0" w:after="57"/>
        <w:jc w:val="both"/>
        <w:rPr/>
      </w:pPr>
      <w:r>
        <w:rPr>
          <w:rFonts w:ascii="Verdana" w:hAnsi="Verdana"/>
          <w:color w:val="000000"/>
          <w:sz w:val="16"/>
          <w:szCs w:val="16"/>
        </w:rPr>
        <w:t xml:space="preserve">Las entidades beneficiarias, deberán utilizar el servicio electrónico “Comunicaciones de subvenciones recibidas (Transparencia)”, habilitado al efecto en la la Sede Electrónica del Ayuntamiento de Gijón/Xixón y al que se puede acceder a través del siguiente enlace </w:t>
      </w:r>
      <w:r>
        <w:rPr>
          <w:rFonts w:ascii="Verdana" w:hAnsi="Verdana"/>
          <w:color w:val="000000"/>
          <w:sz w:val="16"/>
          <w:szCs w:val="16"/>
          <w:shd w:fill="auto" w:val="clear"/>
        </w:rPr>
        <w:t xml:space="preserve"> </w:t>
      </w:r>
      <w:hyperlink r:id="rId2">
        <w:r>
          <w:rPr>
            <w:rStyle w:val="Hyperlink"/>
            <w:rFonts w:ascii="Verdana" w:hAnsi="Verdana"/>
            <w:color w:val="000000"/>
            <w:sz w:val="16"/>
            <w:szCs w:val="16"/>
            <w:shd w:fill="auto" w:val="clear"/>
          </w:rPr>
          <w:t>Catalogo de procedimientos (gijon.es)</w:t>
        </w:r>
      </w:hyperlink>
      <w:r>
        <w:rPr>
          <w:rFonts w:ascii="Verdana" w:hAnsi="Verdana"/>
          <w:color w:val="000000"/>
          <w:sz w:val="16"/>
          <w:szCs w:val="16"/>
          <w:shd w:fill="auto" w:val="clear"/>
        </w:rPr>
        <w:t xml:space="preserve"> , para presentar la información  señalada anteriormente, sin perjuicio de su publicación en su sede electrónica o página web, en los términos establecidos en el artícul</w:t>
      </w:r>
      <w:r>
        <w:rPr>
          <w:rFonts w:ascii="Verdana" w:hAnsi="Verdana"/>
          <w:color w:val="000000"/>
          <w:sz w:val="16"/>
          <w:szCs w:val="16"/>
        </w:rPr>
        <w:t>o 5 de la Ley 19/2013 de Transparencia, Acceso a la Información pública y Buen Gobierno.</w:t>
      </w:r>
    </w:p>
    <w:p>
      <w:pPr>
        <w:pStyle w:val="Normal"/>
        <w:spacing w:lineRule="auto" w:line="276" w:before="0" w:after="198"/>
        <w:jc w:val="both"/>
        <w:rPr>
          <w:rFonts w:ascii="Verdana" w:hAnsi="Verdana"/>
          <w:sz w:val="16"/>
          <w:szCs w:val="16"/>
        </w:rPr>
      </w:pPr>
      <w:r>
        <w:rPr>
          <w:rFonts w:ascii="Verdana" w:hAnsi="Verdana"/>
          <w:color w:val="000000"/>
          <w:sz w:val="16"/>
          <w:szCs w:val="16"/>
          <w:shd w:fill="auto" w:val="clear"/>
        </w:rPr>
        <w:t>La información aportada, se publicará directamente en el Portal de Transparencia del Ayuntamiento de Gijón/Xixón.</w:t>
      </w:r>
    </w:p>
    <w:p>
      <w:pPr>
        <w:pStyle w:val="Normal"/>
        <w:spacing w:lineRule="auto" w:line="276" w:before="0" w:after="113"/>
        <w:jc w:val="both"/>
        <w:rPr>
          <w:rFonts w:ascii="Verdana" w:hAnsi="Verdana"/>
          <w:sz w:val="16"/>
          <w:szCs w:val="16"/>
        </w:rPr>
      </w:pPr>
      <w:r>
        <w:rPr>
          <w:rFonts w:ascii="Verdana" w:hAnsi="Verdana"/>
          <w:b/>
          <w:bCs/>
          <w:sz w:val="16"/>
          <w:szCs w:val="16"/>
        </w:rPr>
        <w:t>Régimen sancionador.</w:t>
      </w:r>
    </w:p>
    <w:p>
      <w:pPr>
        <w:pStyle w:val="Normal"/>
        <w:spacing w:lineRule="auto" w:line="276" w:before="0" w:after="57"/>
        <w:jc w:val="both"/>
        <w:rPr>
          <w:rFonts w:ascii="Verdana" w:hAnsi="Verdana"/>
          <w:sz w:val="16"/>
          <w:szCs w:val="16"/>
        </w:rPr>
      </w:pPr>
      <w:r>
        <w:rPr>
          <w:rFonts w:ascii="Verdana" w:hAnsi="Verdana"/>
          <w:color w:val="000000"/>
          <w:sz w:val="16"/>
          <w:szCs w:val="16"/>
        </w:rPr>
        <w:t>El pago efectivo de la subvención o ayuda, con excepción de los pagos anticipados, estará condicionado a la emisión de informe favorable por el titular del Órgano Gestor sobre el cumplimiento por parte de la entidad beneficiaria de todas las obligaciones derivadas de su concesión, incluidas las obligaciones relacionadas con la normativa en vigor en materia de transparencia.</w:t>
      </w:r>
    </w:p>
    <w:p>
      <w:pPr>
        <w:pStyle w:val="Normal"/>
        <w:spacing w:lineRule="auto" w:line="276" w:before="0" w:after="57"/>
        <w:jc w:val="both"/>
        <w:rPr>
          <w:rFonts w:ascii="Verdana" w:hAnsi="Verdana"/>
          <w:sz w:val="16"/>
          <w:szCs w:val="16"/>
        </w:rPr>
      </w:pPr>
      <w:r>
        <w:rPr>
          <w:rFonts w:ascii="Verdana" w:hAnsi="Verdana"/>
          <w:color w:val="000000"/>
          <w:sz w:val="16"/>
          <w:szCs w:val="16"/>
        </w:rPr>
        <w:t>Se entenderá que existe incumplimiento reiterado, cuando no se realice ningún tipo de publicación por parte del beneficiario durante dos años consecutivos, o se realice de forma incompleta o errónea durante tres años consecutivos y esta no haya sido completada o rectificada tras los requerimientos realizados al efecto.</w:t>
      </w:r>
    </w:p>
    <w:p>
      <w:pPr>
        <w:pStyle w:val="Normal"/>
        <w:spacing w:lineRule="auto" w:line="276" w:before="0" w:after="170"/>
        <w:jc w:val="both"/>
        <w:rPr>
          <w:rFonts w:ascii="Verdana" w:hAnsi="Verdana"/>
          <w:sz w:val="16"/>
          <w:szCs w:val="16"/>
        </w:rPr>
      </w:pPr>
      <w:r>
        <w:rPr>
          <w:rFonts w:ascii="Verdana" w:hAnsi="Verdana"/>
          <w:color w:val="000000"/>
          <w:sz w:val="16"/>
          <w:szCs w:val="16"/>
        </w:rPr>
        <w:t>El incumplimiento reiterado de las obligaciones de transparencia por parte de las entidades perceptoras de subvenciones públicas conllevará la imposibilidad de solicitar nuevas ayudas públicas hasta que se solvente dicho incumplimiento, sin perjuicio de las responsabilidades derivadas de la aplicación de la Ley.</w:t>
      </w:r>
    </w:p>
    <w:p>
      <w:pPr>
        <w:pStyle w:val="Normal"/>
        <w:spacing w:before="0" w:after="57"/>
        <w:jc w:val="both"/>
        <w:rPr>
          <w:rFonts w:ascii="Verdana" w:hAnsi="Verdana"/>
          <w:sz w:val="16"/>
          <w:szCs w:val="16"/>
        </w:rPr>
      </w:pPr>
      <w:r>
        <w:rPr>
          <w:rFonts w:ascii="Verdana" w:hAnsi="Verdana"/>
          <w:b/>
          <w:sz w:val="16"/>
          <w:szCs w:val="16"/>
        </w:rPr>
        <w:t>UNDÉCIMA.- CONCURRENCIA E INCOMPATIBILIDAD DE SUBVENCIONES</w:t>
      </w:r>
    </w:p>
    <w:p>
      <w:pPr>
        <w:pStyle w:val="Normal"/>
        <w:tabs>
          <w:tab w:val="clear" w:pos="720"/>
          <w:tab w:val="left" w:pos="567" w:leader="none"/>
        </w:tabs>
        <w:spacing w:lineRule="auto" w:line="276" w:before="0" w:after="170"/>
        <w:jc w:val="both"/>
        <w:rPr>
          <w:rFonts w:ascii="Verdana" w:hAnsi="Verdana"/>
          <w:sz w:val="16"/>
          <w:szCs w:val="16"/>
        </w:rPr>
      </w:pPr>
      <w:r>
        <w:rPr>
          <w:rFonts w:ascii="Verdana" w:hAnsi="Verdana"/>
          <w:color w:val="000000"/>
          <w:sz w:val="16"/>
          <w:szCs w:val="16"/>
        </w:rPr>
        <w:t>Las ayudas objeto del presente convenio serán compatibles con cualesquiera otras ayudas o subvenciones, para la misma finalidad. En cualquier caso, la suma de la totalidad de los ingresos destinados a financiar la actividad o gasto subvencionado no podrá ser superior al coste total del mismo.</w:t>
      </w:r>
    </w:p>
    <w:p>
      <w:pPr>
        <w:pStyle w:val="Normal"/>
        <w:spacing w:before="0" w:after="57"/>
        <w:jc w:val="both"/>
        <w:rPr>
          <w:rFonts w:ascii="Verdana" w:hAnsi="Verdana"/>
          <w:sz w:val="16"/>
          <w:szCs w:val="16"/>
        </w:rPr>
      </w:pPr>
      <w:r>
        <w:rPr>
          <w:rFonts w:ascii="Verdana" w:hAnsi="Verdana"/>
          <w:b/>
          <w:sz w:val="16"/>
          <w:szCs w:val="16"/>
        </w:rPr>
        <w:t xml:space="preserve">DÉCIMO SEGUNDA.- CLÁUSULA DE CONFIDENCIALIDAD </w:t>
      </w:r>
    </w:p>
    <w:p>
      <w:pPr>
        <w:pStyle w:val="Normal"/>
        <w:spacing w:before="0" w:after="170"/>
        <w:jc w:val="both"/>
        <w:rPr>
          <w:rFonts w:ascii="Verdana" w:hAnsi="Verdana"/>
          <w:sz w:val="16"/>
          <w:szCs w:val="16"/>
        </w:rPr>
      </w:pPr>
      <w:r>
        <w:rPr>
          <w:rFonts w:ascii="Verdana" w:hAnsi="Verdana"/>
          <w:sz w:val="16"/>
          <w:szCs w:val="16"/>
        </w:rPr>
        <w:t>Las partes se comprometen a cumplir con la normativa en materia de tratamiento de datos de carácter personal y a garantizar la correspondiente seguridad, confidencialidad e integridad de los datos de carácter personal a los que pudieran tener acceso o fueran sometidos a tratamiento, a resultas de las actividades desarrolladas en el marco del presente acuerdo de colaboración.</w:t>
      </w:r>
    </w:p>
    <w:p>
      <w:pPr>
        <w:pStyle w:val="Normal"/>
        <w:spacing w:before="0" w:after="170"/>
        <w:jc w:val="both"/>
        <w:rPr>
          <w:rFonts w:ascii="Verdana" w:hAnsi="Verdana"/>
          <w:sz w:val="16"/>
          <w:szCs w:val="16"/>
        </w:rPr>
      </w:pPr>
      <w:r>
        <w:rPr>
          <w:rFonts w:ascii="Verdana" w:hAnsi="Verdana"/>
          <w:b/>
          <w:sz w:val="16"/>
          <w:szCs w:val="16"/>
        </w:rPr>
        <w:t>DECIMOTERCERA.- PLAZO DE VIGENCIA</w:t>
      </w:r>
    </w:p>
    <w:p>
      <w:pPr>
        <w:pStyle w:val="Normal"/>
        <w:spacing w:lineRule="auto" w:line="276" w:before="0" w:after="170"/>
        <w:jc w:val="both"/>
        <w:rPr>
          <w:rFonts w:ascii="Verdana" w:hAnsi="Verdana"/>
          <w:sz w:val="16"/>
          <w:szCs w:val="16"/>
        </w:rPr>
      </w:pPr>
      <w:r>
        <w:rPr>
          <w:rFonts w:ascii="Verdana" w:hAnsi="Verdana"/>
          <w:sz w:val="16"/>
          <w:szCs w:val="16"/>
        </w:rPr>
        <w:t xml:space="preserve">El presente convenio extenderá su vigencia desde su aprobación por la Junta de Gobierno, si bien se retrotraerán sus efectos a la fecha de inicio de las acciones financiadas dentro del presente año y hasta la finalización del plazo establecido para la justificación. </w:t>
      </w:r>
    </w:p>
    <w:p>
      <w:pPr>
        <w:pStyle w:val="Normal"/>
        <w:spacing w:before="0" w:after="57"/>
        <w:jc w:val="both"/>
        <w:rPr>
          <w:rFonts w:ascii="Verdana" w:hAnsi="Verdana"/>
          <w:sz w:val="16"/>
          <w:szCs w:val="16"/>
        </w:rPr>
      </w:pPr>
      <w:r>
        <w:rPr>
          <w:rFonts w:ascii="Verdana" w:hAnsi="Verdana"/>
          <w:b/>
          <w:sz w:val="16"/>
          <w:szCs w:val="16"/>
        </w:rPr>
        <w:t>DECIMOCUARTA.- CLÁUSULA DE COOPERACIÓN</w:t>
      </w:r>
    </w:p>
    <w:p>
      <w:pPr>
        <w:pStyle w:val="Normal"/>
        <w:spacing w:lineRule="auto" w:line="276" w:before="0" w:after="170"/>
        <w:jc w:val="both"/>
        <w:rPr>
          <w:rFonts w:ascii="Verdana" w:hAnsi="Verdana"/>
          <w:sz w:val="16"/>
          <w:szCs w:val="16"/>
        </w:rPr>
      </w:pPr>
      <w:r>
        <w:rPr>
          <w:rFonts w:ascii="Verdana" w:hAnsi="Verdana"/>
          <w:sz w:val="16"/>
          <w:szCs w:val="16"/>
          <w:shd w:fill="auto" w:val="clear"/>
        </w:rPr>
        <w:t>La C</w:t>
      </w:r>
      <w:r>
        <w:rPr>
          <w:rFonts w:ascii="Verdana" w:hAnsi="Verdana"/>
          <w:sz w:val="16"/>
          <w:szCs w:val="16"/>
        </w:rPr>
        <w:t>ámara Oficial de Comercio, Industria, Servicios y Navegación de Gijón se compromete a cooperar con las distintas entidades que colaboren con el Ayuntamiento de Gijón/Xixón en el desarrollo conjunto de actuaciones con la finalidad de incrementar el impacto en los destinatarios de las acciones planificadas.</w:t>
      </w:r>
    </w:p>
    <w:p>
      <w:pPr>
        <w:pStyle w:val="Normal"/>
        <w:spacing w:before="0" w:after="57"/>
        <w:jc w:val="both"/>
        <w:rPr>
          <w:rFonts w:ascii="Verdana" w:hAnsi="Verdana"/>
          <w:sz w:val="16"/>
          <w:szCs w:val="16"/>
        </w:rPr>
      </w:pPr>
      <w:r>
        <w:rPr>
          <w:rFonts w:ascii="Verdana" w:hAnsi="Verdana"/>
          <w:b/>
          <w:sz w:val="16"/>
          <w:szCs w:val="16"/>
        </w:rPr>
        <w:t>DECIMOQUINTA.- PÉRDIDA DEL DERECHO AL COBRO DE LA SUBVENCIÓN Y REINTEGRO</w:t>
      </w:r>
    </w:p>
    <w:p>
      <w:pPr>
        <w:pStyle w:val="Normal"/>
        <w:spacing w:lineRule="auto" w:line="276" w:before="0" w:after="113"/>
        <w:jc w:val="both"/>
        <w:rPr/>
      </w:pPr>
      <w:r>
        <w:rPr>
          <w:rFonts w:cs="Verdana" w:ascii="Verdana" w:hAnsi="Verdana"/>
          <w:sz w:val="16"/>
          <w:szCs w:val="16"/>
        </w:rPr>
        <w:t>Procederá la pérdida del derecho al cobro total o parcial de la subvención en el supuesto de falta de justificación o de concurrencia de algunas de las causas previstas en el artículo 34</w:t>
      </w:r>
      <w:r>
        <w:rPr>
          <w:rFonts w:eastAsia="Times New Roman" w:cs="Verdana" w:ascii="Verdana" w:hAnsi="Verdana"/>
          <w:b w:val="false"/>
          <w:bCs w:val="false"/>
          <w:color w:val="000000"/>
          <w:kern w:val="0"/>
          <w:sz w:val="16"/>
          <w:szCs w:val="16"/>
          <w:lang w:val="es-ES" w:eastAsia="es-ES" w:bidi="ar-SA"/>
        </w:rPr>
        <w:t xml:space="preserve"> Ordenanza General de Subvenciones del Ayuntamiento de Gijón/Xixón, aprobada por el Ayuntamiento pleno en sesión ordinaria celebrada el 14 de diciembre de 2022 (BOPA n.º 40 de 28/02/2023), en el marco de lo establecido en su capítulo VI (Reintegro de las subvenciones y régimen sancionador).</w:t>
      </w:r>
      <w:r>
        <w:rPr>
          <w:rFonts w:cs="Verdana" w:ascii="Verdana" w:hAnsi="Verdana"/>
          <w:sz w:val="16"/>
          <w:szCs w:val="16"/>
        </w:rPr>
        <w:t xml:space="preserve"> </w:t>
      </w:r>
    </w:p>
    <w:p>
      <w:pPr>
        <w:pStyle w:val="Normal"/>
        <w:spacing w:lineRule="auto" w:line="276" w:before="0" w:after="113"/>
        <w:jc w:val="both"/>
        <w:rPr/>
      </w:pPr>
      <w:r>
        <w:rPr>
          <w:rFonts w:cs="Verdana" w:ascii="Verdana" w:hAnsi="Verdana"/>
          <w:sz w:val="16"/>
          <w:szCs w:val="16"/>
        </w:rPr>
        <w:t>La entidad beneficiaria deberá cumplir todos y cada uno de los objetivos, actividades y proyectos, adoptar los comportamientos que fundamentaron la concesión de la subvención y cumplir los compromisos asumidos con motivo de la misma. En otro caso procederá el reintegro, total o parcial, de las cantidades percibidas y la exigencia del interés de demora correspondiente, desde el momento del pago de la subvención o ayuda hasta la fecha en que se acuerde la procedencia del reintegro o se produzca el mismo, en caso de no mediar requerimiento previo, en supuestos previstos en el artículo 34</w:t>
      </w:r>
      <w:r>
        <w:rPr>
          <w:rFonts w:eastAsia="Times New Roman" w:cs="Verdana" w:ascii="Verdana" w:hAnsi="Verdana"/>
          <w:b w:val="false"/>
          <w:bCs w:val="false"/>
          <w:color w:val="000000"/>
          <w:kern w:val="0"/>
          <w:sz w:val="16"/>
          <w:szCs w:val="16"/>
          <w:lang w:val="es-ES" w:eastAsia="es-ES" w:bidi="ar-SA"/>
        </w:rPr>
        <w:t xml:space="preserve"> Ordenanza General de Subvenciones del Ayuntamiento de Gijón/Xixón</w:t>
      </w:r>
    </w:p>
    <w:p>
      <w:pPr>
        <w:pStyle w:val="Normal"/>
        <w:spacing w:lineRule="auto" w:line="276" w:before="0" w:after="113"/>
        <w:jc w:val="both"/>
        <w:rPr/>
      </w:pPr>
      <w:r>
        <w:rPr>
          <w:rFonts w:cs="Verdana" w:ascii="Verdana" w:hAnsi="Verdana"/>
          <w:sz w:val="16"/>
          <w:szCs w:val="16"/>
        </w:rPr>
        <w:t>Cuando el cumplimiento por la entidad beneficiaria se aproxime de modo significativo al cumplimiento total y se acredite por éste una actuación inequívoca tendente a la satisfacción de los compromisos, la cantidad a reintegrar vendrá determinada por aplicación de criterios proporcionales de graduación mediante prorrateo de la cuantía respecto de la justificación presentada.</w:t>
      </w:r>
    </w:p>
    <w:p>
      <w:pPr>
        <w:pStyle w:val="Normal"/>
        <w:spacing w:lineRule="auto" w:line="276" w:before="0" w:after="113"/>
        <w:jc w:val="both"/>
        <w:rPr/>
      </w:pPr>
      <w:r>
        <w:rPr>
          <w:rFonts w:cs="Verdana" w:ascii="Verdana" w:hAnsi="Verdana"/>
          <w:sz w:val="16"/>
          <w:szCs w:val="16"/>
        </w:rPr>
        <w:t>Asimismo, procederá el reintegro del exceso obtenido de la subvención, así como la exigencia del interés de demora correspondiente, cuando aisladamente o en concurrencia con otras subvenciones, ayudas, ingresos o recursos se supere el coste de la actividad subvencionada. Cuando la subvención o ayuda se abone de forma fraccionada en y se proceda al reintegro parcial, los intereses de demora serán calculados bajo el criterio de aplicar el reintegro a los últimos plazos abonados.</w:t>
      </w:r>
    </w:p>
    <w:p>
      <w:pPr>
        <w:pStyle w:val="Normal"/>
        <w:spacing w:lineRule="auto" w:line="276" w:before="0" w:after="113"/>
        <w:jc w:val="both"/>
        <w:rPr>
          <w:rFonts w:ascii="Verdana" w:hAnsi="Verdana" w:eastAsia="Times New Roman" w:cs="Verdana"/>
          <w:b w:val="false"/>
          <w:bCs w:val="false"/>
          <w:color w:val="000000"/>
          <w:kern w:val="0"/>
          <w:sz w:val="16"/>
          <w:szCs w:val="16"/>
          <w:u w:val="single"/>
          <w:shd w:fill="auto" w:val="clear"/>
          <w:lang w:val="es-ES" w:eastAsia="zh-CN" w:bidi="ar-SA"/>
        </w:rPr>
      </w:pPr>
      <w:r>
        <w:rPr>
          <w:rFonts w:eastAsia="Times New Roman" w:cs="Verdana" w:ascii="Verdana" w:hAnsi="Verdana"/>
          <w:b w:val="false"/>
          <w:bCs w:val="false"/>
          <w:color w:val="000000"/>
          <w:kern w:val="0"/>
          <w:sz w:val="16"/>
          <w:szCs w:val="16"/>
          <w:u w:val="single"/>
          <w:shd w:fill="auto" w:val="clear"/>
          <w:lang w:val="es-ES" w:eastAsia="zh-CN" w:bidi="ar-SA"/>
        </w:rPr>
        <w:t xml:space="preserve">Procedimiento: </w:t>
      </w:r>
    </w:p>
    <w:p>
      <w:pPr>
        <w:pStyle w:val="Normal"/>
        <w:spacing w:lineRule="auto" w:line="276" w:before="0" w:after="113"/>
        <w:jc w:val="both"/>
        <w:rPr>
          <w:rFonts w:ascii="Verdana" w:hAnsi="Verdana" w:eastAsia="Times New Roman" w:cs="Verdana"/>
          <w:b w:val="false"/>
          <w:bCs w:val="false"/>
          <w:color w:val="000000"/>
          <w:kern w:val="0"/>
          <w:sz w:val="16"/>
          <w:szCs w:val="16"/>
          <w:shd w:fill="auto" w:val="clear"/>
          <w:lang w:val="es-ES" w:eastAsia="zh-CN" w:bidi="ar-SA"/>
        </w:rPr>
      </w:pPr>
      <w:r>
        <w:rPr>
          <w:rFonts w:eastAsia="Times New Roman" w:cs="Verdana" w:ascii="Verdana" w:hAnsi="Verdana"/>
          <w:b w:val="false"/>
          <w:bCs w:val="false"/>
          <w:color w:val="000000"/>
          <w:kern w:val="0"/>
          <w:sz w:val="16"/>
          <w:szCs w:val="16"/>
          <w:shd w:fill="auto" w:val="clear"/>
          <w:lang w:val="es-ES" w:eastAsia="zh-CN" w:bidi="ar-SA"/>
        </w:rPr>
        <w:t>El procedimiento de pérdida de derecho será el establecido en el articulo 42 de la Ley General de subvenciones (procedimiento de reintegro).</w:t>
      </w:r>
    </w:p>
    <w:p>
      <w:pPr>
        <w:pStyle w:val="Normal"/>
        <w:spacing w:lineRule="auto" w:line="276" w:before="0" w:after="113"/>
        <w:jc w:val="both"/>
        <w:rPr>
          <w:rFonts w:ascii="Verdana" w:hAnsi="Verdana" w:eastAsia="Times New Roman" w:cs="Verdana"/>
          <w:b w:val="false"/>
          <w:bCs w:val="false"/>
          <w:color w:val="000000"/>
          <w:kern w:val="0"/>
          <w:sz w:val="16"/>
          <w:szCs w:val="16"/>
          <w:shd w:fill="auto" w:val="clear"/>
          <w:lang w:val="es-ES" w:eastAsia="zh-CN" w:bidi="ar-SA"/>
        </w:rPr>
      </w:pPr>
      <w:r>
        <w:rPr>
          <w:rFonts w:eastAsia="Times New Roman" w:cs="Verdana" w:ascii="Verdana" w:hAnsi="Verdana"/>
          <w:b w:val="false"/>
          <w:bCs w:val="false"/>
          <w:color w:val="000000"/>
          <w:kern w:val="0"/>
          <w:sz w:val="16"/>
          <w:szCs w:val="16"/>
          <w:shd w:fill="auto" w:val="clear"/>
          <w:lang w:val="es-ES" w:eastAsia="zh-CN" w:bidi="ar-SA"/>
        </w:rPr>
        <w:t>El procedimiento de reintegro, se ajustará a lo establecido el capitulo II, del titulo II de la Ley 38/2003, de 17 de noviembre, de subvenciones así como en el Titulo III del Reglamento de subvenciones y resto de normativa de aplicación.</w:t>
      </w:r>
    </w:p>
    <w:p>
      <w:pPr>
        <w:pStyle w:val="Normal"/>
        <w:spacing w:before="0" w:after="57"/>
        <w:rPr>
          <w:rFonts w:ascii="Verdana" w:hAnsi="Verdana"/>
          <w:sz w:val="16"/>
          <w:szCs w:val="16"/>
        </w:rPr>
      </w:pPr>
      <w:r>
        <w:rPr>
          <w:rFonts w:ascii="Verdana" w:hAnsi="Verdana"/>
          <w:b/>
          <w:sz w:val="16"/>
          <w:szCs w:val="16"/>
        </w:rPr>
        <w:t>DECIMOSEXTA.- CLÁUSULA DE SALVAGUARDA</w:t>
      </w:r>
    </w:p>
    <w:p>
      <w:pPr>
        <w:pStyle w:val="Normal"/>
        <w:spacing w:lineRule="auto" w:line="276" w:before="0" w:after="113"/>
        <w:jc w:val="both"/>
        <w:rPr>
          <w:rFonts w:ascii="Verdana" w:hAnsi="Verdana"/>
          <w:sz w:val="16"/>
          <w:szCs w:val="16"/>
        </w:rPr>
      </w:pPr>
      <w:r>
        <w:rPr>
          <w:rFonts w:ascii="Verdana" w:hAnsi="Verdana"/>
          <w:sz w:val="16"/>
          <w:szCs w:val="16"/>
        </w:rPr>
        <w:t xml:space="preserve">El importe a abonar tiene la consideración de subvención pública, por lo que será de aplicación la normativa general contenida básicamente en la Ley 38/2003, de 17 de noviembre, General de Subvenciones, en el RD 887/2006, de 21 de julio, por el que se aprueba el Reglamento de la Ley 38/2003, de 17 de noviembre, General de Subvenciones  y en la Ordenanza por la que se regula el Régimen General de Concesión de Subvenciones y Ayudas del Ayuntamiento de Gijón, aprobada por el Pleno en </w:t>
      </w:r>
      <w:r>
        <w:rPr>
          <w:rFonts w:eastAsia="Times New Roman" w:cs="Times New Roman" w:ascii="Verdana" w:hAnsi="Verdana"/>
          <w:b w:val="false"/>
          <w:bCs w:val="false"/>
          <w:color w:val="000000"/>
          <w:kern w:val="0"/>
          <w:sz w:val="16"/>
          <w:szCs w:val="16"/>
          <w:lang w:val="es-ES" w:eastAsia="es-ES" w:bidi="ar-SA"/>
        </w:rPr>
        <w:t>sesión ordinaria celebrada el 14 de diciembre de 2022 (BOPA n.º 40 de 28/02/2023)</w:t>
      </w:r>
      <w:r>
        <w:rPr>
          <w:rFonts w:ascii="Verdana" w:hAnsi="Verdana"/>
          <w:sz w:val="16"/>
          <w:szCs w:val="16"/>
        </w:rPr>
        <w:t>, y en particular, el régimen jurídico del reintegro y el régimen de responsabilidades y régimen sancionador sobre infracciones y sanciones administrativas en materia de subvenciones establecidos en las referidas normas.</w:t>
      </w:r>
    </w:p>
    <w:p>
      <w:pPr>
        <w:pStyle w:val="Normal"/>
        <w:spacing w:lineRule="auto" w:line="276" w:before="0" w:after="113"/>
        <w:jc w:val="both"/>
        <w:rPr>
          <w:rFonts w:ascii="Verdana" w:hAnsi="Verdana"/>
          <w:sz w:val="16"/>
          <w:szCs w:val="16"/>
        </w:rPr>
      </w:pPr>
      <w:r>
        <w:rPr>
          <w:rFonts w:ascii="Verdana" w:hAnsi="Verdana"/>
          <w:sz w:val="16"/>
          <w:szCs w:val="16"/>
        </w:rPr>
        <w:t>En lo no previsto expresamente, la tramitación de este expediente se ajustará a lo dispuesto en la normativa contenida en la Ley 39/2015, de 1 de octubre, del Procedimiento Administrativo Común.</w:t>
      </w:r>
    </w:p>
    <w:p>
      <w:pPr>
        <w:pStyle w:val="Normal"/>
        <w:spacing w:lineRule="auto" w:line="276" w:before="0" w:after="198"/>
        <w:jc w:val="both"/>
        <w:rPr>
          <w:rFonts w:ascii="Verdana" w:hAnsi="Verdana"/>
          <w:sz w:val="16"/>
          <w:szCs w:val="16"/>
        </w:rPr>
      </w:pPr>
      <w:r>
        <w:rPr>
          <w:rFonts w:ascii="Verdana" w:hAnsi="Verdana"/>
          <w:sz w:val="16"/>
          <w:szCs w:val="16"/>
        </w:rPr>
        <w:t>Y, en prueba de conformidad, firman el presente convenio formalizado de forma telemática y que se perfecciona en Gijón/Xixón con la firma de la autoridad municipal y en la fecha de la misma de la Excelentísima Sra. Alcaldesa, dando fe del acto la Secretaría Letrada de la Junta de Gobierno Local del Ilmo. Ayuntamiento de Gijón/Xixón, en ejercicio de la competencia que le atribuye la Disposición adicional 8ª, apartado d) de la Ley 7/1985, de 2 de abril, reguladora de las  Bases de Régimen Local.</w:t>
      </w:r>
    </w:p>
    <w:p>
      <w:pPr>
        <w:pStyle w:val="Normal"/>
        <w:spacing w:lineRule="auto" w:line="276" w:before="0" w:after="198"/>
        <w:jc w:val="both"/>
        <w:rPr>
          <w:rFonts w:ascii="Verdana" w:hAnsi="Verdana"/>
          <w:sz w:val="16"/>
          <w:szCs w:val="16"/>
        </w:rPr>
      </w:pPr>
      <w:r>
        <w:rPr>
          <w:rFonts w:ascii="Verdana" w:hAnsi="Verdana"/>
          <w:b/>
          <w:sz w:val="16"/>
          <w:szCs w:val="16"/>
          <w:u w:val="none"/>
          <w:lang w:val="es-ES_tradnl"/>
        </w:rPr>
        <w:tab/>
        <w:tab/>
        <w:tab/>
      </w:r>
    </w:p>
    <w:p>
      <w:pPr>
        <w:pStyle w:val="Normal"/>
        <w:spacing w:lineRule="auto" w:line="276" w:before="0" w:after="198"/>
        <w:jc w:val="both"/>
        <w:rPr>
          <w:rFonts w:ascii="Verdana" w:hAnsi="Verdana"/>
          <w:b/>
          <w:sz w:val="16"/>
          <w:szCs w:val="16"/>
          <w:u w:val="none"/>
          <w:lang w:val="es-ES_tradnl"/>
        </w:rPr>
      </w:pPr>
      <w:r>
        <w:rPr>
          <w:rFonts w:ascii="Verdana" w:hAnsi="Verdana"/>
          <w:b/>
          <w:sz w:val="16"/>
          <w:szCs w:val="16"/>
          <w:u w:val="none"/>
          <w:lang w:val="es-ES_tradnl"/>
        </w:rPr>
      </w:r>
      <w:r>
        <w:br w:type="page"/>
      </w:r>
    </w:p>
    <w:p>
      <w:pPr>
        <w:pStyle w:val="Normal"/>
        <w:spacing w:before="0" w:after="200"/>
        <w:rPr>
          <w:b/>
          <w:bCs/>
          <w:u w:val="single"/>
          <w:lang w:val="es-ES_tradnl"/>
        </w:rPr>
      </w:pPr>
      <w:r>
        <w:rPr>
          <w:b/>
          <w:bCs/>
          <w:u w:val="single"/>
          <w:lang w:val="es-ES_tradnl"/>
        </w:rPr>
      </w:r>
    </w:p>
    <w:p>
      <w:pPr>
        <w:pStyle w:val="Normal"/>
        <w:spacing w:before="0" w:after="200"/>
        <w:rPr>
          <w:rFonts w:ascii="Verdana" w:hAnsi="Verdana" w:cs="Verdana"/>
          <w:sz w:val="16"/>
          <w:szCs w:val="16"/>
          <w:lang w:val="es-ES_tradnl"/>
        </w:rPr>
      </w:pPr>
      <w:r>
        <w:rPr>
          <w:rFonts w:cs="Verdana" w:ascii="Verdana" w:hAnsi="Verdana"/>
          <w:b/>
          <w:sz w:val="16"/>
          <w:szCs w:val="16"/>
          <w:u w:val="none"/>
          <w:lang w:val="es-ES_tradnl"/>
        </w:rPr>
        <w:tab/>
        <w:tab/>
        <w:tab/>
        <w:tab/>
        <w:tab/>
        <w:tab/>
      </w:r>
      <w:r>
        <w:rPr>
          <w:rFonts w:cs="Verdana" w:ascii="Verdana" w:hAnsi="Verdana"/>
          <w:b/>
          <w:sz w:val="16"/>
          <w:szCs w:val="16"/>
          <w:u w:val="single"/>
          <w:lang w:val="es-ES_tradnl"/>
        </w:rPr>
        <w:t>ANEXO I</w:t>
      </w:r>
    </w:p>
    <w:p>
      <w:pPr>
        <w:pStyle w:val="Normal"/>
        <w:spacing w:before="0" w:after="200"/>
        <w:rPr>
          <w:rFonts w:ascii="Verdana" w:hAnsi="Verdana" w:cs="Verdana"/>
          <w:sz w:val="16"/>
          <w:szCs w:val="16"/>
          <w:lang w:val="es-ES_tradnl"/>
        </w:rPr>
      </w:pPr>
      <w:r>
        <w:rPr>
          <w:rFonts w:cs="Verdana" w:ascii="Verdana" w:hAnsi="Verdana"/>
          <w:sz w:val="16"/>
          <w:szCs w:val="16"/>
          <w:lang w:val="es-ES_tradnl"/>
        </w:rPr>
      </w:r>
    </w:p>
    <w:p>
      <w:pPr>
        <w:pStyle w:val="Normal"/>
        <w:spacing w:before="0" w:after="200"/>
        <w:rPr>
          <w:rFonts w:ascii="Verdana" w:hAnsi="Verdana" w:cs="Verdana"/>
          <w:sz w:val="16"/>
          <w:szCs w:val="16"/>
          <w:lang w:val="es-ES_tradnl"/>
        </w:rPr>
      </w:pPr>
      <w:r>
        <w:rPr>
          <w:rFonts w:cs="Verdana" w:ascii="Verdana" w:hAnsi="Verdana"/>
          <w:b w:val="false"/>
          <w:bCs w:val="false"/>
          <w:sz w:val="16"/>
          <w:szCs w:val="16"/>
          <w:u w:val="none"/>
          <w:lang w:val="es-ES_tradnl"/>
        </w:rPr>
        <w:t>D…………………………., con N.I.F …………………………, actuando en nombre y representación de …………………………con N.I.F., en calidad de ……………………</w:t>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b w:val="false"/>
          <w:bCs w:val="false"/>
          <w:sz w:val="16"/>
          <w:szCs w:val="16"/>
          <w:u w:val="none"/>
        </w:rPr>
        <w:t>DECLARA</w:t>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Textoindependiente2"/>
        <w:rPr>
          <w:rFonts w:ascii="Verdana" w:hAnsi="Verdana" w:cs="Verdana"/>
          <w:sz w:val="16"/>
          <w:szCs w:val="16"/>
          <w:lang w:val="es-ES_tradnl"/>
        </w:rPr>
      </w:pPr>
      <w:r>
        <w:rPr>
          <w:rFonts w:cs="Verdana" w:ascii="Verdana" w:hAnsi="Verdana"/>
          <w:b w:val="false"/>
          <w:bCs w:val="false"/>
          <w:sz w:val="16"/>
          <w:szCs w:val="16"/>
          <w:u w:val="none"/>
        </w:rPr>
        <w:t xml:space="preserve">Que conforme a la memoria económica adjunta justificativa del coste del PROYECTO “…………..……………………….………………………..” subvencionado con ……….. euros,  por Acuerdo de Junta de Gobierno de …….20… (……/2…), el importe total de los correspondientes gastos subvencionables del ejercicio 2… (referidos al período que se justifica) con justificantes aportados, asciende, IVA soportado incluido, a   ……………. €. </w:t>
      </w:r>
    </w:p>
    <w:p>
      <w:pPr>
        <w:pStyle w:val="Textoindependiente2"/>
        <w:rPr>
          <w:rFonts w:ascii="Verdana" w:hAnsi="Verdana" w:cs="Verdana"/>
          <w:sz w:val="16"/>
          <w:szCs w:val="16"/>
          <w:lang w:val="es-ES_tradnl"/>
        </w:rPr>
      </w:pPr>
      <w:r>
        <w:rPr>
          <w:rFonts w:cs="Verdana" w:ascii="Verdana" w:hAnsi="Verdana"/>
          <w:sz w:val="16"/>
          <w:szCs w:val="16"/>
          <w:lang w:val="es-ES_tradnl"/>
        </w:rPr>
      </w:r>
    </w:p>
    <w:p>
      <w:pPr>
        <w:pStyle w:val="Textoindependiente2"/>
        <w:rPr>
          <w:rFonts w:ascii="Verdana" w:hAnsi="Verdana" w:cs="Verdana"/>
          <w:sz w:val="16"/>
          <w:szCs w:val="16"/>
          <w:lang w:val="es-ES_tradnl"/>
        </w:rPr>
      </w:pPr>
      <w:r>
        <w:rPr>
          <w:rFonts w:cs="Verdana" w:ascii="Verdana" w:hAnsi="Verdana"/>
          <w:b w:val="false"/>
          <w:bCs w:val="false"/>
          <w:sz w:val="16"/>
          <w:szCs w:val="16"/>
          <w:u w:val="none"/>
        </w:rPr>
        <w:t xml:space="preserve">Y que el total de las deducciones previstas del IVA soportado correspondiente a esos justificantes de gastos subvencionables, y calculadas en su caso, según el tipo de prorrata IVA aplicable, general o especial, y definitiva del ejercicio de 2…, ascendería a …………………. euros. </w:t>
      </w:r>
    </w:p>
    <w:p>
      <w:pPr>
        <w:pStyle w:val="Textoindependiente2"/>
        <w:rPr>
          <w:rFonts w:ascii="Verdana" w:hAnsi="Verdana" w:cs="Verdana"/>
          <w:sz w:val="16"/>
          <w:szCs w:val="16"/>
          <w:lang w:val="es-ES_tradnl"/>
        </w:rPr>
      </w:pPr>
      <w:r>
        <w:rPr>
          <w:rFonts w:cs="Verdana" w:ascii="Verdana" w:hAnsi="Verdana"/>
          <w:sz w:val="16"/>
          <w:szCs w:val="16"/>
          <w:lang w:val="es-ES_tradnl"/>
        </w:rPr>
      </w:r>
    </w:p>
    <w:p>
      <w:pPr>
        <w:pStyle w:val="Normal"/>
        <w:jc w:val="center"/>
        <w:rPr>
          <w:rFonts w:ascii="Verdana" w:hAnsi="Verdana" w:cs="Verdana"/>
          <w:sz w:val="16"/>
          <w:szCs w:val="16"/>
          <w:lang w:val="es-ES_tradnl"/>
        </w:rPr>
      </w:pPr>
      <w:r>
        <w:rPr>
          <w:rFonts w:cs="Verdana" w:ascii="Verdana" w:hAnsi="Verdana"/>
          <w:b w:val="false"/>
          <w:bCs w:val="false"/>
          <w:sz w:val="16"/>
          <w:szCs w:val="16"/>
          <w:u w:val="none"/>
        </w:rPr>
        <w:t>En Gijón, a ………..de……………..2….</w:t>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Textoindependiente2"/>
        <w:spacing w:lineRule="auto" w:line="240"/>
        <w:ind w:firstLine="708" w:left="1416" w:right="0"/>
        <w:rPr>
          <w:rFonts w:ascii="Verdana" w:hAnsi="Verdana" w:cs="Verdana"/>
          <w:sz w:val="16"/>
          <w:szCs w:val="16"/>
          <w:lang w:val="es-ES_tradnl"/>
        </w:rPr>
      </w:pPr>
      <w:r>
        <w:rPr>
          <w:rFonts w:cs="Verdana" w:ascii="Verdana" w:hAnsi="Verdana"/>
          <w:b w:val="false"/>
          <w:bCs w:val="false"/>
          <w:sz w:val="16"/>
          <w:szCs w:val="16"/>
          <w:u w:val="none"/>
        </w:rPr>
        <w:tab/>
        <w:tab/>
        <w:t xml:space="preserve">          Fdo.:………………………………….</w:t>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jc w:val="both"/>
        <w:rPr>
          <w:rFonts w:ascii="Verdana" w:hAnsi="Verdana" w:cs="Verdana"/>
          <w:sz w:val="16"/>
          <w:szCs w:val="16"/>
          <w:lang w:val="es-ES_tradnl"/>
        </w:rPr>
      </w:pPr>
      <w:r>
        <w:rPr>
          <w:rFonts w:cs="Verdana" w:ascii="Verdana" w:hAnsi="Verdana"/>
          <w:sz w:val="16"/>
          <w:szCs w:val="16"/>
          <w:lang w:val="es-ES_tradnl"/>
        </w:rPr>
      </w:r>
    </w:p>
    <w:p>
      <w:pPr>
        <w:pStyle w:val="Normal"/>
        <w:spacing w:before="0" w:after="200"/>
        <w:rPr>
          <w:rFonts w:ascii="Verdana" w:hAnsi="Verdana" w:cs="Verdana"/>
          <w:sz w:val="16"/>
          <w:szCs w:val="16"/>
          <w:lang w:val="es-ES_tradnl"/>
        </w:rPr>
      </w:pPr>
      <w:r>
        <w:rPr>
          <w:rFonts w:cs="Verdana" w:ascii="Verdana" w:hAnsi="Verdana"/>
          <w:sz w:val="16"/>
          <w:szCs w:val="16"/>
          <w:lang w:val="es-ES_tradnl"/>
        </w:rPr>
      </w:r>
    </w:p>
    <w:p>
      <w:pPr>
        <w:pStyle w:val="Normal"/>
        <w:spacing w:lineRule="auto" w:line="276" w:before="0" w:after="198"/>
        <w:jc w:val="both"/>
        <w:rPr>
          <w:rFonts w:ascii="Verdana" w:hAnsi="Verdana"/>
          <w:sz w:val="16"/>
          <w:szCs w:val="16"/>
        </w:rPr>
      </w:pPr>
      <w:r>
        <w:rPr>
          <w:rFonts w:ascii="Verdana" w:hAnsi="Verdana"/>
          <w:b/>
          <w:sz w:val="16"/>
          <w:szCs w:val="16"/>
          <w:u w:val="none"/>
          <w:lang w:val="es-ES_tradnl"/>
        </w:rPr>
        <w:tab/>
        <w:tab/>
        <w:tab/>
        <w:tab/>
        <w:tab/>
        <w:tab/>
      </w:r>
      <w:r>
        <w:rPr>
          <w:rFonts w:ascii="Verdana" w:hAnsi="Verdana"/>
          <w:b/>
          <w:sz w:val="16"/>
          <w:szCs w:val="16"/>
        </w:rPr>
        <w:tab/>
        <w:tab/>
        <w:tab/>
      </w:r>
    </w:p>
    <w:p>
      <w:pPr>
        <w:pStyle w:val="ListParagraph"/>
        <w:spacing w:before="0" w:after="120"/>
        <w:ind w:hanging="0" w:left="0" w:right="0"/>
        <w:contextualSpacing/>
        <w:jc w:val="both"/>
        <w:rPr>
          <w:rFonts w:ascii="Verdana" w:hAnsi="Verdana"/>
          <w:sz w:val="16"/>
          <w:szCs w:val="16"/>
        </w:rPr>
      </w:pPr>
      <w:r>
        <w:rPr>
          <w:rFonts w:ascii="Verdana" w:hAnsi="Verdana"/>
          <w:sz w:val="16"/>
          <w:szCs w:val="16"/>
        </w:rPr>
      </w:r>
    </w:p>
    <w:sectPr>
      <w:type w:val="nextPage"/>
      <w:pgSz w:w="11906" w:h="16838"/>
      <w:pgMar w:left="1061" w:right="85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Calibri">
    <w:charset w:val="00"/>
    <w:family w:val="roman"/>
    <w:pitch w:val="variable"/>
  </w:font>
  <w:font w:name="Verdana">
    <w:charset w:val="00"/>
    <w:family w:val="roman"/>
    <w:pitch w:val="variable"/>
  </w:font>
  <w:font w:name="Courier New">
    <w:charset w:val="00"/>
    <w:family w:val="roman"/>
    <w:pitch w:val="variable"/>
  </w:font>
  <w:font w:name="OpenSymbol">
    <w:altName w:val="Arial Unicode MS"/>
    <w:charset w:val="00"/>
    <w:family w:val="roman"/>
    <w:pitch w:val="variable"/>
  </w:font>
  <w:font w:name="Symbol">
    <w:charset w:val="00"/>
    <w:family w:val="roman"/>
    <w:pitch w:val="variable"/>
  </w:font>
  <w:font w:name="Wingdings">
    <w:charset w:val="00"/>
    <w:family w:val="roman"/>
    <w:pitch w:val="variable"/>
  </w:font>
  <w:font w:name="Liberation Sans">
    <w:altName w:val="Arial"/>
    <w:charset w:val="00"/>
    <w:family w:val="roman"/>
    <w:pitch w:val="variable"/>
  </w:font>
  <w:font w:name="Bookman Old Style">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suff w:val="space"/>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suff w:val="space"/>
      <w:lvlText w:val=""/>
      <w:lvlJc w:val="left"/>
      <w:pPr>
        <w:tabs>
          <w:tab w:val="num" w:pos="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3">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4">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5">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6">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7">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8">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9">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0">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1">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2">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3">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4">
    <w:lvl w:ilvl="0">
      <w:start w:val="1"/>
      <w:numFmt w:val="decimal"/>
      <w:lvlText w:val="%1."/>
      <w:lvlJc w:val="left"/>
      <w:pPr>
        <w:tabs>
          <w:tab w:val="num" w:pos="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6">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7">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8">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9">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0">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12"/>
    <w:lvlOverride w:ilvl="0">
      <w:startOverride w:val="1"/>
    </w:lvlOverride>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25"/>
    <w:lvlOverride w:ilvl="0">
      <w:startOverride w:val="1"/>
    </w:lvlOverride>
  </w:num>
  <w:num w:numId="47">
    <w:abstractNumId w:val="25"/>
  </w:num>
  <w:num w:numId="48">
    <w:abstractNumId w:val="25"/>
  </w:num>
  <w:num w:numId="49">
    <w:abstractNumId w:val="25"/>
  </w:num>
  <w:num w:numId="50">
    <w:abstractNumId w:val="25"/>
  </w:num>
  <w:num w:numId="51">
    <w:abstractNumId w:val="25"/>
  </w:num>
  <w:num w:numId="52">
    <w:abstractNumId w:val="25"/>
  </w:num>
</w:numbering>
</file>

<file path=word/settings.xml><?xml version="1.0" encoding="utf-8"?>
<w:settings xmlns:w="http://schemas.openxmlformats.org/wordprocessingml/2006/main">
  <w:zoom w:percent="160"/>
  <w:defaultTabStop w:val="720"/>
  <w:autoHyphenation w:val="true"/>
  <w:hyphenationZone w:val="425"/>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DejaVu San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010f4"/>
    <w:pPr>
      <w:widowControl/>
      <w:suppressAutoHyphens w:val="true"/>
      <w:bidi w:val="0"/>
      <w:spacing w:lineRule="auto" w:line="276" w:before="0" w:after="200"/>
      <w:jc w:val="left"/>
    </w:pPr>
    <w:rPr>
      <w:rFonts w:ascii="Arial" w:hAnsi="Arial" w:eastAsia="Arial" w:cs="DejaVu Sans" w:asciiTheme="minorHAnsi" w:cstheme="minorBidi" w:eastAsiaTheme="minorHAnsi" w:hAnsiTheme="minorHAnsi"/>
      <w:color w:val="auto"/>
      <w:kern w:val="0"/>
      <w:sz w:val="22"/>
      <w:szCs w:val="22"/>
      <w:lang w:val="es-ES" w:eastAsia="en-US" w:bidi="ar-SA"/>
    </w:rPr>
  </w:style>
  <w:style w:type="paragraph" w:styleId="Heading1">
    <w:name w:val="Heading 1"/>
    <w:basedOn w:val="Normal"/>
    <w:next w:val="Normal"/>
    <w:qFormat/>
    <w:pPr>
      <w:keepNext w:val="true"/>
      <w:keepLines/>
      <w:widowControl/>
      <w:numPr>
        <w:ilvl w:val="0"/>
        <w:numId w:val="0"/>
      </w:numPr>
      <w:spacing w:lineRule="auto" w:line="276" w:before="480" w:after="0"/>
      <w:outlineLvl w:val="0"/>
    </w:pPr>
    <w:rPr>
      <w:rFonts w:ascii="Cambria" w:hAnsi="Cambria" w:eastAsia="Segoe UI" w:cs="Tahoma"/>
      <w:b/>
      <w:bCs/>
      <w:color w:val="365F91"/>
      <w:sz w:val="28"/>
      <w:szCs w:val="28"/>
      <w:lang w:val="es-ES" w:eastAsia="en-US"/>
    </w:rPr>
  </w:style>
  <w:style w:type="paragraph" w:styleId="Heading2">
    <w:name w:val="Heading 2"/>
    <w:basedOn w:val="Normal"/>
    <w:next w:val="Normal"/>
    <w:link w:val="Ttulo2Car"/>
    <w:uiPriority w:val="9"/>
    <w:semiHidden/>
    <w:unhideWhenUsed/>
    <w:qFormat/>
    <w:rsid w:val="00c2749b"/>
    <w:pPr>
      <w:keepNext w:val="true"/>
      <w:keepLines/>
      <w:spacing w:before="200" w:after="0"/>
      <w:outlineLvl w:val="1"/>
    </w:pPr>
    <w:rPr>
      <w:rFonts w:ascii="Arial" w:hAnsi="Arial" w:eastAsia="DejaVu Sans" w:cs="DejaVu Sans" w:asciiTheme="majorHAnsi" w:cstheme="majorBidi" w:eastAsiaTheme="majorEastAsia" w:hAnsiTheme="majorHAnsi"/>
      <w:b/>
      <w:bCs/>
      <w:color w:themeColor="accent1" w:val="4F81BD"/>
      <w:sz w:val="26"/>
      <w:szCs w:val="26"/>
    </w:rPr>
  </w:style>
  <w:style w:type="paragraph" w:styleId="Heading5">
    <w:name w:val="Heading 5"/>
    <w:basedOn w:val="Normal"/>
    <w:next w:val="Normal"/>
    <w:link w:val="Ttulo5Car"/>
    <w:qFormat/>
    <w:rsid w:val="00816f2f"/>
    <w:pPr>
      <w:keepNext w:val="true"/>
      <w:widowControl w:val="false"/>
      <w:spacing w:lineRule="auto" w:line="240" w:before="0" w:after="0"/>
      <w:jc w:val="center"/>
      <w:outlineLvl w:val="4"/>
    </w:pPr>
    <w:rPr>
      <w:rFonts w:ascii="Times New Roman" w:hAnsi="Times New Roman" w:eastAsia="Times New Roman" w:cs="Times New Roman"/>
      <w:b/>
      <w:sz w:val="20"/>
      <w:szCs w:val="20"/>
      <w:lang w:val="es-ES_tradnl" w:eastAsia="es-ES"/>
    </w:rPr>
  </w:style>
  <w:style w:type="paragraph" w:styleId="Heading8">
    <w:name w:val="Heading 8"/>
    <w:basedOn w:val="Normal"/>
    <w:next w:val="Normal"/>
    <w:qFormat/>
    <w:pPr>
      <w:numPr>
        <w:ilvl w:val="0"/>
        <w:numId w:val="0"/>
      </w:numPr>
      <w:spacing w:before="240" w:after="60"/>
      <w:outlineLvl w:val="7"/>
    </w:pPr>
    <w:rPr>
      <w:rFonts w:ascii="Calibri" w:hAnsi="Calibri"/>
      <w:i/>
      <w:iCs/>
      <w:sz w:val="24"/>
      <w:szCs w:val="24"/>
    </w:rPr>
  </w:style>
  <w:style w:type="character" w:styleId="DefaultParagraphFont" w:default="1">
    <w:name w:val="Default Paragraph Font"/>
    <w:uiPriority w:val="1"/>
    <w:semiHidden/>
    <w:unhideWhenUsed/>
    <w:qFormat/>
    <w:rPr/>
  </w:style>
  <w:style w:type="character" w:styleId="Ttulo5Car" w:customStyle="1">
    <w:name w:val="Título 5 Car"/>
    <w:basedOn w:val="DefaultParagraphFont"/>
    <w:qFormat/>
    <w:rsid w:val="00816f2f"/>
    <w:rPr>
      <w:rFonts w:ascii="Times New Roman" w:hAnsi="Times New Roman" w:eastAsia="Times New Roman" w:cs="Times New Roman"/>
      <w:b/>
      <w:sz w:val="20"/>
      <w:szCs w:val="20"/>
      <w:lang w:val="es-ES_tradnl" w:eastAsia="es-ES"/>
    </w:rPr>
  </w:style>
  <w:style w:type="character" w:styleId="EncabezadoCar" w:customStyle="1">
    <w:name w:val="Encabezado Car"/>
    <w:basedOn w:val="DefaultParagraphFont"/>
    <w:qFormat/>
    <w:rsid w:val="00816f2f"/>
    <w:rPr>
      <w:rFonts w:ascii="Times New Roman" w:hAnsi="Times New Roman" w:eastAsia="Times New Roman" w:cs="Times New Roman"/>
      <w:sz w:val="20"/>
      <w:szCs w:val="20"/>
      <w:lang w:eastAsia="es-ES"/>
    </w:rPr>
  </w:style>
  <w:style w:type="character" w:styleId="SangradetextonormalCar" w:customStyle="1">
    <w:name w:val="Sangría de texto normal Car"/>
    <w:basedOn w:val="DefaultParagraphFont"/>
    <w:uiPriority w:val="99"/>
    <w:qFormat/>
    <w:rsid w:val="006149f1"/>
    <w:rPr>
      <w:rFonts w:ascii="Times New Roman" w:hAnsi="Times New Roman" w:eastAsia="Times New Roman" w:cs="Times New Roman"/>
      <w:sz w:val="20"/>
      <w:szCs w:val="20"/>
      <w:lang w:eastAsia="es-ES"/>
    </w:rPr>
  </w:style>
  <w:style w:type="character" w:styleId="Sangra3detindependienteCar" w:customStyle="1">
    <w:name w:val="Sangría 3 de t. independiente Car"/>
    <w:basedOn w:val="DefaultParagraphFont"/>
    <w:link w:val="BodyTextIndent3"/>
    <w:uiPriority w:val="99"/>
    <w:semiHidden/>
    <w:qFormat/>
    <w:rsid w:val="00a204f5"/>
    <w:rPr>
      <w:sz w:val="16"/>
      <w:szCs w:val="16"/>
    </w:rPr>
  </w:style>
  <w:style w:type="character" w:styleId="Sangra2detindependienteCar" w:customStyle="1">
    <w:name w:val="Sangría 2 de t. independiente Car"/>
    <w:basedOn w:val="DefaultParagraphFont"/>
    <w:link w:val="BodyTextIndent2"/>
    <w:uiPriority w:val="99"/>
    <w:semiHidden/>
    <w:qFormat/>
    <w:rsid w:val="002d4e52"/>
    <w:rPr/>
  </w:style>
  <w:style w:type="character" w:styleId="TextoindependienteCar" w:customStyle="1">
    <w:name w:val="Texto independiente Car"/>
    <w:basedOn w:val="DefaultParagraphFont"/>
    <w:uiPriority w:val="99"/>
    <w:semiHidden/>
    <w:qFormat/>
    <w:rsid w:val="002d4e52"/>
    <w:rPr>
      <w:rFonts w:ascii="Times New Roman" w:hAnsi="Times New Roman" w:eastAsia="Times New Roman" w:cs="Times New Roman"/>
      <w:sz w:val="20"/>
      <w:szCs w:val="20"/>
      <w:lang w:eastAsia="es-ES"/>
    </w:rPr>
  </w:style>
  <w:style w:type="character" w:styleId="Ttulo2Car" w:customStyle="1">
    <w:name w:val="Título 2 Car"/>
    <w:basedOn w:val="DefaultParagraphFont"/>
    <w:uiPriority w:val="9"/>
    <w:semiHidden/>
    <w:qFormat/>
    <w:rsid w:val="00c2749b"/>
    <w:rPr>
      <w:rFonts w:ascii="Arial" w:hAnsi="Arial" w:eastAsia="DejaVu Sans" w:cs="DejaVu Sans" w:asciiTheme="majorHAnsi" w:cstheme="majorBidi" w:eastAsiaTheme="majorEastAsia" w:hAnsiTheme="majorHAnsi"/>
      <w:b/>
      <w:bCs/>
      <w:color w:themeColor="accent1" w:val="4F81BD"/>
      <w:sz w:val="26"/>
      <w:szCs w:val="26"/>
    </w:rPr>
  </w:style>
  <w:style w:type="character" w:styleId="Hyperlink">
    <w:name w:val="Hyperlink"/>
    <w:basedOn w:val="DefaultParagraphFont"/>
    <w:rPr>
      <w:rFonts w:ascii="Verdana" w:hAnsi="Verdana"/>
      <w:color w:themeColor="hyperlink" w:val="0000FF"/>
      <w:u w:val="single"/>
    </w:rPr>
  </w:style>
  <w:style w:type="character" w:styleId="FollowedHyperlink">
    <w:name w:val="FollowedHyperlink"/>
    <w:rPr>
      <w:color w:val="800000"/>
      <w:u w:val="single"/>
      <w:lang w:val="zxx" w:eastAsia="zxx" w:bidi="zxx"/>
    </w:rPr>
  </w:style>
  <w:style w:type="character" w:styleId="Smbolosdenumeracin">
    <w:name w:val="Símbolos de numeración"/>
    <w:qFormat/>
    <w:rPr/>
  </w:style>
  <w:style w:type="character" w:styleId="WW8Num2z4">
    <w:name w:val="WW8Num2z4"/>
    <w:qFormat/>
    <w:rPr>
      <w:rFonts w:ascii="Courier New" w:hAnsi="Courier New" w:cs="Courier New"/>
    </w:rPr>
  </w:style>
  <w:style w:type="character" w:styleId="WW8Num9z4">
    <w:name w:val="WW8Num9z4"/>
    <w:qFormat/>
    <w:rPr>
      <w:rFonts w:ascii="Courier New" w:hAnsi="Courier New" w:cs="Courier New"/>
    </w:rPr>
  </w:style>
  <w:style w:type="character" w:styleId="WW8Num6z1">
    <w:name w:val="WW8Num6z1"/>
    <w:qFormat/>
    <w:rPr>
      <w:rFonts w:ascii="Courier New" w:hAnsi="Courier New" w:cs="Courier New"/>
    </w:rPr>
  </w:style>
  <w:style w:type="character" w:styleId="Vietas">
    <w:name w:val="Viñetas"/>
    <w:qFormat/>
    <w:rPr>
      <w:rFonts w:ascii="OpenSymbol" w:hAnsi="OpenSymbol" w:eastAsia="OpenSymbol" w:cs="OpenSymbol"/>
    </w:rPr>
  </w:style>
  <w:style w:type="character" w:styleId="Bolos">
    <w:name w:val="Bolos"/>
    <w:qFormat/>
    <w:rPr>
      <w:rFonts w:ascii="OpenSymbol" w:hAnsi="OpenSymbol" w:eastAsia="OpenSymbol" w:cs="OpenSymbol"/>
    </w:rPr>
  </w:style>
  <w:style w:type="character" w:styleId="WW8Num13z0">
    <w:name w:val="WW8Num13z0"/>
    <w:qFormat/>
    <w:rPr>
      <w:rFonts w:ascii="Symbol" w:hAnsi="Symbol" w:cs="OpenSymbol;Arial Unicode MS"/>
    </w:rPr>
  </w:style>
  <w:style w:type="character" w:styleId="WW8Num7z0">
    <w:name w:val="WW8Num7z0"/>
    <w:qFormat/>
    <w:rPr>
      <w:rFonts w:ascii="Symbol" w:hAnsi="Symbol" w:cs="Symbol"/>
    </w:rPr>
  </w:style>
  <w:style w:type="character" w:styleId="WW8Num8z0">
    <w:name w:val="WW8Num8z0"/>
    <w:qFormat/>
    <w:rPr>
      <w:rFonts w:ascii="Symbol" w:hAnsi="Symbol" w:cs="Symbol"/>
    </w:rPr>
  </w:style>
  <w:style w:type="character" w:styleId="WW8Num9z0">
    <w:name w:val="WW8Num9z0"/>
    <w:qFormat/>
    <w:rPr>
      <w:rFonts w:ascii="Symbol" w:hAnsi="Symbol" w:cs="Symbol"/>
    </w:rPr>
  </w:style>
  <w:style w:type="character" w:styleId="WW8Num10z0">
    <w:name w:val="WW8Num10z0"/>
    <w:qFormat/>
    <w:rPr>
      <w:rFonts w:ascii="Symbol" w:hAnsi="Symbol" w:cs="Symbol"/>
    </w:rPr>
  </w:style>
  <w:style w:type="character" w:styleId="WW8Num11z0">
    <w:name w:val="WW8Num11z0"/>
    <w:qFormat/>
    <w:rPr>
      <w:rFonts w:ascii="Symbol" w:hAnsi="Symbol" w:cs="Symbol"/>
    </w:rPr>
  </w:style>
  <w:style w:type="character" w:styleId="WW8Num12z0">
    <w:name w:val="WW8Num12z0"/>
    <w:qFormat/>
    <w:rPr>
      <w:rFonts w:ascii="Symbol" w:hAnsi="Symbol" w:cs="OpenSymbol;Arial Unicode MS"/>
    </w:rPr>
  </w:style>
  <w:style w:type="character" w:styleId="WW8Num2z1">
    <w:name w:val="WW8Num2z1"/>
    <w:qFormat/>
    <w:rPr>
      <w:rFonts w:cs="Courier New"/>
    </w:rPr>
  </w:style>
  <w:style w:type="character" w:styleId="WW8Num2z0">
    <w:name w:val="WW8Num2z0"/>
    <w:qFormat/>
    <w:rPr>
      <w:rFonts w:ascii="Wingdings" w:hAnsi="Wingdings" w:cs="Wingding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TextoindependienteCar"/>
    <w:uiPriority w:val="99"/>
    <w:semiHidden/>
    <w:unhideWhenUsed/>
    <w:rsid w:val="002d4e52"/>
    <w:pPr>
      <w:spacing w:lineRule="auto" w:line="240" w:before="0" w:after="120"/>
    </w:pPr>
    <w:rPr>
      <w:rFonts w:ascii="Times New Roman" w:hAnsi="Times New Roman" w:eastAsia="Times New Roman" w:cs="Times New Roman"/>
      <w:sz w:val="20"/>
      <w:szCs w:val="20"/>
      <w:lang w:eastAsia="es-ES"/>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rPr/>
  </w:style>
  <w:style w:type="paragraph" w:styleId="Header">
    <w:name w:val="Header"/>
    <w:basedOn w:val="Normal"/>
    <w:link w:val="EncabezadoCar"/>
    <w:rsid w:val="00816f2f"/>
    <w:pPr>
      <w:tabs>
        <w:tab w:val="clear" w:pos="720"/>
        <w:tab w:val="center" w:pos="4252" w:leader="none"/>
        <w:tab w:val="right" w:pos="8504" w:leader="none"/>
      </w:tabs>
      <w:spacing w:lineRule="auto" w:line="240" w:before="0" w:after="0"/>
    </w:pPr>
    <w:rPr>
      <w:rFonts w:ascii="Times New Roman" w:hAnsi="Times New Roman" w:eastAsia="Times New Roman" w:cs="Times New Roman"/>
      <w:sz w:val="20"/>
      <w:szCs w:val="20"/>
      <w:lang w:eastAsia="es-ES"/>
    </w:rPr>
  </w:style>
  <w:style w:type="paragraph" w:styleId="BodyTextIndent">
    <w:name w:val="Body Text Indent"/>
    <w:basedOn w:val="Normal"/>
    <w:link w:val="SangradetextonormalCar"/>
    <w:uiPriority w:val="99"/>
    <w:unhideWhenUsed/>
    <w:rsid w:val="006149f1"/>
    <w:pPr>
      <w:spacing w:lineRule="auto" w:line="240" w:before="0" w:after="120"/>
      <w:ind w:hanging="0" w:left="283"/>
    </w:pPr>
    <w:rPr>
      <w:rFonts w:ascii="Times New Roman" w:hAnsi="Times New Roman" w:eastAsia="Times New Roman" w:cs="Times New Roman"/>
      <w:sz w:val="20"/>
      <w:szCs w:val="20"/>
      <w:lang w:eastAsia="es-ES"/>
    </w:rPr>
  </w:style>
  <w:style w:type="paragraph" w:styleId="ListParagraph">
    <w:name w:val="List Paragraph"/>
    <w:basedOn w:val="Normal"/>
    <w:uiPriority w:val="34"/>
    <w:qFormat/>
    <w:rsid w:val="006149f1"/>
    <w:pPr>
      <w:spacing w:lineRule="auto" w:line="240" w:before="0" w:after="0"/>
      <w:ind w:hanging="0" w:left="708"/>
    </w:pPr>
    <w:rPr>
      <w:rFonts w:ascii="Bookman Old Style" w:hAnsi="Bookman Old Style" w:eastAsia="Times New Roman" w:cs="Times New Roman"/>
      <w:szCs w:val="24"/>
      <w:lang w:eastAsia="es-ES"/>
    </w:rPr>
  </w:style>
  <w:style w:type="paragraph" w:styleId="BodyTextIndent3">
    <w:name w:val="Body Text Indent 3"/>
    <w:basedOn w:val="Normal"/>
    <w:link w:val="Sangra3detindependienteCar"/>
    <w:uiPriority w:val="99"/>
    <w:semiHidden/>
    <w:unhideWhenUsed/>
    <w:qFormat/>
    <w:rsid w:val="00a204f5"/>
    <w:pPr>
      <w:spacing w:before="0" w:after="120"/>
      <w:ind w:hanging="0" w:left="283"/>
    </w:pPr>
    <w:rPr>
      <w:sz w:val="16"/>
      <w:szCs w:val="16"/>
    </w:rPr>
  </w:style>
  <w:style w:type="paragraph" w:styleId="BodyTextIndent2">
    <w:name w:val="Body Text Indent 2"/>
    <w:basedOn w:val="Normal"/>
    <w:link w:val="Sangra2detindependienteCar"/>
    <w:uiPriority w:val="99"/>
    <w:semiHidden/>
    <w:unhideWhenUsed/>
    <w:qFormat/>
    <w:rsid w:val="002d4e52"/>
    <w:pPr>
      <w:spacing w:lineRule="auto" w:line="480" w:before="0" w:after="120"/>
      <w:ind w:hanging="0" w:left="283"/>
    </w:pP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suppressAutoHyphens w:val="true"/>
      <w:bidi w:val="0"/>
      <w:spacing w:before="0" w:after="0"/>
      <w:jc w:val="left"/>
    </w:pPr>
    <w:rPr>
      <w:rFonts w:ascii="Calibri" w:hAnsi="Calibri" w:eastAsia="Calibri" w:cs=""/>
      <w:color w:val="000000"/>
      <w:kern w:val="0"/>
      <w:sz w:val="24"/>
      <w:szCs w:val="22"/>
      <w:lang w:val="es-ES" w:eastAsia="en-US" w:bidi="ar-SA"/>
    </w:rPr>
  </w:style>
  <w:style w:type="paragraph" w:styleId="PlainText">
    <w:name w:val="Plain Text"/>
    <w:basedOn w:val="Normal"/>
    <w:qFormat/>
    <w:pPr>
      <w:widowControl/>
    </w:pPr>
    <w:rPr>
      <w:rFonts w:ascii="Courier New" w:hAnsi="Courier New"/>
      <w:lang w:val="es-ES"/>
    </w:rPr>
  </w:style>
  <w:style w:type="paragraph" w:styleId="Textoindependiente2">
    <w:name w:val="Texto independiente 2"/>
    <w:basedOn w:val="Normal"/>
    <w:qFormat/>
    <w:pPr>
      <w:spacing w:lineRule="auto" w:line="480" w:before="0" w:after="120"/>
    </w:pPr>
    <w:rPr/>
  </w:style>
  <w:style w:type="paragraph" w:styleId="Prrafodelista">
    <w:name w:val="Párrafo de lista"/>
    <w:basedOn w:val="Normal"/>
    <w:qFormat/>
    <w:pPr>
      <w:ind w:hanging="0" w:left="708"/>
    </w:pPr>
    <w:rPr/>
  </w:style>
  <w:style w:type="paragraph" w:styleId="BodyText2">
    <w:name w:val="Body Text 2"/>
    <w:basedOn w:val="Normal"/>
    <w:qFormat/>
    <w:pPr>
      <w:spacing w:lineRule="exact" w:line="480" w:before="0" w:after="120"/>
    </w:pPr>
    <w:rPr/>
  </w:style>
  <w:style w:type="paragraph" w:styleId="Caption1">
    <w:name w:val="caption1"/>
    <w:basedOn w:val="Normal"/>
    <w:qFormat/>
    <w:pPr>
      <w:spacing w:before="120" w:after="120"/>
    </w:pPr>
    <w:rPr>
      <w:i/>
      <w:iCs/>
    </w:rPr>
  </w:style>
  <w:style w:type="numbering" w:styleId="NoList" w:default="1">
    <w:name w:val="No List"/>
    <w:uiPriority w:val="99"/>
    <w:semiHidden/>
    <w:unhideWhenUsed/>
    <w:qFormat/>
  </w:style>
  <w:style w:type="numbering" w:styleId="WW8Num13">
    <w:name w:val="WW8Num13"/>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2">
    <w:name w:val="WW8Num2"/>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sedeelectronica.gijon.es/sta/CarpetaPublic/doEvent?APP_CODE=STA&amp;PAGE_CODE=CATALOGO"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0</TotalTime>
  <Application>LibreOffice/7.6.5.2$Windows_X86_64 LibreOffice_project/38d5f62f85355c192ef5f1dd47c5c0c0c6d6598b</Application>
  <AppVersion>15.0000</AppVersion>
  <Pages>14</Pages>
  <Words>7727</Words>
  <Characters>42935</Characters>
  <CharactersWithSpaces>50312</CharactersWithSpaces>
  <Paragraphs>407</Paragraphs>
  <Company>Ayuntamiento de Gijon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2024-06-10T11:16:57Z</dcterms:created>
  <dc:creator/>
  <dc:description/>
  <dc:language>es-ES</dc:language>
  <cp:lastModifiedBy/>
  <cp:revision>1</cp:revision>
  <dc:subject/>
  <dc:title/>
</cp:coreProperties>
</file>

<file path=docProps/custom.xml><?xml version="1.0" encoding="utf-8"?>
<Properties xmlns="http://schemas.openxmlformats.org/officeDocument/2006/custom-properties" xmlns:vt="http://schemas.openxmlformats.org/officeDocument/2006/docPropsVTypes"/>
</file>