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76" w:before="0" w:after="120"/>
        <w:jc w:val="both"/>
        <w:rPr>
          <w:rFonts w:ascii="Calibri" w:hAnsi="Calibri" w:cs="Calibri"/>
          <w:b/>
          <w:b/>
          <w:color w:val="000000"/>
          <w:sz w:val="22"/>
          <w:shd w:fill="auto" w:val="clear"/>
          <w:lang w:val="ca-ES" w:eastAsia="zh-CN" w:bidi="hi-IN"/>
        </w:rPr>
      </w:pPr>
      <w:r>
        <w:rPr>
          <w:rFonts w:cs="Calibri" w:ascii="Calibri" w:hAnsi="Calibri"/>
          <w:b/>
          <w:color w:val="000000"/>
          <w:sz w:val="22"/>
          <w:shd w:fill="auto" w:val="clear"/>
          <w:lang w:val="ca-ES" w:eastAsia="zh-CN" w:bidi="hi-IN"/>
        </w:rPr>
        <w:t>DECRET D’ALCALDIA</w:t>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Expedient: </w:t>
      </w:r>
      <w:r>
        <w:rPr>
          <w:rFonts w:cs="Calibri" w:ascii="Calibri" w:hAnsi="Calibri"/>
          <w:b w:val="false"/>
          <w:bCs w:val="false"/>
          <w:color w:val="000000"/>
          <w:sz w:val="22"/>
          <w:shd w:fill="auto" w:val="clear"/>
          <w:lang w:val="ca-ES" w:eastAsia="zh-CN" w:bidi="hi-IN"/>
        </w:rPr>
        <w:t>1737/2024</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Assumpte: </w:t>
      </w:r>
      <w:r>
        <w:rPr>
          <w:rFonts w:cs="Calibri" w:ascii="Calibri" w:hAnsi="Calibri"/>
          <w:b w:val="false"/>
          <w:i w:val="false"/>
          <w:caps w:val="false"/>
          <w:smallCaps w:val="false"/>
          <w:color w:val="2F3E4D"/>
          <w:spacing w:val="0"/>
          <w:sz w:val="22"/>
          <w:shd w:fill="auto" w:val="clear"/>
          <w:lang w:val="ca-ES" w:eastAsia="zh-CN" w:bidi="hi-IN"/>
        </w:rPr>
        <w:t>Aprovació de la convocatòria i les bases especifiques per l’atorgament de subvencions de l'àmbit d'inclusió i diversitats, mitjançant el procediment de concurrència competitiva</w:t>
      </w:r>
      <w:r>
        <w:rPr>
          <w:rFonts w:cs="Calibri" w:ascii="Calibri" w:hAnsi="Calibri"/>
          <w:b/>
          <w:color w:val="2F3E4D"/>
          <w:sz w:val="22"/>
          <w:shd w:fill="auto" w:val="clear"/>
          <w:lang w:val="ca-ES" w:eastAsia="zh-CN" w:bidi="hi-IN"/>
        </w:rPr>
        <w:t xml:space="preserve">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eastAsia="DejaVu Sans" w:cs="Calibri"/>
          <w:b/>
          <w:b/>
          <w:bCs/>
          <w:i w:val="false"/>
          <w:i w:val="false"/>
          <w:caps w:val="false"/>
          <w:smallCaps w:val="false"/>
          <w:color w:val="000000"/>
          <w:spacing w:val="0"/>
          <w:sz w:val="22"/>
          <w:szCs w:val="24"/>
          <w:shd w:fill="auto" w:val="clear"/>
          <w:lang w:val="ca-ES" w:eastAsia="zh-CN" w:bidi="hi-IN"/>
        </w:rPr>
      </w:pPr>
      <w:r>
        <w:rPr>
          <w:rFonts w:cs="Calibri" w:ascii="Calibri" w:hAnsi="Calibri"/>
          <w:b/>
          <w:color w:val="000000"/>
          <w:sz w:val="22"/>
          <w:shd w:fill="auto" w:val="clear"/>
          <w:lang w:val="ca-ES" w:eastAsia="zh-CN" w:bidi="hi-IN"/>
        </w:rPr>
        <w:t>Antecedents</w:t>
      </w:r>
    </w:p>
    <w:p>
      <w:pPr>
        <w:pStyle w:val="Normal"/>
        <w:spacing w:lineRule="auto" w:line="276"/>
        <w:jc w:val="both"/>
        <w:rPr>
          <w:shd w:fill="auto" w:val="clear"/>
          <w:lang w:val="ca-ES" w:eastAsia="zh-CN" w:bidi="hi-IN"/>
        </w:rPr>
      </w:pPr>
      <w:r>
        <w:rPr>
          <w:rFonts w:eastAsia="DejaVu Sans" w:cs="Calibri" w:ascii="Calibri" w:hAnsi="Calibri"/>
          <w:b/>
          <w:bCs/>
          <w:i w:val="false"/>
          <w:caps w:val="false"/>
          <w:smallCaps w:val="false"/>
          <w:color w:val="000000"/>
          <w:spacing w:val="0"/>
          <w:sz w:val="22"/>
          <w:szCs w:val="24"/>
          <w:shd w:fill="auto" w:val="clear"/>
          <w:lang w:val="ca-ES" w:eastAsia="zh-CN" w:bidi="hi-IN"/>
        </w:rPr>
        <w:t>Únic -</w:t>
      </w:r>
      <w:r>
        <w:rPr>
          <w:rFonts w:eastAsia="DejaVu Sans" w:cs="Calibri" w:ascii="Calibri" w:hAnsi="Calibri"/>
          <w:b w:val="false"/>
          <w:i w:val="false"/>
          <w:caps w:val="false"/>
          <w:smallCaps w:val="false"/>
          <w:color w:val="000000"/>
          <w:spacing w:val="0"/>
          <w:sz w:val="22"/>
          <w:szCs w:val="24"/>
          <w:shd w:fill="auto" w:val="clear"/>
          <w:lang w:val="ca-ES" w:eastAsia="zh-CN" w:bidi="hi-IN"/>
        </w:rPr>
        <w:t xml:space="preserve"> Les Regidories de Tresoreria i Subvencions i la de Participació i Regeneració institucional han emès memòria que consta incorporada a l’expedient on es proposa aprovar la convocatòria i les bases específiques per a la concessió de subvencions a entitats de l'àmbit d'inclusió i diversitats per l’any 2024.</w:t>
      </w:r>
    </w:p>
    <w:p>
      <w:pPr>
        <w:pStyle w:val="Normal"/>
        <w:spacing w:lineRule="auto" w:line="276"/>
        <w:jc w:val="both"/>
        <w:rPr>
          <w:shd w:fill="auto" w:val="clear"/>
          <w:lang w:val="ca-ES" w:eastAsia="zh-CN" w:bidi="hi-IN"/>
        </w:rPr>
      </w:pPr>
      <w:r>
        <w:rPr>
          <w:shd w:fill="auto" w:val="clear"/>
          <w:lang w:val="ca-ES" w:eastAsia="zh-CN" w:bidi="hi-IN"/>
        </w:rPr>
      </w:r>
    </w:p>
    <w:p>
      <w:pPr>
        <w:pStyle w:val="Normal"/>
        <w:spacing w:lineRule="auto" w:line="276"/>
        <w:jc w:val="both"/>
        <w:rPr>
          <w:rFonts w:ascii="Calibri" w:hAnsi="Calibri" w:cs="Calibri"/>
          <w:b w:val="false"/>
          <w:b w:val="false"/>
          <w:i w:val="false"/>
          <w:i w:val="false"/>
          <w:caps w:val="false"/>
          <w:smallCaps w:val="false"/>
          <w:color w:val="000000"/>
          <w:spacing w:val="0"/>
          <w:sz w:val="22"/>
          <w:shd w:fill="auto" w:val="clear"/>
          <w:lang w:val="ca-ES" w:eastAsia="zh-CN" w:bidi="hi-IN"/>
        </w:rPr>
      </w:pPr>
      <w:r>
        <w:rPr>
          <w:rFonts w:cs="Calibri" w:ascii="Calibri" w:hAnsi="Calibri"/>
          <w:b w:val="false"/>
          <w:i w:val="false"/>
          <w:caps w:val="false"/>
          <w:smallCaps w:val="false"/>
          <w:color w:val="000000"/>
          <w:spacing w:val="0"/>
          <w:sz w:val="22"/>
          <w:shd w:fill="auto" w:val="clear"/>
          <w:lang w:val="ca-ES" w:eastAsia="zh-CN" w:bidi="hi-IN"/>
        </w:rPr>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b/>
          <w:color w:val="000000"/>
          <w:sz w:val="22"/>
          <w:shd w:fill="auto" w:val="clear"/>
          <w:lang w:val="ca-ES" w:eastAsia="zh-CN" w:bidi="hi-IN"/>
        </w:rPr>
        <w:t>Fonaments jurídics</w:t>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r>
    </w:p>
    <w:p>
      <w:pPr>
        <w:pStyle w:val="Normal"/>
        <w:spacing w:lineRule="auto" w:line="276"/>
        <w:jc w:val="both"/>
        <w:rPr>
          <w:rFonts w:ascii="Calibri" w:hAnsi="Calibri" w:cs="Calibri"/>
          <w:sz w:val="22"/>
          <w:szCs w:val="22"/>
          <w:lang w:val="ca-ES" w:eastAsia="zh-CN" w:bidi="hi-IN"/>
        </w:rPr>
      </w:pPr>
      <w:r>
        <w:rPr>
          <w:rFonts w:cs="Calibri" w:ascii="Calibri" w:hAnsi="Calibri"/>
          <w:b/>
          <w:bCs/>
          <w:sz w:val="22"/>
          <w:szCs w:val="22"/>
          <w:lang w:val="ca-ES" w:eastAsia="zh-CN" w:bidi="hi-IN"/>
        </w:rPr>
        <w:t>1-</w:t>
      </w:r>
      <w:r>
        <w:rPr>
          <w:rFonts w:cs="Calibri" w:ascii="Calibri" w:hAnsi="Calibri"/>
          <w:sz w:val="22"/>
          <w:szCs w:val="22"/>
          <w:lang w:val="ca-ES" w:eastAsia="zh-CN" w:bidi="hi-IN"/>
        </w:rPr>
        <w:t xml:space="preserve"> Les bases reguladores de les subvencions de les Corporacions Locals s’aproven en el marc, entre d’altres, d’una ordenança general de subvencions com es disposa a l’article 17.2 de la Llei 38/2003,de 17 de novembre, General de Subvencions (en endavant LGS). En aquesta tesitura, el Ple de l’</w:t>
      </w:r>
      <w:r>
        <w:rPr>
          <w:rFonts w:cs="Calibri" w:ascii="Calibri" w:hAnsi="Calibri"/>
          <w:b w:val="false"/>
          <w:i w:val="false"/>
          <w:caps w:val="false"/>
          <w:smallCaps w:val="false"/>
          <w:spacing w:val="0"/>
          <w:sz w:val="22"/>
          <w:szCs w:val="22"/>
          <w:lang w:val="ca-ES" w:eastAsia="zh-CN" w:bidi="hi-IN"/>
        </w:rPr>
        <w:t>Ajuntament de Cabrils en sessió ordinària de 25 de març de 2010 va acordar aprovar l’ordenança general de subvencions que regula i fixa els criteris i procediment a seguir per a la sol·licitud, concessió, justificació i pagament de suvencions de l’Ajuntament.</w:t>
      </w:r>
    </w:p>
    <w:p>
      <w:pPr>
        <w:pStyle w:val="Normal"/>
        <w:spacing w:lineRule="auto" w:line="276"/>
        <w:jc w:val="both"/>
        <w:rPr>
          <w:rFonts w:ascii="Calibri" w:hAnsi="Calibri" w:cs="Calibri"/>
          <w:sz w:val="22"/>
          <w:szCs w:val="22"/>
          <w:lang w:val="ca-ES" w:eastAsia="zh-CN" w:bidi="hi-IN"/>
        </w:rPr>
      </w:pPr>
      <w:r>
        <w:rPr>
          <w:rFonts w:cs="Calibri" w:ascii="Calibri" w:hAnsi="Calibri"/>
          <w:sz w:val="22"/>
          <w:szCs w:val="22"/>
          <w:lang w:val="ca-ES" w:eastAsia="zh-CN" w:bidi="hi-IN"/>
        </w:rPr>
      </w:r>
    </w:p>
    <w:p>
      <w:pPr>
        <w:pStyle w:val="Normal"/>
        <w:spacing w:lineRule="auto" w:line="276"/>
        <w:jc w:val="both"/>
        <w:rPr>
          <w:rFonts w:ascii="Calibri" w:hAnsi="Calibri" w:cs="Calibri"/>
          <w:sz w:val="22"/>
          <w:szCs w:val="22"/>
          <w:lang w:val="ca-ES" w:eastAsia="zh-CN" w:bidi="hi-IN"/>
        </w:rPr>
      </w:pPr>
      <w:r>
        <w:rPr>
          <w:rFonts w:cs="Calibri" w:ascii="Calibri" w:hAnsi="Calibri"/>
          <w:b w:val="false"/>
          <w:i w:val="false"/>
          <w:caps w:val="false"/>
          <w:smallCaps w:val="false"/>
          <w:spacing w:val="0"/>
          <w:sz w:val="22"/>
          <w:szCs w:val="22"/>
          <w:lang w:val="ca-ES" w:eastAsia="zh-CN" w:bidi="hi-IN"/>
        </w:rPr>
        <w:t>2- A diferència de les bases reguladores de les subvencions que tenen una naturalesa reglamentària com es pot desprendre de l’article 17.2 de la LGS, la convocatòria és un acte administratiu plúrimpuix que va dirigit a una pluralitat indeterminada de subjectes i pot incloure, d’acord amb l’article 23.2ª) LGS, les bases especifiques de la convocatòria, com és el cas. El fet que no comparteixi la naturalesa de norma reglamentària amb vocació de generalitat i permanència determina que la convocatòria, a la qual es pot incorporar les bases específiques, no hagi de seguir el procediment d’aprovació bifàsic propi de les normes de naturalesa reglamentària.</w:t>
      </w:r>
    </w:p>
    <w:p>
      <w:pPr>
        <w:pStyle w:val="Normal"/>
        <w:spacing w:lineRule="auto" w:line="276"/>
        <w:jc w:val="both"/>
        <w:rPr>
          <w:rFonts w:ascii="Calibri" w:hAnsi="Calibri" w:cs="Calibri"/>
          <w:sz w:val="22"/>
          <w:szCs w:val="22"/>
          <w:lang w:val="ca-ES" w:eastAsia="zh-CN" w:bidi="hi-IN"/>
        </w:rPr>
      </w:pPr>
      <w:r>
        <w:rPr>
          <w:rFonts w:cs="Calibri" w:ascii="Calibri" w:hAnsi="Calibri"/>
          <w:sz w:val="22"/>
          <w:szCs w:val="22"/>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val="false"/>
          <w:i w:val="false"/>
          <w:caps w:val="false"/>
          <w:smallCaps w:val="false"/>
          <w:spacing w:val="0"/>
          <w:sz w:val="22"/>
          <w:szCs w:val="22"/>
          <w:lang w:val="ca-ES" w:eastAsia="zh-CN" w:bidi="hi-IN"/>
        </w:rPr>
        <w:t xml:space="preserve">3- La competència per l’adopció d’aquest acord correspon a la Junta de Govern Local per delegació efectuada per l’Alcaldessa d’aquest Ajuntament, mitjançant el Decret d’Alcaldia núm 757/2019, de data 19 de juny de 2019 (BOP CVE2019022852 de data 28 de juny de 2019).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RESOLC:</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Primer.- </w:t>
      </w:r>
      <w:r>
        <w:rPr>
          <w:rFonts w:cs="Calibri" w:ascii="Calibri" w:hAnsi="Calibri"/>
          <w:color w:val="000000"/>
          <w:sz w:val="22"/>
          <w:shd w:fill="auto" w:val="clear"/>
          <w:lang w:val="ca-ES" w:eastAsia="zh-CN" w:bidi="hi-IN"/>
        </w:rPr>
        <w:t>AVOCAR la competència per a l’adopció del present acord de la Junta de Govern Local, per raons d’urgència.</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Segon.- </w:t>
      </w:r>
      <w:r>
        <w:rPr>
          <w:rFonts w:cs="Calibri" w:ascii="Calibri" w:hAnsi="Calibri"/>
          <w:b w:val="false"/>
          <w:i w:val="false"/>
          <w:caps w:val="false"/>
          <w:smallCaps w:val="false"/>
          <w:color w:val="000000"/>
          <w:spacing w:val="0"/>
          <w:sz w:val="22"/>
          <w:shd w:fill="auto" w:val="clear"/>
          <w:lang w:val="ca-ES" w:eastAsia="zh-CN" w:bidi="hi-IN"/>
        </w:rPr>
        <w:t xml:space="preserve">APROVAR la convocatòria i les bases específiques per l’atorgament de subvencionsmitjançant el procediment de concurrència competitiva, que s'adjunten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b/>
          <w:color w:val="000000"/>
          <w:sz w:val="22"/>
          <w:shd w:fill="auto" w:val="clear"/>
          <w:lang w:val="ca-ES" w:eastAsia="zh-CN" w:bidi="hi-IN"/>
        </w:rPr>
        <w:t xml:space="preserve">Tercer.- </w:t>
      </w:r>
      <w:r>
        <w:rPr>
          <w:rFonts w:cs="Calibri" w:ascii="Calibri" w:hAnsi="Calibri"/>
          <w:b w:val="false"/>
          <w:i w:val="false"/>
          <w:caps w:val="false"/>
          <w:smallCaps w:val="false"/>
          <w:color w:val="000000"/>
          <w:spacing w:val="0"/>
          <w:sz w:val="22"/>
          <w:shd w:fill="auto" w:val="clear"/>
          <w:lang w:val="ca-ES" w:eastAsia="zh-CN" w:bidi="hi-IN"/>
        </w:rPr>
        <w:t>PUBLICAR la present convocatòria i bases específiques a la Base de Dades Nacional deSubvencions, al Butlletí Oficial de la Província de Barcelona i al tauler d’anuncis de la Corporació enels termes que disposa l’article 20.8 de la LGS tot indicant que el termini per la presentació desol·licituds será de 20 dies hàbils a comptar de l’endemà de la publicació d’un extracte de la presentconvocatòria al BOPB, a través de la BDNS</w:t>
      </w:r>
      <w:r>
        <w:rPr>
          <w:rFonts w:cs="Calibri" w:ascii="Calibri" w:hAnsi="Calibri"/>
          <w:b/>
          <w:color w:val="000000"/>
          <w:sz w:val="22"/>
          <w:shd w:fill="auto" w:val="clear"/>
          <w:lang w:val="ca-ES" w:eastAsia="zh-CN" w:bidi="hi-IN"/>
        </w:rPr>
        <w:t xml:space="preserve">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eastAsia="DejaVu Sans" w:cs="Calibri" w:ascii="Calibri" w:hAnsi="Calibri"/>
          <w:b/>
          <w:color w:val="000000"/>
          <w:sz w:val="22"/>
          <w:szCs w:val="24"/>
          <w:shd w:fill="auto" w:val="clear"/>
          <w:lang w:val="ca-ES" w:eastAsia="zh-CN" w:bidi="hi-IN"/>
        </w:rPr>
        <w:t>Quart</w:t>
      </w:r>
      <w:r>
        <w:rPr>
          <w:rFonts w:cs="Calibri" w:ascii="Calibri" w:hAnsi="Calibri"/>
          <w:b/>
          <w:color w:val="000000"/>
          <w:sz w:val="22"/>
          <w:shd w:fill="auto" w:val="clear"/>
          <w:lang w:val="ca-ES" w:eastAsia="zh-CN" w:bidi="hi-IN"/>
        </w:rPr>
        <w:t xml:space="preserve">.- </w:t>
      </w:r>
      <w:r>
        <w:rPr>
          <w:rFonts w:cs="Calibri" w:ascii="Calibri" w:hAnsi="Calibri"/>
          <w:b w:val="false"/>
          <w:i w:val="false"/>
          <w:caps w:val="false"/>
          <w:smallCaps w:val="false"/>
          <w:color w:val="000000"/>
          <w:spacing w:val="0"/>
          <w:sz w:val="22"/>
          <w:shd w:fill="auto" w:val="clear"/>
          <w:lang w:val="ca-ES" w:eastAsia="zh-CN" w:bidi="hi-IN"/>
        </w:rPr>
        <w:t>DONAR TRASLLAT de la present resolució a la Regidoria d'Equtitat, Diversitats i Cooperació i a la Regidoria de Tresoreria i Subvencions als efectes pressupostaris corresponents</w:t>
      </w:r>
      <w:r>
        <w:rPr>
          <w:rFonts w:cs="Calibri" w:ascii="Calibri" w:hAnsi="Calibri"/>
          <w:b/>
          <w:color w:val="000000"/>
          <w:sz w:val="22"/>
          <w:shd w:fill="auto" w:val="clear"/>
          <w:lang w:val="ca-ES" w:eastAsia="zh-CN" w:bidi="hi-IN"/>
        </w:rPr>
        <w:t xml:space="preserve"> </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eastAsia="DejaVu Sans" w:cs="Calibri" w:ascii="Calibri" w:hAnsi="Calibri"/>
          <w:b/>
          <w:color w:val="000000"/>
          <w:sz w:val="22"/>
          <w:szCs w:val="24"/>
          <w:shd w:fill="auto" w:val="clear"/>
          <w:lang w:val="ca-ES" w:eastAsia="zh-CN" w:bidi="hi-IN"/>
        </w:rPr>
        <w:t>Cinquè</w:t>
      </w:r>
      <w:r>
        <w:rPr>
          <w:rFonts w:cs="Calibri" w:ascii="Calibri" w:hAnsi="Calibri"/>
          <w:b/>
          <w:color w:val="000000"/>
          <w:sz w:val="22"/>
          <w:shd w:fill="auto" w:val="clear"/>
          <w:lang w:val="ca-ES" w:eastAsia="zh-CN" w:bidi="hi-IN"/>
        </w:rPr>
        <w:t>.</w:t>
      </w:r>
      <w:r>
        <w:rPr>
          <w:rFonts w:cs="Calibri" w:ascii="Calibri" w:hAnsi="Calibri"/>
          <w:color w:val="000000"/>
          <w:sz w:val="22"/>
          <w:shd w:fill="auto" w:val="clear"/>
          <w:lang w:val="ca-ES" w:eastAsia="zh-CN" w:bidi="hi-IN"/>
        </w:rPr>
        <w:t>- DONAR COMPTE del present Decret a la propera Junta de Govern Local.</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color w:val="000000"/>
          <w:sz w:val="22"/>
          <w:shd w:fill="auto" w:val="clear"/>
          <w:lang w:val="ca-ES" w:eastAsia="zh-CN" w:bidi="hi-IN"/>
        </w:rPr>
        <w:t>Cabrils, a data de la signatura electrònica</w:t>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shd w:fill="auto" w:val="clear"/>
          <w:lang w:val="ca-ES" w:eastAsia="zh-CN" w:bidi="hi-IN"/>
        </w:rPr>
      </w:pPr>
      <w:r>
        <w:rPr>
          <w:rFonts w:cs="Calibri" w:ascii="Calibri" w:hAnsi="Calibri"/>
          <w:shd w:fill="auto" w:val="clear"/>
          <w:lang w:val="ca-ES" w:eastAsia="zh-CN" w:bidi="hi-IN"/>
        </w:rPr>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t xml:space="preserve">L’alcaldessa </w:t>
        <w:tab/>
        <w:tab/>
        <w:tab/>
        <w:tab/>
        <w:tab/>
        <w:tab/>
        <w:t>En dono fe</w:t>
      </w:r>
    </w:p>
    <w:p>
      <w:pPr>
        <w:pStyle w:val="Normal"/>
        <w:spacing w:lineRule="auto" w:line="276"/>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tab/>
        <w:tab/>
        <w:tab/>
        <w:tab/>
        <w:tab/>
        <w:tab/>
        <w:tab/>
        <w:t>El secretari</w:t>
      </w:r>
    </w:p>
    <w:p>
      <w:pPr>
        <w:pStyle w:val="Normal"/>
        <w:bidi w:val="0"/>
        <w:spacing w:lineRule="auto" w:line="276" w:before="0" w:after="120"/>
        <w:jc w:val="both"/>
        <w:rPr>
          <w:rFonts w:ascii="Calibri" w:hAnsi="Calibri" w:cs="Calibri"/>
          <w:color w:val="000000"/>
          <w:sz w:val="22"/>
          <w:shd w:fill="auto" w:val="clear"/>
          <w:lang w:val="ca-ES" w:eastAsia="zh-CN" w:bidi="hi-IN"/>
        </w:rPr>
      </w:pPr>
      <w:r>
        <w:rPr>
          <w:rFonts w:cs="Calibri" w:ascii="Calibri" w:hAnsi="Calibri"/>
          <w:color w:val="000000"/>
          <w:sz w:val="22"/>
          <w:shd w:fill="auto" w:val="clear"/>
          <w:lang w:val="ca-ES" w:eastAsia="zh-CN" w:bidi="hi-IN"/>
        </w:rPr>
        <w:t xml:space="preserve">Maite Viñals Clemente </w:t>
        <w:tab/>
        <w:tab/>
        <w:tab/>
        <w:tab/>
        <w:tab/>
        <w:t>Samuel Lara Gómez</w:t>
      </w:r>
    </w:p>
    <w:sectPr>
      <w:headerReference w:type="default" r:id="rId2"/>
      <w:footerReference w:type="default" r:id="rId3"/>
      <w:type w:val="nextPage"/>
      <w:pgSz w:w="11906" w:h="16838"/>
      <w:pgMar w:left="1417" w:right="1417" w:gutter="0" w:header="567" w:top="1809" w:footer="567" w:bottom="1276"/>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6865" cy="268605"/>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31" t="-630" r="-31" b="-630"/>
                  <a:stretch>
                    <a:fillRect/>
                  </a:stretch>
                </pic:blipFill>
                <pic:spPr bwMode="auto">
                  <a:xfrm>
                    <a:off x="0" y="0"/>
                    <a:ext cx="5396865" cy="2686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bidi w:val="0"/>
      <w:jc w:val="left"/>
      <w:rPr/>
    </w:pPr>
    <w:r>
      <w:rPr/>
      <w:drawing>
        <wp:inline distT="0" distB="0" distL="0" distR="0">
          <wp:extent cx="1597025" cy="69723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26" t="-289" r="-126" b="-289"/>
                  <a:stretch>
                    <a:fillRect/>
                  </a:stretch>
                </pic:blipFill>
                <pic:spPr bwMode="auto">
                  <a:xfrm>
                    <a:off x="0" y="0"/>
                    <a:ext cx="1597025" cy="6972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20"/>
        <w:tab w:val="center" w:pos="5386" w:leader="none"/>
        <w:tab w:val="right" w:pos="10772" w:leader="none"/>
      </w:tabs>
    </w:pPr>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86</TotalTime>
  <Application>LibreOffice/7.2.6.2$Windows_X86_64 LibreOffice_project/b0ec3a565991f7569a5a7f5d24fed7f52653d754</Application>
  <AppVersion>15.0000</AppVersion>
  <Pages>2</Pages>
  <Words>483</Words>
  <Characters>2667</Characters>
  <CharactersWithSpaces>3154</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lastPrinted>2024-07-22T12:31:00Z</cp:lastPrinted>
  <dcterms:modified xsi:type="dcterms:W3CDTF">2024-08-01T10:01:49Z</dcterms:modified>
  <cp:revision>5</cp:revision>
  <dc:subject/>
  <dc:title/>
</cp:coreProperties>
</file>