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120"/>
        <w:jc w:val="both"/>
        <w:rPr>
          <w:rFonts w:ascii="Calibri" w:hAnsi="Calibri" w:cs="Calibri"/>
          <w:b/>
          <w:b/>
          <w:color w:val="000000"/>
          <w:sz w:val="22"/>
          <w:shd w:fill="auto" w:val="clear"/>
          <w:lang w:val="ca-ES" w:eastAsia="zh-CN" w:bidi="hi-IN"/>
        </w:rPr>
      </w:pPr>
      <w:r>
        <w:rPr>
          <w:rFonts w:cs="Calibri" w:ascii="Calibri" w:hAnsi="Calibri"/>
          <w:b/>
          <w:color w:val="000000"/>
          <w:sz w:val="22"/>
          <w:shd w:fill="auto" w:val="clear"/>
          <w:lang w:val="ca-ES" w:eastAsia="zh-CN" w:bidi="hi-IN"/>
        </w:rPr>
        <w:t>DECRETO DE ALCALDÍA</w:t>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Expediente: </w:t>
      </w:r>
      <w:r>
        <w:rPr>
          <w:rFonts w:cs="Calibri" w:ascii="Calibri" w:hAnsi="Calibri"/>
          <w:b w:val="false"/>
          <w:bCs w:val="false"/>
          <w:color w:val="000000"/>
          <w:sz w:val="22"/>
          <w:shd w:fill="auto" w:val="clear"/>
          <w:lang w:val="ca-ES" w:eastAsia="zh-CN" w:bidi="hi-IN"/>
        </w:rPr>
        <w:t>1737/2024</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Asunto: </w:t>
      </w:r>
      <w:r>
        <w:rPr>
          <w:rFonts w:cs="Calibri" w:ascii="Calibri" w:hAnsi="Calibri"/>
          <w:b w:val="false"/>
          <w:i w:val="false"/>
          <w:caps w:val="false"/>
          <w:smallCaps w:val="false"/>
          <w:color w:val="2F3E4D"/>
          <w:spacing w:val="0"/>
          <w:sz w:val="22"/>
          <w:shd w:fill="auto" w:val="clear"/>
          <w:lang w:val="ca-ES" w:eastAsia="zh-CN" w:bidi="hi-IN"/>
        </w:rPr>
        <w:t>Aprobación de la convocatoria y las bases específicas para el otorgamiento de subvenciones del ámbito de inclusión y diversidades, mediante el procedimiento de concurrencia competitiva</w:t>
      </w:r>
      <w:r>
        <w:rPr>
          <w:rFonts w:cs="Calibri" w:ascii="Calibri" w:hAnsi="Calibri"/>
          <w:b/>
          <w:color w:val="2F3E4D"/>
          <w:sz w:val="22"/>
          <w:shd w:fill="auto" w:val="clear"/>
          <w:lang w:val="ca-ES" w:eastAsia="zh-CN" w:bidi="hi-IN"/>
        </w:rPr>
        <w:t xml:space="preserve">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eastAsia="DejaVu Sans" w:cs="Calibri"/>
          <w:b/>
          <w:b/>
          <w:bCs/>
          <w:i w:val="false"/>
          <w:i w:val="false"/>
          <w:caps w:val="false"/>
          <w:smallCaps w:val="false"/>
          <w:color w:val="000000"/>
          <w:spacing w:val="0"/>
          <w:sz w:val="22"/>
          <w:szCs w:val="24"/>
          <w:shd w:fill="auto" w:val="clear"/>
          <w:lang w:val="ca-ES" w:eastAsia="zh-CN" w:bidi="hi-IN"/>
        </w:rPr>
      </w:pPr>
      <w:r>
        <w:rPr>
          <w:rFonts w:cs="Calibri" w:ascii="Calibri" w:hAnsi="Calibri"/>
          <w:b/>
          <w:color w:val="000000"/>
          <w:sz w:val="22"/>
          <w:shd w:fill="auto" w:val="clear"/>
          <w:lang w:val="ca-ES" w:eastAsia="zh-CN" w:bidi="hi-IN"/>
        </w:rPr>
        <w:t>Antecedentes</w:t>
      </w:r>
    </w:p>
    <w:p>
      <w:pPr>
        <w:pStyle w:val="Normal"/>
        <w:spacing w:lineRule="auto" w:line="276"/>
        <w:jc w:val="both"/>
        <w:rPr>
          <w:shd w:fill="auto" w:val="clear"/>
          <w:lang w:val="ca-ES" w:eastAsia="zh-CN" w:bidi="hi-IN"/>
        </w:rPr>
      </w:pPr>
      <w:r>
        <w:rPr>
          <w:rFonts w:eastAsia="DejaVu Sans" w:cs="Calibri" w:ascii="Calibri" w:hAnsi="Calibri"/>
          <w:b/>
          <w:bCs/>
          <w:i w:val="false"/>
          <w:caps w:val="false"/>
          <w:smallCaps w:val="false"/>
          <w:color w:val="000000"/>
          <w:spacing w:val="0"/>
          <w:sz w:val="22"/>
          <w:szCs w:val="24"/>
          <w:shd w:fill="auto" w:val="clear"/>
          <w:lang w:val="ca-ES" w:eastAsia="zh-CN" w:bidi="hi-IN"/>
        </w:rPr>
        <w:t xml:space="preserve">Único - </w:t>
      </w:r>
      <w:r>
        <w:rPr>
          <w:rFonts w:eastAsia="DejaVu Sans" w:cs="Calibri" w:ascii="Calibri" w:hAnsi="Calibri"/>
          <w:b w:val="false"/>
          <w:i w:val="false"/>
          <w:caps w:val="false"/>
          <w:smallCaps w:val="false"/>
          <w:color w:val="000000"/>
          <w:spacing w:val="0"/>
          <w:sz w:val="22"/>
          <w:szCs w:val="24"/>
          <w:shd w:fill="auto" w:val="clear"/>
          <w:lang w:val="ca-ES" w:eastAsia="zh-CN" w:bidi="hi-IN"/>
        </w:rPr>
        <w:t>Las Concejalías de Tesorería y Subvenciones y la de Participación y Regeneración institucional han emitido memoria que consta incorporada en el expediente donde se propone aprobar la convocatoria y las bases específicas para la concesión de subvenciones a entidades del ámbito de inclusión y diversidades para el año 2024.</w:t>
      </w:r>
    </w:p>
    <w:p>
      <w:pPr>
        <w:pStyle w:val="Normal"/>
        <w:spacing w:lineRule="auto" w:line="276"/>
        <w:jc w:val="both"/>
        <w:rPr>
          <w:shd w:fill="auto" w:val="clear"/>
          <w:lang w:val="ca-ES" w:eastAsia="zh-CN" w:bidi="hi-IN"/>
        </w:rPr>
      </w:pPr>
      <w:r>
        <w:rPr>
          <w:shd w:fill="auto" w:val="clear"/>
          <w:lang w:val="ca-ES" w:eastAsia="zh-CN" w:bidi="hi-IN"/>
        </w:rPr>
      </w:r>
    </w:p>
    <w:p>
      <w:pPr>
        <w:pStyle w:val="Normal"/>
        <w:spacing w:lineRule="auto" w:line="276"/>
        <w:jc w:val="both"/>
        <w:rPr>
          <w:rFonts w:ascii="Calibri" w:hAnsi="Calibri" w:cs="Calibri"/>
          <w:b w:val="false"/>
          <w:b w:val="false"/>
          <w:i w:val="false"/>
          <w:i w:val="false"/>
          <w:caps w:val="false"/>
          <w:smallCaps w:val="false"/>
          <w:color w:val="000000"/>
          <w:spacing w:val="0"/>
          <w:sz w:val="22"/>
          <w:shd w:fill="auto" w:val="clear"/>
          <w:lang w:val="ca-ES" w:eastAsia="zh-CN" w:bidi="hi-IN"/>
        </w:rPr>
      </w:pPr>
      <w:r>
        <w:rPr>
          <w:rFonts w:cs="Calibri" w:ascii="Calibri" w:hAnsi="Calibri"/>
          <w:b w:val="false"/>
          <w:i w:val="false"/>
          <w:caps w:val="false"/>
          <w:smallCaps w:val="false"/>
          <w:color w:val="000000"/>
          <w:spacing w:val="0"/>
          <w:sz w:val="22"/>
          <w:shd w:fill="auto" w:val="clear"/>
          <w:lang w:val="ca-ES" w:eastAsia="zh-CN" w:bidi="hi-IN"/>
        </w:rPr>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b/>
          <w:color w:val="000000"/>
          <w:sz w:val="22"/>
          <w:shd w:fill="auto" w:val="clear"/>
          <w:lang w:val="ca-ES" w:eastAsia="zh-CN" w:bidi="hi-IN"/>
        </w:rPr>
        <w:t>Fundamentos jurídicos</w:t>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r>
    </w:p>
    <w:p>
      <w:pPr>
        <w:pStyle w:val="Normal"/>
        <w:spacing w:lineRule="auto" w:line="276"/>
        <w:jc w:val="both"/>
        <w:rPr>
          <w:rFonts w:ascii="Calibri" w:hAnsi="Calibri" w:cs="Calibri"/>
          <w:sz w:val="22"/>
          <w:szCs w:val="22"/>
          <w:lang w:val="ca-ES" w:eastAsia="zh-CN" w:bidi="hi-IN"/>
        </w:rPr>
      </w:pPr>
      <w:r>
        <w:rPr>
          <w:rFonts w:cs="Calibri" w:ascii="Calibri" w:hAnsi="Calibri"/>
          <w:b/>
          <w:bCs/>
          <w:sz w:val="22"/>
          <w:szCs w:val="22"/>
          <w:lang w:val="ca-ES" w:eastAsia="zh-CN" w:bidi="hi-IN"/>
        </w:rPr>
        <w:t xml:space="preserve">1- </w:t>
      </w:r>
      <w:r>
        <w:rPr>
          <w:rFonts w:cs="Calibri" w:ascii="Calibri" w:hAnsi="Calibri"/>
          <w:sz w:val="22"/>
          <w:szCs w:val="22"/>
          <w:lang w:val="ca-ES" w:eastAsia="zh-CN" w:bidi="hi-IN"/>
        </w:rPr>
        <w:t xml:space="preserve">Las bases reguladoras de las subvenciones de las Corporaciones Locales se aprueban en el marco, entre otros, de una ordenanza general de subvenciones como se dispone en el artículo 17.2 de la Ley 38/2003, de 17 de noviembre , General de Subvenciones (en adelante LGS). En esta tesitura, el Pleno del Ayuntamiento </w:t>
      </w:r>
      <w:r>
        <w:rPr>
          <w:rFonts w:cs="Calibri" w:ascii="Calibri" w:hAnsi="Calibri"/>
          <w:b w:val="false"/>
          <w:i w:val="false"/>
          <w:caps w:val="false"/>
          <w:smallCaps w:val="false"/>
          <w:spacing w:val="0"/>
          <w:sz w:val="22"/>
          <w:szCs w:val="22"/>
          <w:lang w:val="ca-ES" w:eastAsia="zh-CN" w:bidi="hi-IN"/>
        </w:rPr>
        <w:t>de Cabrils en sesión ordinaria de 25 de marzo de 2010 acordó aprobar la ordenanza general de subvenciones que regula y fija los criterios y procedimiento a seguir para la solicitud, concesión, justificación y pago de suvenciones del Ayuntamiento.</w:t>
      </w:r>
    </w:p>
    <w:p>
      <w:pPr>
        <w:pStyle w:val="Normal"/>
        <w:spacing w:lineRule="auto" w:line="276"/>
        <w:jc w:val="both"/>
        <w:rPr>
          <w:rFonts w:ascii="Calibri" w:hAnsi="Calibri" w:cs="Calibri"/>
          <w:sz w:val="22"/>
          <w:szCs w:val="22"/>
          <w:lang w:val="ca-ES" w:eastAsia="zh-CN" w:bidi="hi-IN"/>
        </w:rPr>
      </w:pPr>
      <w:r>
        <w:rPr>
          <w:rFonts w:cs="Calibri" w:ascii="Calibri" w:hAnsi="Calibri"/>
          <w:sz w:val="22"/>
          <w:szCs w:val="22"/>
          <w:lang w:val="ca-ES" w:eastAsia="zh-CN" w:bidi="hi-IN"/>
        </w:rPr>
      </w:r>
    </w:p>
    <w:p>
      <w:pPr>
        <w:pStyle w:val="Normal"/>
        <w:spacing w:lineRule="auto" w:line="276"/>
        <w:jc w:val="both"/>
        <w:rPr>
          <w:rFonts w:ascii="Calibri" w:hAnsi="Calibri" w:cs="Calibri"/>
          <w:sz w:val="22"/>
          <w:szCs w:val="22"/>
          <w:lang w:val="ca-ES" w:eastAsia="zh-CN" w:bidi="hi-IN"/>
        </w:rPr>
      </w:pPr>
      <w:r>
        <w:rPr>
          <w:rFonts w:cs="Calibri" w:ascii="Calibri" w:hAnsi="Calibri"/>
          <w:b w:val="false"/>
          <w:i w:val="false"/>
          <w:caps w:val="false"/>
          <w:smallCaps w:val="false"/>
          <w:spacing w:val="0"/>
          <w:sz w:val="22"/>
          <w:szCs w:val="22"/>
          <w:lang w:val="ca-ES" w:eastAsia="zh-CN" w:bidi="hi-IN"/>
        </w:rPr>
        <w:t>2- A diferencia de las bases reguladoras de las subvenciones que tienen una naturaleza reglamentaria como puede desprenderse del artículo 17.2 de la LGS, la convocatoria es un acto administrativo plúrimpujo que va dirigido a una pluralidad indeterminada de sujetos y puede incluir, de de acuerdo con el artículo 23.2ª) LGS, las bases específicas de la convocatoria, como es el caso. El hecho de que no comparta la naturaleza de norma reglamentaria con vocación de generalidad y permanencia determina que la convocatoria, a la que puede incorporarse las bases específicas, no deba seguir el procedimiento de aprobación bifásico propio de las normas de naturaleza reglamentaria.</w:t>
      </w:r>
    </w:p>
    <w:p>
      <w:pPr>
        <w:pStyle w:val="Normal"/>
        <w:spacing w:lineRule="auto" w:line="276"/>
        <w:jc w:val="both"/>
        <w:rPr>
          <w:rFonts w:ascii="Calibri" w:hAnsi="Calibri" w:cs="Calibri"/>
          <w:sz w:val="22"/>
          <w:szCs w:val="22"/>
          <w:lang w:val="ca-ES" w:eastAsia="zh-CN" w:bidi="hi-IN"/>
        </w:rPr>
      </w:pPr>
      <w:r>
        <w:rPr>
          <w:rFonts w:cs="Calibri" w:ascii="Calibri" w:hAnsi="Calibri"/>
          <w:sz w:val="22"/>
          <w:szCs w:val="22"/>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val="false"/>
          <w:i w:val="false"/>
          <w:caps w:val="false"/>
          <w:smallCaps w:val="false"/>
          <w:spacing w:val="0"/>
          <w:sz w:val="22"/>
          <w:szCs w:val="22"/>
          <w:lang w:val="ca-ES" w:eastAsia="zh-CN" w:bidi="hi-IN"/>
        </w:rPr>
        <w:t>3- La competencia por la adopción de este acuerdo corresponde a la Junta de Gobierno Local por delegación efectuada por la Alcaldesa de esta Alcaldía, mediante el Decreto de Alcaldía núm 757/2019, de fecha 19 de junio de 2019 ( BOP CVE2019022852 de fecha 28 de junio de 2019).</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RESUELVO:</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Primero.- </w:t>
      </w:r>
      <w:r>
        <w:rPr>
          <w:rFonts w:cs="Calibri" w:ascii="Calibri" w:hAnsi="Calibri"/>
          <w:color w:val="000000"/>
          <w:sz w:val="22"/>
          <w:shd w:fill="auto" w:val="clear"/>
          <w:lang w:val="ca-ES" w:eastAsia="zh-CN" w:bidi="hi-IN"/>
        </w:rPr>
        <w:t>AVOCAR la competencia para la adopción del presente acuerdo de la Junta de Gobierno Local, por razones de urgencia.</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Segundo.- </w:t>
      </w:r>
      <w:r>
        <w:rPr>
          <w:rFonts w:cs="Calibri" w:ascii="Calibri" w:hAnsi="Calibri"/>
          <w:b w:val="false"/>
          <w:i w:val="false"/>
          <w:caps w:val="false"/>
          <w:smallCaps w:val="false"/>
          <w:color w:val="000000"/>
          <w:spacing w:val="0"/>
          <w:sz w:val="22"/>
          <w:shd w:fill="auto" w:val="clear"/>
          <w:lang w:val="ca-ES" w:eastAsia="zh-CN" w:bidi="hi-IN"/>
        </w:rPr>
        <w:t>APROBAR la convocatoria y las bases específicas para el otorgamiento de subvenciones mediante el procedimiento de concurrencia competitiva, que se adjuntan</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Tercero.- </w:t>
      </w:r>
      <w:r>
        <w:rPr>
          <w:rFonts w:cs="Calibri" w:ascii="Calibri" w:hAnsi="Calibri"/>
          <w:b w:val="false"/>
          <w:i w:val="false"/>
          <w:caps w:val="false"/>
          <w:smallCaps w:val="false"/>
          <w:color w:val="000000"/>
          <w:spacing w:val="0"/>
          <w:sz w:val="22"/>
          <w:shd w:fill="auto" w:val="clear"/>
          <w:lang w:val="ca-ES" w:eastAsia="zh-CN" w:bidi="hi-IN"/>
        </w:rPr>
        <w:t>PUBLICAR la presente convocatoria y bases específicas en la Base de Datos Nacional de Subvenciones, en el Boletín Oficial de la Provincia de Barcelona y en el tablón de anuncios de la Corporación en los términos que dispone el artículo 20.8 de la LGS indicando que el plazo para la presentación de solicitudes será de 20 días hábiles a contar desde el día siguiente de la publicación de un extracto de la presente convocatoria en el BOPB, a través de la BDNS</w:t>
      </w:r>
      <w:r>
        <w:rPr>
          <w:rFonts w:cs="Calibri" w:ascii="Calibri" w:hAnsi="Calibri"/>
          <w:b/>
          <w:color w:val="000000"/>
          <w:sz w:val="22"/>
          <w:shd w:fill="auto" w:val="clear"/>
          <w:lang w:val="ca-ES" w:eastAsia="zh-CN" w:bidi="hi-IN"/>
        </w:rPr>
        <w:t xml:space="preserve">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eastAsia="DejaVu Sans" w:cs="Calibri" w:ascii="Calibri" w:hAnsi="Calibri"/>
          <w:b/>
          <w:color w:val="000000"/>
          <w:sz w:val="22"/>
          <w:szCs w:val="24"/>
          <w:shd w:fill="auto" w:val="clear"/>
          <w:lang w:val="ca-ES" w:eastAsia="zh-CN" w:bidi="hi-IN"/>
        </w:rPr>
        <w:t xml:space="preserve">Cuarto.- </w:t>
      </w:r>
      <w:r>
        <w:rPr>
          <w:rFonts w:cs="Calibri" w:ascii="Calibri" w:hAnsi="Calibri"/>
          <w:b w:val="false"/>
          <w:i w:val="false"/>
          <w:caps w:val="false"/>
          <w:smallCaps w:val="false"/>
          <w:color w:val="000000"/>
          <w:spacing w:val="0"/>
          <w:sz w:val="22"/>
          <w:shd w:fill="auto" w:val="clear"/>
          <w:lang w:val="ca-ES" w:eastAsia="zh-CN" w:bidi="hi-IN"/>
        </w:rPr>
        <w:t xml:space="preserve">DAR TRASLADO de la presente resolución a la Concejalía de Ecudad, Diversidades y Cooperación ya la Concejalía de Tesorería y Subvenciones a los efectos presupuestarios </w:t>
      </w:r>
      <w:r>
        <w:rPr>
          <w:rFonts w:cs="Calibri" w:ascii="Calibri" w:hAnsi="Calibri"/>
          <w:b/>
          <w:color w:val="000000"/>
          <w:sz w:val="22"/>
          <w:shd w:fill="auto" w:val="clear"/>
          <w:lang w:val="ca-ES" w:eastAsia="zh-CN" w:bidi="hi-IN"/>
        </w:rPr>
        <w:t xml:space="preserve">correspondientes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eastAsia="DejaVu Sans" w:cs="Calibri" w:ascii="Calibri" w:hAnsi="Calibri"/>
          <w:b/>
          <w:color w:val="000000"/>
          <w:sz w:val="22"/>
          <w:szCs w:val="24"/>
          <w:shd w:fill="auto" w:val="clear"/>
          <w:lang w:val="ca-ES" w:eastAsia="zh-CN" w:bidi="hi-IN"/>
        </w:rPr>
        <w:t xml:space="preserve">Quinto </w:t>
      </w:r>
      <w:r>
        <w:rPr>
          <w:rFonts w:cs="Calibri" w:ascii="Calibri" w:hAnsi="Calibri"/>
          <w:b/>
          <w:color w:val="000000"/>
          <w:sz w:val="22"/>
          <w:shd w:fill="auto" w:val="clear"/>
          <w:lang w:val="ca-ES" w:eastAsia="zh-CN" w:bidi="hi-IN"/>
        </w:rPr>
        <w:t xml:space="preserve">. </w:t>
      </w:r>
      <w:r>
        <w:rPr>
          <w:rFonts w:cs="Calibri" w:ascii="Calibri" w:hAnsi="Calibri"/>
          <w:color w:val="000000"/>
          <w:sz w:val="22"/>
          <w:shd w:fill="auto" w:val="clear"/>
          <w:lang w:val="ca-ES" w:eastAsia="zh-CN" w:bidi="hi-IN"/>
        </w:rPr>
        <w:t>- DAR CUENTA del presente Decreto a la próxima Junta de Gobierno Local.</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color w:val="000000"/>
          <w:sz w:val="22"/>
          <w:shd w:fill="auto" w:val="clear"/>
          <w:lang w:val="ca-ES" w:eastAsia="zh-CN" w:bidi="hi-IN"/>
        </w:rPr>
        <w:t>Cabrils, a fecha de la firma electrónica</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 xml:space="preserve">La alcaldesa </w:t>
        <w:tab/>
        <w:tab/>
        <w:tab/>
        <w:tab/>
        <w:tab/>
        <w:tab/>
        <w:t>Doy fe</w:t>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ab/>
        <w:tab/>
        <w:tab/>
        <w:tab/>
        <w:tab/>
        <w:tab/>
        <w:tab/>
        <w:t>El secretario</w:t>
      </w:r>
    </w:p>
    <w:p>
      <w:pPr>
        <w:pStyle w:val="Normal"/>
        <w:spacing w:lineRule="auto" w:line="276" w:before="0" w:after="120"/>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 xml:space="preserve">Maite Viñals Clemente </w:t>
        <w:tab/>
        <w:tab/>
        <w:tab/>
        <w:tab/>
        <w:tab/>
        <w:t>Samuel Lara Gómez</w:t>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6865" cy="268605"/>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35" t="-693" r="-35" b="-693"/>
                  <a:stretch>
                    <a:fillRect/>
                  </a:stretch>
                </pic:blipFill>
                <pic:spPr bwMode="auto">
                  <a:xfrm>
                    <a:off x="0" y="0"/>
                    <a:ext cx="5396865" cy="2686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bidi w:val="0"/>
      <w:jc w:val="left"/>
      <w:rPr/>
    </w:pPr>
    <w:r>
      <w:rPr/>
      <w:drawing>
        <wp:inline distT="0" distB="0" distL="0" distR="0">
          <wp:extent cx="1597025"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39" t="-317" r="-139" b="-317"/>
                  <a:stretch>
                    <a:fillRect/>
                  </a:stretch>
                </pic:blipFill>
                <pic:spPr bwMode="auto">
                  <a:xfrm>
                    <a:off x="0" y="0"/>
                    <a:ext cx="1597025" cy="6972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Arial" w:hAnsi="Arial" w:eastAsia="DejaVu Sans" w:cs="DejaVu Sans"/>
      <w:color w:val="auto"/>
      <w:kern w:val="0"/>
      <w:sz w:val="20"/>
      <w:szCs w:val="24"/>
      <w:lang w:val="es-ES" w:eastAsia="zh-CN" w:bidi="hi-IN"/>
    </w:rPr>
  </w:style>
  <w:style w:type="paragraph" w:styleId="Ttulo1">
    <w:name w:val="Heading 1"/>
    <w:basedOn w:val="Ttulo"/>
    <w:next w:val="Cuerpodetexto"/>
    <w:qFormat/>
    <w:pPr>
      <w:numPr>
        <w:ilvl w:val="0"/>
        <w:numId w:val="1"/>
      </w:numPr>
      <w:shd w:val="clear" w:fill="EEEEEE"/>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paragraph" w:styleId="Ttulo">
    <w:name w:val="Título"/>
    <w:basedOn w:val="Normal"/>
    <w:next w:val="Cuerpodetexto"/>
    <w:qFormat/>
    <w:pPr>
      <w:keepNext w:val="true"/>
      <w:spacing w:before="240" w:after="283"/>
    </w:pPr>
    <w:rPr>
      <w:rFonts w:ascii="Liberation Sans;Arial" w:hAnsi="Liberation Sans;Arial" w:cs="Liberation Sans;Arial"/>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neahorizontal">
    <w:name w:val="Línea horizontal"/>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Contenidodelatabla">
    <w:name w:val="Contenido de la tabla"/>
    <w:basedOn w:val="Cuerpodetexto"/>
    <w:qFormat/>
    <w:pPr>
      <w:spacing w:before="0" w:after="0"/>
    </w:pPr>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86</TotalTime>
  <Application>LibreOffice/7.2.6.2$Windows_X86_64 LibreOffice_project/b0ec3a565991f7569a5a7f5d24fed7f52653d754</Application>
  <AppVersion>15.0000</AppVersion>
  <Pages>2</Pages>
  <Words>518</Words>
  <Characters>2761</Characters>
  <CharactersWithSpaces>3281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2024-07-22T12:31:00Z</cp:lastPrinted>
  <dcterms:modified xsi:type="dcterms:W3CDTF">2024-08-01T10:01:49Z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