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E60" w:rsidRPr="00F52E60" w:rsidRDefault="00F52E60" w:rsidP="00F52E60">
      <w:pPr>
        <w:pStyle w:val="Sinespaciado"/>
        <w:rPr>
          <w:rFonts w:ascii="Arial" w:hAnsi="Arial" w:cs="Arial"/>
          <w:sz w:val="16"/>
          <w:szCs w:val="16"/>
        </w:rPr>
      </w:pPr>
      <w:r w:rsidRPr="00F52E60">
        <w:rPr>
          <w:rFonts w:ascii="Arial" w:hAnsi="Arial" w:cs="Arial"/>
          <w:sz w:val="16"/>
          <w:szCs w:val="16"/>
        </w:rPr>
        <w:t>Servicio de Derechos Sociales</w:t>
      </w:r>
    </w:p>
    <w:p w:rsidR="00F52E60" w:rsidRDefault="00F52E60" w:rsidP="00F52E60">
      <w:pPr>
        <w:pStyle w:val="Sinespaciado"/>
        <w:rPr>
          <w:rFonts w:ascii="Arial" w:hAnsi="Arial" w:cs="Arial"/>
          <w:sz w:val="16"/>
          <w:szCs w:val="16"/>
        </w:rPr>
      </w:pPr>
      <w:r w:rsidRPr="00F52E60">
        <w:rPr>
          <w:rFonts w:ascii="Arial" w:hAnsi="Arial" w:cs="Arial"/>
          <w:sz w:val="16"/>
          <w:szCs w:val="16"/>
        </w:rPr>
        <w:t>CONCEJALÍA DELEGADA DE VIVIENDA</w:t>
      </w:r>
    </w:p>
    <w:p w:rsidR="00B13034" w:rsidRPr="00F52E60" w:rsidRDefault="00F52E60" w:rsidP="00F52E60">
      <w:pPr>
        <w:pStyle w:val="Sinespaciado"/>
        <w:rPr>
          <w:rFonts w:ascii="Arial" w:hAnsi="Arial" w:cs="Arial"/>
          <w:sz w:val="16"/>
          <w:szCs w:val="16"/>
        </w:rPr>
      </w:pPr>
      <w:bookmarkStart w:id="0" w:name="_GoBack"/>
      <w:bookmarkEnd w:id="0"/>
      <w:r w:rsidRPr="00F52E60">
        <w:rPr>
          <w:rFonts w:ascii="Arial" w:hAnsi="Arial" w:cs="Arial"/>
          <w:sz w:val="16"/>
          <w:szCs w:val="16"/>
        </w:rPr>
        <w:t>SUB.BCO/2024000025</w:t>
      </w:r>
    </w:p>
    <w:p w:rsidR="003B1927" w:rsidRPr="003B1927" w:rsidRDefault="003B1927" w:rsidP="003B1927">
      <w:pPr>
        <w:jc w:val="both"/>
        <w:rPr>
          <w:rFonts w:ascii="Arial" w:hAnsi="Arial" w:cs="Arial"/>
          <w:sz w:val="20"/>
          <w:szCs w:val="20"/>
        </w:rPr>
      </w:pPr>
    </w:p>
    <w:p w:rsidR="003B1927" w:rsidRPr="00F52E60" w:rsidRDefault="003B1927" w:rsidP="003B1927">
      <w:pPr>
        <w:pStyle w:val="Sinespaciado"/>
        <w:jc w:val="center"/>
        <w:rPr>
          <w:rFonts w:ascii="Arial" w:hAnsi="Arial" w:cs="Arial"/>
          <w:b/>
          <w:sz w:val="20"/>
          <w:szCs w:val="20"/>
        </w:rPr>
      </w:pPr>
      <w:r w:rsidRPr="00F52E60">
        <w:rPr>
          <w:rFonts w:ascii="Arial" w:hAnsi="Arial" w:cs="Arial"/>
          <w:b/>
          <w:sz w:val="20"/>
          <w:szCs w:val="20"/>
        </w:rPr>
        <w:t>ANUNCIO</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El Pleno del Ayuntamiento de Manresa, en sesión de 18 de julio de 2024, aprobó inicialmente las BASES ESPECÍFICAS REGULADORAS PARA EL OTORGAMIENTO DE SUBVENCIONES DESTINADAS AL ARREGLO DE VIVIENDAS PARA FAVORECER LA ACCESIBILIDAD Y MEJOR LA VIDA DE LAS PERSONAS DENTRO DE SU DOMICILIO Y DE SU CONVOCATORIA. En cumplimiento de lo previsto en el artículo 124.2 del Decreto 179/1995, de 13 de junio, por el que se aprueba el Reglamento de Obras, Actividades y Servicios de los entes locales, se somete a información pública por un plazo de veinte días a contar a partir de su publicación en el Boletín Oficial de la Provincia de Barcelona, ​​para la presentación de reclamaciones y alegaciones. Transcurrido este plazo sin que se haya formulado alegación o impugnación alguna, el acuerdo de aprobación será definitivo.</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El texto es el siguiente:</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BASES REGULADORAS PARA EL OTORGAMIENTO DE SUBVENCIONES DESTINADAS AL ARREGLO DE VIVIENDAS PARA FAVORECER LA ACCESIBILIDAD Y MEJORAR LA CALIDAD DE VIDA DE LAS PERSONAS DENTRO DE SU DOMICILIO</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1. OBJETO</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Estas bases tienen por objeto regular el otorgamiento de subvenciones para promover el arreglo y mejora del interior de las viviendas con el fin de favorecer la accesibilidad y mejorar la calidad de vida y bienestar de las personas en su hogar.</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2. ACTUACIONES SUBVENCIONABLES</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Son subvencionables las intervenciones u obras de arreglo en el interior de las viviendas cuya finalidad es la adecuación y mejora de la accesibilidad del cuarto de baño para facilitar la higiene personal, consistentes en:</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 sustitución de la bañera por un plato de ducha o adaptaciones de bañera o ducha, cambios de grifos.</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 sustitución o adaptación del WC o lavabo.</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 eliminación del bidé o de otros elementos para facilitar la movilidad.</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 cambio giro de puerta y/o ampliación de la puerta de acceso al baño</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 tratamiento antideslizante de pavimentos</w:t>
      </w:r>
    </w:p>
    <w:p w:rsidR="003B1927" w:rsidRDefault="003B1927" w:rsidP="003B1927">
      <w:pPr>
        <w:pStyle w:val="Sinespaciado"/>
        <w:jc w:val="both"/>
        <w:rPr>
          <w:rFonts w:ascii="Arial" w:hAnsi="Arial" w:cs="Arial"/>
          <w:sz w:val="20"/>
          <w:szCs w:val="20"/>
        </w:rPr>
      </w:pPr>
      <w:r w:rsidRPr="003B1927">
        <w:rPr>
          <w:rFonts w:ascii="Arial" w:hAnsi="Arial" w:cs="Arial"/>
          <w:sz w:val="20"/>
          <w:szCs w:val="20"/>
        </w:rPr>
        <w:t>- instalación de ayudas técnicas (asientos, alzas, asideros, barras de sujeción, pasamanos, entre otros).</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3. PERSONAS BENEFICIARIAS</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Pueden solicitar estas subvenciones:</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 Personas mayores de 80 años que vivan solas o con otra persona mayor de 65 años o más.</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 Personas que formen parte de una unidad de convivencia que incluya entre sus miembros a alguna persona con un grado de dependencia reconocido, que tengan su domicilio habitual y permanente en la vivienda objeto del arreglo, ya las que este arreglo beneficie directamente.</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4. REQUISITOS DE LAS PERSONAS SOLICITANTES</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Las personas solicitantes de estas subvenciones, además de cumplir con las condiciones de beneficiarias establecidas en el punto 3 de las bases, tendrán que reunir los siguientes requisitos:</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lastRenderedPageBreak/>
        <w:t>a. Tienen que estar empadronadas en Manresa en la vivienda objeto del arreglo, como residencia habitual y permanente.</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b. La persona solicitante debe ser la propietaria, usufructuaria o arrendataria de la vivienda objeto del arreglo. En caso de que sea usufructuaria o arrendataria, deberá aportar la autorización de la persona propietaria de la vivienda para la realización de las obras de arreglo, no será necesario en caso de que sólo se trate de ayudas técnicas.</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c. La persona solicitante junto con su unidad de convivencia no podrá superar el nivel de ingresos anual establecido en el tramo F de tarificación social del Ayuntamiento de Manresa, en función del número miembros que la integran y que en el momento de aprobar estas bases es lo siguiente:</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p>
    <w:tbl>
      <w:tblPr>
        <w:tblW w:w="0" w:type="auto"/>
        <w:tblInd w:w="103" w:type="dxa"/>
        <w:tblLayout w:type="fixed"/>
        <w:tblCellMar>
          <w:left w:w="0" w:type="dxa"/>
          <w:right w:w="0" w:type="dxa"/>
        </w:tblCellMar>
        <w:tblLook w:val="01E0" w:firstRow="1" w:lastRow="1" w:firstColumn="1" w:lastColumn="1" w:noHBand="0" w:noVBand="0"/>
      </w:tblPr>
      <w:tblGrid>
        <w:gridCol w:w="929"/>
        <w:gridCol w:w="1160"/>
        <w:gridCol w:w="1159"/>
        <w:gridCol w:w="1159"/>
        <w:gridCol w:w="1159"/>
        <w:gridCol w:w="1159"/>
        <w:gridCol w:w="1159"/>
        <w:gridCol w:w="1159"/>
      </w:tblGrid>
      <w:tr w:rsidR="003B1927" w:rsidRPr="00A7133F" w:rsidTr="008C78D3">
        <w:trPr>
          <w:trHeight w:hRule="exact" w:val="620"/>
        </w:trPr>
        <w:tc>
          <w:tcPr>
            <w:tcW w:w="929" w:type="dxa"/>
            <w:tcBorders>
              <w:top w:val="single" w:sz="8" w:space="0" w:color="000000"/>
              <w:left w:val="single" w:sz="8" w:space="0" w:color="000000"/>
              <w:bottom w:val="single" w:sz="8" w:space="0" w:color="000000"/>
              <w:right w:val="single" w:sz="8" w:space="0" w:color="000000"/>
            </w:tcBorders>
          </w:tcPr>
          <w:p w:rsidR="003B1927" w:rsidRPr="00A7133F" w:rsidRDefault="003B1927" w:rsidP="008C78D3">
            <w:pPr>
              <w:rPr>
                <w:sz w:val="20"/>
                <w:szCs w:val="20"/>
              </w:rPr>
            </w:pPr>
          </w:p>
        </w:tc>
        <w:tc>
          <w:tcPr>
            <w:tcW w:w="1160" w:type="dxa"/>
            <w:tcBorders>
              <w:top w:val="single" w:sz="8" w:space="0" w:color="000000"/>
              <w:left w:val="single" w:sz="8" w:space="0" w:color="000000"/>
              <w:bottom w:val="single" w:sz="8" w:space="0" w:color="000000"/>
              <w:right w:val="single" w:sz="8" w:space="0" w:color="000000"/>
            </w:tcBorders>
          </w:tcPr>
          <w:p w:rsidR="003B1927" w:rsidRPr="00A7133F" w:rsidRDefault="003B1927" w:rsidP="008C78D3">
            <w:pPr>
              <w:spacing w:before="7" w:after="0" w:line="190" w:lineRule="exact"/>
              <w:rPr>
                <w:sz w:val="20"/>
                <w:szCs w:val="20"/>
              </w:rPr>
            </w:pPr>
          </w:p>
          <w:p w:rsidR="003B1927" w:rsidRPr="00A7133F" w:rsidRDefault="003B1927" w:rsidP="008C78D3">
            <w:pPr>
              <w:spacing w:after="0" w:line="240" w:lineRule="auto"/>
              <w:ind w:left="60" w:right="-20"/>
              <w:rPr>
                <w:rFonts w:ascii="Arial" w:eastAsia="Arial" w:hAnsi="Arial" w:cs="Arial"/>
                <w:sz w:val="20"/>
                <w:szCs w:val="20"/>
              </w:rPr>
            </w:pPr>
            <w:r w:rsidRPr="00A7133F">
              <w:rPr>
                <w:rFonts w:ascii="Arial" w:eastAsia="Arial" w:hAnsi="Arial" w:cs="Arial"/>
                <w:i/>
                <w:sz w:val="20"/>
                <w:szCs w:val="20"/>
              </w:rPr>
              <w:t>1 persona</w:t>
            </w:r>
          </w:p>
        </w:tc>
        <w:tc>
          <w:tcPr>
            <w:tcW w:w="1159" w:type="dxa"/>
            <w:tcBorders>
              <w:top w:val="single" w:sz="8" w:space="0" w:color="000000"/>
              <w:left w:val="single" w:sz="8" w:space="0" w:color="000000"/>
              <w:bottom w:val="single" w:sz="8" w:space="0" w:color="000000"/>
              <w:right w:val="single" w:sz="8" w:space="0" w:color="000000"/>
            </w:tcBorders>
          </w:tcPr>
          <w:p w:rsidR="003B1927" w:rsidRPr="00A7133F" w:rsidRDefault="003B1927" w:rsidP="008C78D3">
            <w:pPr>
              <w:spacing w:before="7" w:after="0" w:line="190" w:lineRule="exact"/>
              <w:rPr>
                <w:sz w:val="20"/>
                <w:szCs w:val="20"/>
              </w:rPr>
            </w:pPr>
          </w:p>
          <w:p w:rsidR="003B1927" w:rsidRPr="00A7133F" w:rsidRDefault="003B1927" w:rsidP="008C78D3">
            <w:pPr>
              <w:spacing w:after="0" w:line="240" w:lineRule="auto"/>
              <w:ind w:left="60" w:right="-20"/>
              <w:rPr>
                <w:rFonts w:ascii="Arial" w:eastAsia="Arial" w:hAnsi="Arial" w:cs="Arial"/>
                <w:sz w:val="20"/>
                <w:szCs w:val="20"/>
              </w:rPr>
            </w:pPr>
            <w:r>
              <w:rPr>
                <w:rFonts w:ascii="Arial" w:eastAsia="Arial" w:hAnsi="Arial" w:cs="Arial"/>
                <w:i/>
                <w:sz w:val="20"/>
                <w:szCs w:val="20"/>
              </w:rPr>
              <w:t>2 persona</w:t>
            </w:r>
            <w:r w:rsidRPr="00A7133F">
              <w:rPr>
                <w:rFonts w:ascii="Arial" w:eastAsia="Arial" w:hAnsi="Arial" w:cs="Arial"/>
                <w:i/>
                <w:sz w:val="20"/>
                <w:szCs w:val="20"/>
              </w:rPr>
              <w:t>s</w:t>
            </w:r>
          </w:p>
        </w:tc>
        <w:tc>
          <w:tcPr>
            <w:tcW w:w="1159" w:type="dxa"/>
            <w:tcBorders>
              <w:top w:val="single" w:sz="8" w:space="0" w:color="000000"/>
              <w:left w:val="single" w:sz="8" w:space="0" w:color="000000"/>
              <w:bottom w:val="single" w:sz="8" w:space="0" w:color="000000"/>
              <w:right w:val="single" w:sz="8" w:space="0" w:color="000000"/>
            </w:tcBorders>
          </w:tcPr>
          <w:p w:rsidR="003B1927" w:rsidRPr="00A7133F" w:rsidRDefault="003B1927" w:rsidP="008C78D3">
            <w:pPr>
              <w:spacing w:before="7" w:after="0" w:line="190" w:lineRule="exact"/>
              <w:rPr>
                <w:sz w:val="20"/>
                <w:szCs w:val="20"/>
              </w:rPr>
            </w:pPr>
          </w:p>
          <w:p w:rsidR="003B1927" w:rsidRPr="00A7133F" w:rsidRDefault="003B1927" w:rsidP="008C78D3">
            <w:pPr>
              <w:spacing w:after="0" w:line="240" w:lineRule="auto"/>
              <w:ind w:left="60" w:right="-20"/>
              <w:rPr>
                <w:rFonts w:ascii="Arial" w:eastAsia="Arial" w:hAnsi="Arial" w:cs="Arial"/>
                <w:sz w:val="20"/>
                <w:szCs w:val="20"/>
              </w:rPr>
            </w:pPr>
            <w:r>
              <w:rPr>
                <w:rFonts w:ascii="Arial" w:eastAsia="Arial" w:hAnsi="Arial" w:cs="Arial"/>
                <w:i/>
                <w:sz w:val="20"/>
                <w:szCs w:val="20"/>
              </w:rPr>
              <w:t>3 persona</w:t>
            </w:r>
            <w:r w:rsidRPr="00A7133F">
              <w:rPr>
                <w:rFonts w:ascii="Arial" w:eastAsia="Arial" w:hAnsi="Arial" w:cs="Arial"/>
                <w:i/>
                <w:sz w:val="20"/>
                <w:szCs w:val="20"/>
              </w:rPr>
              <w:t>s</w:t>
            </w:r>
          </w:p>
        </w:tc>
        <w:tc>
          <w:tcPr>
            <w:tcW w:w="1159" w:type="dxa"/>
            <w:tcBorders>
              <w:top w:val="single" w:sz="8" w:space="0" w:color="000000"/>
              <w:left w:val="single" w:sz="8" w:space="0" w:color="000000"/>
              <w:bottom w:val="single" w:sz="8" w:space="0" w:color="000000"/>
              <w:right w:val="single" w:sz="8" w:space="0" w:color="000000"/>
            </w:tcBorders>
          </w:tcPr>
          <w:p w:rsidR="003B1927" w:rsidRPr="00A7133F" w:rsidRDefault="003B1927" w:rsidP="008C78D3">
            <w:pPr>
              <w:spacing w:before="7" w:after="0" w:line="190" w:lineRule="exact"/>
              <w:rPr>
                <w:sz w:val="20"/>
                <w:szCs w:val="20"/>
              </w:rPr>
            </w:pPr>
          </w:p>
          <w:p w:rsidR="003B1927" w:rsidRPr="00A7133F" w:rsidRDefault="003B1927" w:rsidP="008C78D3">
            <w:pPr>
              <w:spacing w:after="0" w:line="240" w:lineRule="auto"/>
              <w:ind w:left="60" w:right="-20"/>
              <w:rPr>
                <w:rFonts w:ascii="Arial" w:eastAsia="Arial" w:hAnsi="Arial" w:cs="Arial"/>
                <w:sz w:val="20"/>
                <w:szCs w:val="20"/>
              </w:rPr>
            </w:pPr>
            <w:r>
              <w:rPr>
                <w:rFonts w:ascii="Arial" w:eastAsia="Arial" w:hAnsi="Arial" w:cs="Arial"/>
                <w:i/>
                <w:sz w:val="20"/>
                <w:szCs w:val="20"/>
              </w:rPr>
              <w:t>4 persona</w:t>
            </w:r>
            <w:r w:rsidRPr="00A7133F">
              <w:rPr>
                <w:rFonts w:ascii="Arial" w:eastAsia="Arial" w:hAnsi="Arial" w:cs="Arial"/>
                <w:i/>
                <w:sz w:val="20"/>
                <w:szCs w:val="20"/>
              </w:rPr>
              <w:t>s</w:t>
            </w:r>
          </w:p>
        </w:tc>
        <w:tc>
          <w:tcPr>
            <w:tcW w:w="1159" w:type="dxa"/>
            <w:tcBorders>
              <w:top w:val="single" w:sz="8" w:space="0" w:color="000000"/>
              <w:left w:val="single" w:sz="8" w:space="0" w:color="000000"/>
              <w:bottom w:val="single" w:sz="8" w:space="0" w:color="000000"/>
              <w:right w:val="single" w:sz="8" w:space="0" w:color="000000"/>
            </w:tcBorders>
          </w:tcPr>
          <w:p w:rsidR="003B1927" w:rsidRPr="00A7133F" w:rsidRDefault="003B1927" w:rsidP="008C78D3">
            <w:pPr>
              <w:spacing w:before="7" w:after="0" w:line="190" w:lineRule="exact"/>
              <w:rPr>
                <w:sz w:val="20"/>
                <w:szCs w:val="20"/>
              </w:rPr>
            </w:pPr>
          </w:p>
          <w:p w:rsidR="003B1927" w:rsidRPr="00A7133F" w:rsidRDefault="003B1927" w:rsidP="003B1927">
            <w:pPr>
              <w:spacing w:after="0" w:line="240" w:lineRule="auto"/>
              <w:ind w:left="60" w:right="-20"/>
              <w:rPr>
                <w:rFonts w:ascii="Arial" w:eastAsia="Arial" w:hAnsi="Arial" w:cs="Arial"/>
                <w:sz w:val="20"/>
                <w:szCs w:val="20"/>
              </w:rPr>
            </w:pPr>
            <w:r>
              <w:rPr>
                <w:rFonts w:ascii="Arial" w:eastAsia="Arial" w:hAnsi="Arial" w:cs="Arial"/>
                <w:i/>
                <w:sz w:val="20"/>
                <w:szCs w:val="20"/>
              </w:rPr>
              <w:t>5 persona</w:t>
            </w:r>
            <w:r w:rsidRPr="00A7133F">
              <w:rPr>
                <w:rFonts w:ascii="Arial" w:eastAsia="Arial" w:hAnsi="Arial" w:cs="Arial"/>
                <w:i/>
                <w:sz w:val="20"/>
                <w:szCs w:val="20"/>
              </w:rPr>
              <w:t>s</w:t>
            </w:r>
          </w:p>
        </w:tc>
        <w:tc>
          <w:tcPr>
            <w:tcW w:w="1159" w:type="dxa"/>
            <w:tcBorders>
              <w:top w:val="single" w:sz="8" w:space="0" w:color="000000"/>
              <w:left w:val="single" w:sz="8" w:space="0" w:color="000000"/>
              <w:bottom w:val="single" w:sz="8" w:space="0" w:color="000000"/>
              <w:right w:val="single" w:sz="8" w:space="0" w:color="000000"/>
            </w:tcBorders>
          </w:tcPr>
          <w:p w:rsidR="003B1927" w:rsidRPr="00A7133F" w:rsidRDefault="003B1927" w:rsidP="008C78D3">
            <w:pPr>
              <w:spacing w:before="7" w:after="0" w:line="190" w:lineRule="exact"/>
              <w:rPr>
                <w:sz w:val="20"/>
                <w:szCs w:val="20"/>
              </w:rPr>
            </w:pPr>
          </w:p>
          <w:p w:rsidR="003B1927" w:rsidRPr="00A7133F" w:rsidRDefault="003B1927" w:rsidP="008C78D3">
            <w:pPr>
              <w:spacing w:after="0" w:line="240" w:lineRule="auto"/>
              <w:ind w:left="60" w:right="-20"/>
              <w:rPr>
                <w:rFonts w:ascii="Arial" w:eastAsia="Arial" w:hAnsi="Arial" w:cs="Arial"/>
                <w:sz w:val="20"/>
                <w:szCs w:val="20"/>
              </w:rPr>
            </w:pPr>
            <w:r>
              <w:rPr>
                <w:rFonts w:ascii="Arial" w:eastAsia="Arial" w:hAnsi="Arial" w:cs="Arial"/>
                <w:i/>
                <w:sz w:val="20"/>
                <w:szCs w:val="20"/>
              </w:rPr>
              <w:t>6 persona</w:t>
            </w:r>
            <w:r w:rsidRPr="00A7133F">
              <w:rPr>
                <w:rFonts w:ascii="Arial" w:eastAsia="Arial" w:hAnsi="Arial" w:cs="Arial"/>
                <w:i/>
                <w:sz w:val="20"/>
                <w:szCs w:val="20"/>
              </w:rPr>
              <w:t>s</w:t>
            </w:r>
          </w:p>
        </w:tc>
        <w:tc>
          <w:tcPr>
            <w:tcW w:w="1159" w:type="dxa"/>
            <w:tcBorders>
              <w:top w:val="single" w:sz="8" w:space="0" w:color="000000"/>
              <w:left w:val="single" w:sz="8" w:space="0" w:color="000000"/>
              <w:bottom w:val="single" w:sz="8" w:space="0" w:color="000000"/>
              <w:right w:val="single" w:sz="8" w:space="0" w:color="000000"/>
            </w:tcBorders>
          </w:tcPr>
          <w:p w:rsidR="003B1927" w:rsidRPr="00A7133F" w:rsidRDefault="003B1927" w:rsidP="008C78D3">
            <w:pPr>
              <w:tabs>
                <w:tab w:val="left" w:pos="380"/>
                <w:tab w:val="left" w:pos="720"/>
              </w:tabs>
              <w:spacing w:before="93" w:after="0" w:line="240" w:lineRule="auto"/>
              <w:ind w:left="60" w:right="-3"/>
              <w:rPr>
                <w:rFonts w:ascii="Arial" w:eastAsia="Arial" w:hAnsi="Arial" w:cs="Arial"/>
                <w:sz w:val="20"/>
                <w:szCs w:val="20"/>
              </w:rPr>
            </w:pPr>
            <w:r>
              <w:rPr>
                <w:rFonts w:ascii="Arial" w:eastAsia="Arial" w:hAnsi="Arial" w:cs="Arial"/>
                <w:i/>
                <w:sz w:val="20"/>
                <w:szCs w:val="20"/>
              </w:rPr>
              <w:t>7</w:t>
            </w:r>
            <w:r>
              <w:rPr>
                <w:rFonts w:ascii="Arial" w:eastAsia="Arial" w:hAnsi="Arial" w:cs="Arial"/>
                <w:i/>
                <w:sz w:val="20"/>
                <w:szCs w:val="20"/>
              </w:rPr>
              <w:tab/>
              <w:t>o</w:t>
            </w:r>
            <w:r>
              <w:rPr>
                <w:rFonts w:ascii="Arial" w:eastAsia="Arial" w:hAnsi="Arial" w:cs="Arial"/>
                <w:i/>
                <w:sz w:val="20"/>
                <w:szCs w:val="20"/>
              </w:rPr>
              <w:tab/>
              <w:t>més persona</w:t>
            </w:r>
            <w:r w:rsidRPr="00A7133F">
              <w:rPr>
                <w:rFonts w:ascii="Arial" w:eastAsia="Arial" w:hAnsi="Arial" w:cs="Arial"/>
                <w:i/>
                <w:sz w:val="20"/>
                <w:szCs w:val="20"/>
              </w:rPr>
              <w:t>s</w:t>
            </w:r>
          </w:p>
        </w:tc>
      </w:tr>
      <w:tr w:rsidR="003B1927" w:rsidRPr="00A7133F" w:rsidTr="008C78D3">
        <w:trPr>
          <w:trHeight w:hRule="exact" w:val="320"/>
        </w:trPr>
        <w:tc>
          <w:tcPr>
            <w:tcW w:w="929" w:type="dxa"/>
            <w:tcBorders>
              <w:top w:val="single" w:sz="8" w:space="0" w:color="000000"/>
              <w:left w:val="single" w:sz="8" w:space="0" w:color="000000"/>
              <w:bottom w:val="single" w:sz="8" w:space="0" w:color="000000"/>
              <w:right w:val="single" w:sz="8" w:space="0" w:color="000000"/>
            </w:tcBorders>
          </w:tcPr>
          <w:p w:rsidR="003B1927" w:rsidRPr="00A7133F" w:rsidRDefault="003B1927" w:rsidP="008C78D3">
            <w:pPr>
              <w:spacing w:before="46" w:after="0" w:line="240" w:lineRule="auto"/>
              <w:ind w:left="60" w:right="-20"/>
              <w:rPr>
                <w:rFonts w:ascii="Arial" w:eastAsia="Arial" w:hAnsi="Arial" w:cs="Arial"/>
                <w:sz w:val="20"/>
                <w:szCs w:val="20"/>
              </w:rPr>
            </w:pPr>
            <w:r w:rsidRPr="00A7133F">
              <w:rPr>
                <w:rFonts w:ascii="Arial" w:eastAsia="Arial" w:hAnsi="Arial" w:cs="Arial"/>
                <w:i/>
                <w:sz w:val="20"/>
                <w:szCs w:val="20"/>
              </w:rPr>
              <w:t>Tram F</w:t>
            </w:r>
          </w:p>
        </w:tc>
        <w:tc>
          <w:tcPr>
            <w:tcW w:w="1160" w:type="dxa"/>
            <w:tcBorders>
              <w:top w:val="single" w:sz="8" w:space="0" w:color="000000"/>
              <w:left w:val="single" w:sz="8" w:space="0" w:color="000000"/>
              <w:bottom w:val="single" w:sz="8" w:space="0" w:color="000000"/>
              <w:right w:val="single" w:sz="8" w:space="0" w:color="000000"/>
            </w:tcBorders>
          </w:tcPr>
          <w:p w:rsidR="003B1927" w:rsidRPr="00A7133F" w:rsidRDefault="003B1927" w:rsidP="008C78D3">
            <w:pPr>
              <w:spacing w:before="46" w:after="0" w:line="240" w:lineRule="auto"/>
              <w:ind w:left="60" w:right="-20"/>
              <w:rPr>
                <w:rFonts w:ascii="Arial" w:eastAsia="Arial" w:hAnsi="Arial" w:cs="Arial"/>
                <w:sz w:val="20"/>
                <w:szCs w:val="20"/>
              </w:rPr>
            </w:pPr>
            <w:r w:rsidRPr="00A7133F">
              <w:rPr>
                <w:rFonts w:ascii="Arial" w:eastAsia="Arial" w:hAnsi="Arial" w:cs="Arial"/>
                <w:i/>
                <w:sz w:val="20"/>
                <w:szCs w:val="20"/>
              </w:rPr>
              <w:t>18.139,66€</w:t>
            </w:r>
          </w:p>
        </w:tc>
        <w:tc>
          <w:tcPr>
            <w:tcW w:w="1159" w:type="dxa"/>
            <w:tcBorders>
              <w:top w:val="single" w:sz="8" w:space="0" w:color="000000"/>
              <w:left w:val="single" w:sz="8" w:space="0" w:color="000000"/>
              <w:bottom w:val="single" w:sz="8" w:space="0" w:color="000000"/>
              <w:right w:val="single" w:sz="8" w:space="0" w:color="000000"/>
            </w:tcBorders>
          </w:tcPr>
          <w:p w:rsidR="003B1927" w:rsidRPr="00A7133F" w:rsidRDefault="003B1927" w:rsidP="008C78D3">
            <w:pPr>
              <w:spacing w:before="46" w:after="0" w:line="240" w:lineRule="auto"/>
              <w:ind w:left="60" w:right="-20"/>
              <w:rPr>
                <w:rFonts w:ascii="Arial" w:eastAsia="Arial" w:hAnsi="Arial" w:cs="Arial"/>
                <w:sz w:val="20"/>
                <w:szCs w:val="20"/>
              </w:rPr>
            </w:pPr>
            <w:r w:rsidRPr="00A7133F">
              <w:rPr>
                <w:rFonts w:ascii="Arial" w:eastAsia="Arial" w:hAnsi="Arial" w:cs="Arial"/>
                <w:i/>
                <w:sz w:val="20"/>
                <w:szCs w:val="20"/>
              </w:rPr>
              <w:t>23.581,56€</w:t>
            </w:r>
          </w:p>
        </w:tc>
        <w:tc>
          <w:tcPr>
            <w:tcW w:w="1159" w:type="dxa"/>
            <w:tcBorders>
              <w:top w:val="single" w:sz="8" w:space="0" w:color="000000"/>
              <w:left w:val="single" w:sz="8" w:space="0" w:color="000000"/>
              <w:bottom w:val="single" w:sz="8" w:space="0" w:color="000000"/>
              <w:right w:val="single" w:sz="8" w:space="0" w:color="000000"/>
            </w:tcBorders>
          </w:tcPr>
          <w:p w:rsidR="003B1927" w:rsidRPr="00A7133F" w:rsidRDefault="003B1927" w:rsidP="008C78D3">
            <w:pPr>
              <w:spacing w:before="46" w:after="0" w:line="240" w:lineRule="auto"/>
              <w:ind w:left="60" w:right="-20"/>
              <w:rPr>
                <w:rFonts w:ascii="Arial" w:eastAsia="Arial" w:hAnsi="Arial" w:cs="Arial"/>
                <w:sz w:val="20"/>
                <w:szCs w:val="20"/>
              </w:rPr>
            </w:pPr>
            <w:r w:rsidRPr="00A7133F">
              <w:rPr>
                <w:rFonts w:ascii="Arial" w:eastAsia="Arial" w:hAnsi="Arial" w:cs="Arial"/>
                <w:i/>
                <w:sz w:val="20"/>
                <w:szCs w:val="20"/>
              </w:rPr>
              <w:t>29.023,46€</w:t>
            </w:r>
          </w:p>
        </w:tc>
        <w:tc>
          <w:tcPr>
            <w:tcW w:w="1159" w:type="dxa"/>
            <w:tcBorders>
              <w:top w:val="single" w:sz="8" w:space="0" w:color="000000"/>
              <w:left w:val="single" w:sz="8" w:space="0" w:color="000000"/>
              <w:bottom w:val="single" w:sz="8" w:space="0" w:color="000000"/>
              <w:right w:val="single" w:sz="8" w:space="0" w:color="000000"/>
            </w:tcBorders>
          </w:tcPr>
          <w:p w:rsidR="003B1927" w:rsidRPr="00A7133F" w:rsidRDefault="003B1927" w:rsidP="008C78D3">
            <w:pPr>
              <w:spacing w:before="46" w:after="0" w:line="240" w:lineRule="auto"/>
              <w:ind w:left="60" w:right="-20"/>
              <w:rPr>
                <w:rFonts w:ascii="Arial" w:eastAsia="Arial" w:hAnsi="Arial" w:cs="Arial"/>
                <w:sz w:val="20"/>
                <w:szCs w:val="20"/>
              </w:rPr>
            </w:pPr>
            <w:r w:rsidRPr="00A7133F">
              <w:rPr>
                <w:rFonts w:ascii="Arial" w:eastAsia="Arial" w:hAnsi="Arial" w:cs="Arial"/>
                <w:i/>
                <w:sz w:val="20"/>
                <w:szCs w:val="20"/>
              </w:rPr>
              <w:t>34.465,36€</w:t>
            </w:r>
          </w:p>
        </w:tc>
        <w:tc>
          <w:tcPr>
            <w:tcW w:w="1159" w:type="dxa"/>
            <w:tcBorders>
              <w:top w:val="single" w:sz="8" w:space="0" w:color="000000"/>
              <w:left w:val="single" w:sz="8" w:space="0" w:color="000000"/>
              <w:bottom w:val="single" w:sz="8" w:space="0" w:color="000000"/>
              <w:right w:val="single" w:sz="8" w:space="0" w:color="000000"/>
            </w:tcBorders>
          </w:tcPr>
          <w:p w:rsidR="003B1927" w:rsidRPr="00A7133F" w:rsidRDefault="003B1927" w:rsidP="008C78D3">
            <w:pPr>
              <w:spacing w:before="46" w:after="0" w:line="240" w:lineRule="auto"/>
              <w:ind w:left="60" w:right="-20"/>
              <w:rPr>
                <w:rFonts w:ascii="Arial" w:eastAsia="Arial" w:hAnsi="Arial" w:cs="Arial"/>
                <w:sz w:val="20"/>
                <w:szCs w:val="20"/>
              </w:rPr>
            </w:pPr>
            <w:r w:rsidRPr="00A7133F">
              <w:rPr>
                <w:rFonts w:ascii="Arial" w:eastAsia="Arial" w:hAnsi="Arial" w:cs="Arial"/>
                <w:i/>
                <w:sz w:val="20"/>
                <w:szCs w:val="20"/>
              </w:rPr>
              <w:t>39.907,26€</w:t>
            </w:r>
          </w:p>
        </w:tc>
        <w:tc>
          <w:tcPr>
            <w:tcW w:w="1159" w:type="dxa"/>
            <w:tcBorders>
              <w:top w:val="single" w:sz="8" w:space="0" w:color="000000"/>
              <w:left w:val="single" w:sz="8" w:space="0" w:color="000000"/>
              <w:bottom w:val="single" w:sz="8" w:space="0" w:color="000000"/>
              <w:right w:val="single" w:sz="8" w:space="0" w:color="000000"/>
            </w:tcBorders>
          </w:tcPr>
          <w:p w:rsidR="003B1927" w:rsidRPr="00A7133F" w:rsidRDefault="003B1927" w:rsidP="008C78D3">
            <w:pPr>
              <w:spacing w:before="46" w:after="0" w:line="240" w:lineRule="auto"/>
              <w:ind w:left="60" w:right="-20"/>
              <w:rPr>
                <w:rFonts w:ascii="Arial" w:eastAsia="Arial" w:hAnsi="Arial" w:cs="Arial"/>
                <w:sz w:val="20"/>
                <w:szCs w:val="20"/>
              </w:rPr>
            </w:pPr>
            <w:r w:rsidRPr="00A7133F">
              <w:rPr>
                <w:rFonts w:ascii="Arial" w:eastAsia="Arial" w:hAnsi="Arial" w:cs="Arial"/>
                <w:i/>
                <w:sz w:val="20"/>
                <w:szCs w:val="20"/>
              </w:rPr>
              <w:t>45.349,16€</w:t>
            </w:r>
          </w:p>
        </w:tc>
        <w:tc>
          <w:tcPr>
            <w:tcW w:w="1159" w:type="dxa"/>
            <w:tcBorders>
              <w:top w:val="single" w:sz="8" w:space="0" w:color="000000"/>
              <w:left w:val="single" w:sz="8" w:space="0" w:color="000000"/>
              <w:bottom w:val="single" w:sz="8" w:space="0" w:color="000000"/>
              <w:right w:val="single" w:sz="8" w:space="0" w:color="000000"/>
            </w:tcBorders>
          </w:tcPr>
          <w:p w:rsidR="003B1927" w:rsidRPr="00A7133F" w:rsidRDefault="003B1927" w:rsidP="008C78D3">
            <w:pPr>
              <w:spacing w:before="46" w:after="0" w:line="240" w:lineRule="auto"/>
              <w:ind w:left="60" w:right="-20"/>
              <w:rPr>
                <w:rFonts w:ascii="Arial" w:eastAsia="Arial" w:hAnsi="Arial" w:cs="Arial"/>
                <w:sz w:val="20"/>
                <w:szCs w:val="20"/>
              </w:rPr>
            </w:pPr>
            <w:r w:rsidRPr="00A7133F">
              <w:rPr>
                <w:rFonts w:ascii="Arial" w:eastAsia="Arial" w:hAnsi="Arial" w:cs="Arial"/>
                <w:i/>
                <w:sz w:val="20"/>
                <w:szCs w:val="20"/>
              </w:rPr>
              <w:t>50.791,06€</w:t>
            </w:r>
          </w:p>
        </w:tc>
      </w:tr>
    </w:tbl>
    <w:p w:rsid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Estos importes podrán ser actualizados, en su caso, en el acto de convocatoria.</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Por acto de convocatoria se podrá determinar un tramo distinto a la tarificación social.</w:t>
      </w:r>
    </w:p>
    <w:p w:rsidR="003B1927" w:rsidRPr="003B1927" w:rsidRDefault="003B1927" w:rsidP="003B1927">
      <w:pPr>
        <w:pStyle w:val="Sinespaciado"/>
        <w:jc w:val="both"/>
        <w:rPr>
          <w:rFonts w:ascii="Arial" w:hAnsi="Arial" w:cs="Arial"/>
          <w:sz w:val="20"/>
          <w:szCs w:val="20"/>
        </w:rPr>
      </w:pPr>
    </w:p>
    <w:p w:rsidR="003B1927" w:rsidRDefault="003B1927" w:rsidP="003B1927">
      <w:pPr>
        <w:pStyle w:val="Sinespaciado"/>
        <w:jc w:val="both"/>
        <w:rPr>
          <w:rFonts w:ascii="Arial" w:hAnsi="Arial" w:cs="Arial"/>
          <w:sz w:val="20"/>
          <w:szCs w:val="20"/>
        </w:rPr>
      </w:pPr>
      <w:r w:rsidRPr="003B1927">
        <w:rPr>
          <w:rFonts w:ascii="Arial" w:hAnsi="Arial" w:cs="Arial"/>
          <w:sz w:val="20"/>
          <w:szCs w:val="20"/>
        </w:rPr>
        <w:t>Se considera que forman parte de la unidad de convivencia todas las personas que constan empadronadas en la vivienda objeto del arreglo.</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d. Tienen que estar al corriente en el cumplimiento de las obligaciones tributarias y al corriente con la Seguridad</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Social, con arreglo a la Ley estatal 38/2003, de 17 de noviembre, general de subvenciones.</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e. No incurrir en falsas declaraciones al facilitar la información exigida para participar en la convocatoria.</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f. No encontrarse incurso en prohibición alguna para recibir subvenciones, de acuerdo con lo previsto en la Ley estatal 38/2003.</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5. RÉGIMEN JURÍDICO</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Estas subvenciones tienen carácter voluntario y eventual, no generan ningún derecho a la obtención de otras subvenciones en años posteriores y no pueden alegarse como precedente.</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En todo lo no previsto en estas bases, les será de aplicación la Ordenanza General de Subvenciones del Ayuntamiento de Manresa, las bases generales de otorgamiento de subvenciones que formen parte de las bases de ejecución del presupuesto municipal, la Ley estatal 38/2003, General de Subvenciones, su Reglamento de desarrollo, aprobado por Real Decreto 887/2006, y demás derecho administrativo y privado.</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Corresponderá al Ayuntamiento de Manresa la facultad de resolver cualquier cuestión que pueda presentarse en relación con la interpretación de estas bases.</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6. CONDICIONES Y CUANTÍA DE LAS SUBVENCIONES</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Comprobado el cumplimiento de los requisitos, se fijará el importe de la subvención teniendo en cuenta el límite de la disponibilidad presupuestaria de la convocatoria.</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El importe de la subvención podrá ser del 100% del presupuesto de las intervenciones u obras de arreglo definidas en la base 2 como actuaciones subvencionables, con un límite máximo de</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4.000,00 euros por vivienda, que podrá ser modificada en la convocatoria correspondiente de acuerdo con la disponibilidad presupuestaria.</w:t>
      </w:r>
    </w:p>
    <w:p w:rsidR="003B1927" w:rsidRPr="003B1927" w:rsidRDefault="003B1927" w:rsidP="003B1927">
      <w:pPr>
        <w:pStyle w:val="Sinespaciado"/>
        <w:jc w:val="both"/>
        <w:rPr>
          <w:rFonts w:ascii="Arial" w:hAnsi="Arial" w:cs="Arial"/>
          <w:sz w:val="20"/>
          <w:szCs w:val="20"/>
        </w:rPr>
      </w:pPr>
    </w:p>
    <w:p w:rsidR="003B1927" w:rsidRDefault="003B1927" w:rsidP="003B1927">
      <w:pPr>
        <w:pStyle w:val="Sinespaciado"/>
        <w:jc w:val="both"/>
        <w:rPr>
          <w:rFonts w:ascii="Arial" w:hAnsi="Arial" w:cs="Arial"/>
          <w:sz w:val="20"/>
          <w:szCs w:val="20"/>
        </w:rPr>
      </w:pPr>
      <w:r w:rsidRPr="003B1927">
        <w:rPr>
          <w:rFonts w:ascii="Arial" w:hAnsi="Arial" w:cs="Arial"/>
          <w:sz w:val="20"/>
          <w:szCs w:val="20"/>
        </w:rPr>
        <w:lastRenderedPageBreak/>
        <w:t>En ningún caso el importe de la subvención, junto con otras ayudas de otras administraciones, puede superar el importe de la actuación realizada.</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7. DOTACIÓN PRESUPUESTARIA</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El crédito presupuestario será el que se consignará en el presupuesto correspondiente al ejercicio de cada convocatoria.</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Se otorgarán subvenciones hasta agotar la dotación de la correspondiente aplicación presupuestaria. En caso de que la última subvención otorgada no reciba la cuantía fijada de acuerdo con los parámetros establecidos, le será adjudicado el importe resultante hasta agotar la aplicación una vez restadas las demás ayudas otorgadas.</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La dotación económica inicial podrá ser objeto de ampliación en función de las disponibilidades presupuestarias del Ayuntamiento, en su caso.</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8. PLAZO, FORMA Y PUESTO DE PRESENTACIÓN DE LAS SOLICITUDES</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El plazo de presentación de solicitudes se iniciará al día siguiente de la publicación del extracto de la convocatoria en el Boletín Oficial de la Provincia de Barcelona, ​​previa comunicación a la Base de Datos Nacional de Subvenciones (BDNS). Se establece en régimen de convocatoria abierta durante la anualidad de la convocatoria y hasta la finalización de la dotación presupuestaria.</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La presentación de la solicitud implica la aceptación de las bases y comporta la autorización de la persona solicitante y de todas las personas de la unidad de convivencia para que el Ayuntamiento de Manresa pueda consultar aquellos datos necesarios que consten en los registros administrativos propios así como aquellas que puedan constar en registros administrativos de otras administraciones públicas a efectos de comprobar que concurren los requisitos para el otorgamiento de la subvención.</w:t>
      </w:r>
    </w:p>
    <w:p w:rsidR="003B1927" w:rsidRPr="003B1927" w:rsidRDefault="003B1927" w:rsidP="003B1927">
      <w:pPr>
        <w:pStyle w:val="Sinespaciado"/>
        <w:jc w:val="both"/>
        <w:rPr>
          <w:rFonts w:ascii="Arial" w:hAnsi="Arial" w:cs="Arial"/>
          <w:sz w:val="20"/>
          <w:szCs w:val="20"/>
        </w:rPr>
      </w:pPr>
    </w:p>
    <w:p w:rsidR="003B1927" w:rsidRDefault="003B1927" w:rsidP="003B1927">
      <w:pPr>
        <w:pStyle w:val="Sinespaciado"/>
        <w:jc w:val="both"/>
        <w:rPr>
          <w:rFonts w:ascii="Arial" w:hAnsi="Arial" w:cs="Arial"/>
          <w:sz w:val="20"/>
          <w:szCs w:val="20"/>
        </w:rPr>
      </w:pPr>
      <w:r w:rsidRPr="003B1927">
        <w:rPr>
          <w:rFonts w:ascii="Arial" w:hAnsi="Arial" w:cs="Arial"/>
          <w:sz w:val="20"/>
          <w:szCs w:val="20"/>
        </w:rPr>
        <w:t>La solicitud se presentará a través del portal de trámites de la sede electrónica del Ajuntament de Manresa. Las personas que no están obligadas a presentar las instancias telemáticamente, podrán presentar la solicitud igualmente a través de medios electrónicos o bien presencialmente en la Oficina Municipal de Vivienda (c. Amigant, núm. 5), o en las dependencias de la Equipo de Atención a la Dependencia, Discapacidad y Personas Mayores (EDID) ubicado en la c. Cintaires, 30-32, 3r. Edificio Ateneo Las Bases, de acuerdo con lo que se indique en la convocatoria.</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A las solicitudes deberá adjuntarse la siguiente documentación:</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 Copia del DNI/NIE de la persona solicitante. (si lo hace a través de representante habrá que aportar documentación que acredite esta representación)</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 Documentación acreditativa de la titularidad sobre el derecho de propiedad o de usufructo de la vivienda, o contrato de alquiler.</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 En el caso de usufructo o contrato de alquiler será necesario aportar la autorización firmada por la persona propietaria para poder realizar las obras de arreglo.</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 Presupuesto detallado de las actuaciones u obras de arreglo a realizar emitido por un profesional o empresa proveedora.</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 Fotografías en color del estado actual del cuarto de baño y de los elementos objeto del arreglo.</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 Declaración responsable de la persona solicitante respecto al cumplimiento de los requisitos de admisión, que constarán en la solicitud</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 Documentación acreditativa de otras ayudas y subvenciones concedidas para la misma finalidad, en su caso.</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El Ayuntamiento de Manresa puede realizar, en cualquier momento, telemáticamente o por otros medios, las comprobaciones necesarias para verificar la conformidad de los datos de estas declaraciones y documentación presentadas. También podrá solicitar información complementaria o realizar inspecciones en la vivienda si se considera necesario para valorar la idoneidad de la solicitud.</w:t>
      </w:r>
    </w:p>
    <w:p w:rsidR="003B1927" w:rsidRPr="003B1927" w:rsidRDefault="003B1927" w:rsidP="003B1927">
      <w:pPr>
        <w:pStyle w:val="Sinespaciado"/>
        <w:jc w:val="both"/>
        <w:rPr>
          <w:rFonts w:ascii="Arial" w:hAnsi="Arial" w:cs="Arial"/>
          <w:sz w:val="20"/>
          <w:szCs w:val="20"/>
        </w:rPr>
      </w:pPr>
    </w:p>
    <w:p w:rsidR="003B1927" w:rsidRDefault="003B1927" w:rsidP="003B1927">
      <w:pPr>
        <w:pStyle w:val="Sinespaciado"/>
        <w:jc w:val="both"/>
        <w:rPr>
          <w:rFonts w:ascii="Arial" w:hAnsi="Arial" w:cs="Arial"/>
          <w:sz w:val="20"/>
          <w:szCs w:val="20"/>
        </w:rPr>
      </w:pPr>
      <w:r w:rsidRPr="003B1927">
        <w:rPr>
          <w:rFonts w:ascii="Arial" w:hAnsi="Arial" w:cs="Arial"/>
          <w:sz w:val="20"/>
          <w:szCs w:val="20"/>
        </w:rPr>
        <w:lastRenderedPageBreak/>
        <w:t>Una vez examinadas las solicitudes y documentación presentada, si no cumplen los requisitos establecidos en estas bases y/o no se subsanan los defectos o adjuntan los documentos preceptivos, se considerará que desisten de su solicitud, de acuerdo con lo que dispone el artículo 68 de la Ley estatal 39/2015, del procedimiento administrativo común de las administraciones públicas.</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9. PROCEDIMIENTO DE CONCESIÓN</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El procedimiento de concesión se tramitará en régimen de concurrencia no competitiva, de acuerdo con los principios establecidos en el artículo 8 de la Ley estatal 38/2003, General de Subvenciones, y se rige por estas bases.</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Las solicitudes se resolverán por orden cronológico de presentación, cuando se hayan efectuado las oportunas verificaciones y hasta agotar el presupuesto.</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Una vez agotado el presupuesto, la presentación de solicitudes no dará ningún derecho a la obtención de la subvención.</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El órgano competente para la instrucción del procedimiento será quien ostente la concejalía delegada en materia de Vivienda, y el órgano competente para resolver será quien ostente la concejalía delegada de Hacienda, de acuerdo con la delegación de competencias establecida en el cartapacio municipal.</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10. FORMA DE EVALUACIÓN Y COMISIÓN TÉCNICA EVALUADORA</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Las solicitudes serán evaluadas, de acuerdo con los principios establecidos en el artículo 8 de la Ley estatal</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38/2003, General de Subvenciones.</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La encargada de la valoración de las solicitudes presentadas, será la siguiente comisión evaluadora o personas en quien deleguen:</w:t>
      </w:r>
    </w:p>
    <w:p w:rsidR="003B1927" w:rsidRPr="003B1927" w:rsidRDefault="003B1927" w:rsidP="003B1927">
      <w:pPr>
        <w:pStyle w:val="Sinespaciado"/>
        <w:jc w:val="both"/>
        <w:rPr>
          <w:rFonts w:ascii="Arial" w:hAnsi="Arial" w:cs="Arial"/>
          <w:sz w:val="20"/>
          <w:szCs w:val="20"/>
        </w:rPr>
      </w:pP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 El Concejal delegado de vivienda</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 La Concejala delegada de Derechos Sociales y Personas Mayores</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 La jefa de Sección de Servicios Sociales</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 La jefa de Sección de Vivienda, Acción Comunitaria y Participación</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 La jefa de Sección de Planeamiento y Vivienda</w:t>
      </w:r>
    </w:p>
    <w:p w:rsidR="003B1927" w:rsidRPr="003B1927" w:rsidRDefault="003B1927" w:rsidP="003B1927">
      <w:pPr>
        <w:pStyle w:val="Sinespaciado"/>
        <w:jc w:val="both"/>
        <w:rPr>
          <w:rFonts w:ascii="Arial" w:hAnsi="Arial" w:cs="Arial"/>
          <w:sz w:val="20"/>
          <w:szCs w:val="20"/>
        </w:rPr>
      </w:pPr>
      <w:r w:rsidRPr="003B1927">
        <w:rPr>
          <w:rFonts w:ascii="Arial" w:hAnsi="Arial" w:cs="Arial"/>
          <w:sz w:val="20"/>
          <w:szCs w:val="20"/>
        </w:rPr>
        <w:t>- Una persona designada por la Sección de Apoyo jurídico del Área de derechos y servicios a las personas, que actuará de Secretaria de la comisión.</w:t>
      </w:r>
    </w:p>
    <w:p w:rsidR="003B1927" w:rsidRPr="003B1927" w:rsidRDefault="003B1927" w:rsidP="003B1927">
      <w:pPr>
        <w:pStyle w:val="Sinespaciado"/>
        <w:jc w:val="both"/>
        <w:rPr>
          <w:rFonts w:ascii="Arial" w:hAnsi="Arial" w:cs="Arial"/>
          <w:sz w:val="20"/>
          <w:szCs w:val="20"/>
        </w:rPr>
      </w:pPr>
    </w:p>
    <w:p w:rsidR="003B1927" w:rsidRDefault="003B1927" w:rsidP="003B1927">
      <w:pPr>
        <w:pStyle w:val="Sinespaciado"/>
        <w:jc w:val="both"/>
        <w:rPr>
          <w:rFonts w:ascii="Arial" w:hAnsi="Arial" w:cs="Arial"/>
          <w:sz w:val="20"/>
          <w:szCs w:val="20"/>
        </w:rPr>
      </w:pPr>
      <w:r w:rsidRPr="003B1927">
        <w:rPr>
          <w:rFonts w:ascii="Arial" w:hAnsi="Arial" w:cs="Arial"/>
          <w:sz w:val="20"/>
          <w:szCs w:val="20"/>
        </w:rPr>
        <w:t>Esta comisión tendrá la facultad de proponer la denegación de las solicitudes que incumplan los requisitos y condiciones establecidas en estas bases.</w:t>
      </w: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11. RESOLUCIÓN</w:t>
      </w:r>
    </w:p>
    <w:p w:rsidR="00DC41A2" w:rsidRPr="00DC41A2" w:rsidRDefault="00DC41A2" w:rsidP="00DC41A2">
      <w:pPr>
        <w:pStyle w:val="Sinespaciado"/>
        <w:jc w:val="both"/>
        <w:rPr>
          <w:rFonts w:ascii="Arial" w:hAnsi="Arial" w:cs="Arial"/>
          <w:sz w:val="20"/>
          <w:szCs w:val="20"/>
        </w:rPr>
      </w:pP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Emitido el informe por parte de la comisión técnica evaluadora, la concejalía delegada de vivienda emitirá propuesta de resolución y el órgano municipal competente aprobará el otorgamiento de la subvención o su denegación.</w:t>
      </w:r>
    </w:p>
    <w:p w:rsidR="00DC41A2" w:rsidRPr="00DC41A2" w:rsidRDefault="00DC41A2" w:rsidP="00DC41A2">
      <w:pPr>
        <w:pStyle w:val="Sinespaciado"/>
        <w:jc w:val="both"/>
        <w:rPr>
          <w:rFonts w:ascii="Arial" w:hAnsi="Arial" w:cs="Arial"/>
          <w:sz w:val="20"/>
          <w:szCs w:val="20"/>
        </w:rPr>
      </w:pP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Las subvenciones concedidas se entenderán plenamente aceptadas en los términos y condiciones establecidas en estas bases, si en el plazo de 10 días hábiles desde el día siguiente de la notificación de la concesión, no se manifiesta por parte de la persona beneficiaria su renuncia expresa.</w:t>
      </w:r>
    </w:p>
    <w:p w:rsidR="00DC41A2" w:rsidRPr="00DC41A2" w:rsidRDefault="00DC41A2" w:rsidP="00DC41A2">
      <w:pPr>
        <w:pStyle w:val="Sinespaciado"/>
        <w:jc w:val="both"/>
        <w:rPr>
          <w:rFonts w:ascii="Arial" w:hAnsi="Arial" w:cs="Arial"/>
          <w:sz w:val="20"/>
          <w:szCs w:val="20"/>
        </w:rPr>
      </w:pP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La resolución de otorgamiento deberá adoptarse en el plazo de 6 meses a partir del día siguiente de la finalización del plazo de presentación de solicitudes. Transcurrido el plazo fijado sin que se haya notificado resolución expresa, se entenderá desestimada la solicitud.</w:t>
      </w:r>
    </w:p>
    <w:p w:rsidR="00DC41A2" w:rsidRPr="00DC41A2" w:rsidRDefault="00DC41A2" w:rsidP="00DC41A2">
      <w:pPr>
        <w:pStyle w:val="Sinespaciado"/>
        <w:jc w:val="both"/>
        <w:rPr>
          <w:rFonts w:ascii="Arial" w:hAnsi="Arial" w:cs="Arial"/>
          <w:sz w:val="20"/>
          <w:szCs w:val="20"/>
        </w:rPr>
      </w:pP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Esta resolución se notificará a los interesados ​​por cualquiera de los medios previstos en la Ley estatal</w:t>
      </w: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39/2015 y se enviará a la Base de Datos Nacional de Subvenciones (BDNS) para su publicación, de acuerdo con lo que se establece en el artículo 20 de la Ley estatal 38/2003.</w:t>
      </w:r>
    </w:p>
    <w:p w:rsidR="00DC41A2" w:rsidRPr="00DC41A2" w:rsidRDefault="00DC41A2" w:rsidP="00DC41A2">
      <w:pPr>
        <w:pStyle w:val="Sinespaciado"/>
        <w:jc w:val="both"/>
        <w:rPr>
          <w:rFonts w:ascii="Arial" w:hAnsi="Arial" w:cs="Arial"/>
          <w:sz w:val="20"/>
          <w:szCs w:val="20"/>
        </w:rPr>
      </w:pP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lastRenderedPageBreak/>
        <w:t>La resolución del procedimiento pone fin a la vía administrativa y, contra la misma, puede interponerse recurso contencioso administrativo en el plazo de dos meses a contar desde el día siguiente a su notificación. Alternativamente y de forma potestativa, se podrá interponer recurso de reposición ante el mismo órgano que ha dictado el acto en el plazo de un mes a contar desde el día siguiente a su notificación.</w:t>
      </w:r>
    </w:p>
    <w:p w:rsidR="00DC41A2" w:rsidRPr="00DC41A2" w:rsidRDefault="00DC41A2" w:rsidP="00DC41A2">
      <w:pPr>
        <w:pStyle w:val="Sinespaciado"/>
        <w:jc w:val="both"/>
        <w:rPr>
          <w:rFonts w:ascii="Arial" w:hAnsi="Arial" w:cs="Arial"/>
          <w:sz w:val="20"/>
          <w:szCs w:val="20"/>
        </w:rPr>
      </w:pP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12. OBLIGACIONES DE LAS PERSONAS BENEFICIARIAS</w:t>
      </w:r>
    </w:p>
    <w:p w:rsidR="00DC41A2" w:rsidRPr="00DC41A2" w:rsidRDefault="00DC41A2" w:rsidP="00DC41A2">
      <w:pPr>
        <w:pStyle w:val="Sinespaciado"/>
        <w:jc w:val="both"/>
        <w:rPr>
          <w:rFonts w:ascii="Arial" w:hAnsi="Arial" w:cs="Arial"/>
          <w:sz w:val="20"/>
          <w:szCs w:val="20"/>
        </w:rPr>
      </w:pP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Son obligaciones de las beneficiarias:</w:t>
      </w:r>
    </w:p>
    <w:p w:rsidR="00DC41A2" w:rsidRPr="00DC41A2" w:rsidRDefault="00DC41A2" w:rsidP="00DC41A2">
      <w:pPr>
        <w:pStyle w:val="Sinespaciado"/>
        <w:jc w:val="both"/>
        <w:rPr>
          <w:rFonts w:ascii="Arial" w:hAnsi="Arial" w:cs="Arial"/>
          <w:sz w:val="20"/>
          <w:szCs w:val="20"/>
        </w:rPr>
      </w:pPr>
    </w:p>
    <w:p w:rsidR="00DC41A2" w:rsidRPr="00DC41A2" w:rsidRDefault="00DC41A2" w:rsidP="00DC41A2">
      <w:pPr>
        <w:pStyle w:val="Sinespaciado"/>
        <w:jc w:val="both"/>
        <w:rPr>
          <w:rFonts w:ascii="Arial" w:hAnsi="Arial" w:cs="Arial"/>
          <w:sz w:val="20"/>
          <w:szCs w:val="20"/>
        </w:rPr>
      </w:pP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a) Iniciar las intervenciones u obras de arreglo objeto de subvención en un plazo máximo de 3 meses desde la fecha de notificación de la resolución de concesión de la subvención, y deberá disponer de las licencias, comunicaciones u otras autorizaciones que sean preceptivas antes de su inicio.</w:t>
      </w: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fecha de notificación de la resolución de concesión de la subvención.</w:t>
      </w: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c) Justificar el gasto de la actuación dentro de los 30 días hábiles siguientes a la finalización de las intervenciones u obras de arreglo objeto de la subvención.</w:t>
      </w: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d) Someterse a las actuaciones de comprobación y control financiero previstas por la vigente normativa en materia de subvenciones.</w:t>
      </w: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e) Proceder al reintegro de los fondos percibidos en los supuestos contemplados en el artículo 37 de la Ley General de Subvenciones, y en particular, para obtener la subvención falseando las condiciones requeridas para ello u ocultando aquellas que lo hubiesen impedido, o mostrar resistencia , excusa, obstrucción o negativa a las actuaciones de comprobación y control financiero prevista en el artículo 14 de la Ley General de Subvenciones.</w:t>
      </w: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f) Cumplir las restantes obligaciones que detalla el artículo 14 de la Ley General de Subvenciones y las detalladas en la Ordenanza General de Subvenciones del Ayuntamiento y en las bases generales de otorgamiento de subvenciones que formen parte de las bases de ejecución del presupuesto municipal.</w:t>
      </w: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g) En caso de que la persona beneficiaria se encuentre comprendida en los supuestos del artículo 3.4 de Ley</w:t>
      </w:r>
    </w:p>
    <w:p w:rsidR="00DC41A2" w:rsidRDefault="00DC41A2" w:rsidP="00DC41A2">
      <w:pPr>
        <w:pStyle w:val="Sinespaciado"/>
        <w:jc w:val="both"/>
        <w:rPr>
          <w:rFonts w:ascii="Arial" w:hAnsi="Arial" w:cs="Arial"/>
          <w:sz w:val="20"/>
          <w:szCs w:val="20"/>
        </w:rPr>
      </w:pPr>
      <w:r w:rsidRPr="00DC41A2">
        <w:rPr>
          <w:rFonts w:ascii="Arial" w:hAnsi="Arial" w:cs="Arial"/>
          <w:sz w:val="20"/>
          <w:szCs w:val="20"/>
        </w:rPr>
        <w:t>19/2014, de 29 de diciembre, de transparencia, acceso a la información pública y buen gobierno, deberá adaptarse a las obligaciones de publicidad activa que le resulten aplicables.</w:t>
      </w:r>
    </w:p>
    <w:p w:rsidR="00DC41A2" w:rsidRDefault="00DC41A2" w:rsidP="00DC41A2">
      <w:pPr>
        <w:pStyle w:val="Sinespaciado"/>
        <w:jc w:val="both"/>
        <w:rPr>
          <w:rFonts w:ascii="Arial" w:hAnsi="Arial" w:cs="Arial"/>
          <w:sz w:val="20"/>
          <w:szCs w:val="20"/>
        </w:rPr>
      </w:pP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13. PAGO</w:t>
      </w:r>
    </w:p>
    <w:p w:rsidR="00DC41A2" w:rsidRPr="00DC41A2" w:rsidRDefault="00DC41A2" w:rsidP="00DC41A2">
      <w:pPr>
        <w:pStyle w:val="Sinespaciado"/>
        <w:jc w:val="both"/>
        <w:rPr>
          <w:rFonts w:ascii="Arial" w:hAnsi="Arial" w:cs="Arial"/>
          <w:sz w:val="20"/>
          <w:szCs w:val="20"/>
        </w:rPr>
      </w:pP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Una vez resuelta la solicitud se realizará, en concepto de anticipo, el pago de la totalidad de la subvención otorgada mediante transferencia bancaria a la cuenta designada por la persona beneficiaria.</w:t>
      </w:r>
    </w:p>
    <w:p w:rsidR="00DC41A2" w:rsidRPr="00DC41A2" w:rsidRDefault="00DC41A2" w:rsidP="00DC41A2">
      <w:pPr>
        <w:pStyle w:val="Sinespaciado"/>
        <w:jc w:val="both"/>
        <w:rPr>
          <w:rFonts w:ascii="Arial" w:hAnsi="Arial" w:cs="Arial"/>
          <w:sz w:val="20"/>
          <w:szCs w:val="20"/>
        </w:rPr>
      </w:pPr>
    </w:p>
    <w:p w:rsidR="00DC41A2" w:rsidRPr="00DC41A2" w:rsidRDefault="00DC41A2" w:rsidP="00DC41A2">
      <w:pPr>
        <w:pStyle w:val="Sinespaciado"/>
        <w:jc w:val="both"/>
        <w:rPr>
          <w:rFonts w:ascii="Arial" w:hAnsi="Arial" w:cs="Arial"/>
          <w:sz w:val="20"/>
          <w:szCs w:val="20"/>
        </w:rPr>
      </w:pP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14. JUSTIFICACIÓN</w:t>
      </w:r>
    </w:p>
    <w:p w:rsidR="00DC41A2" w:rsidRPr="00DC41A2" w:rsidRDefault="00DC41A2" w:rsidP="00DC41A2">
      <w:pPr>
        <w:pStyle w:val="Sinespaciado"/>
        <w:jc w:val="both"/>
        <w:rPr>
          <w:rFonts w:ascii="Arial" w:hAnsi="Arial" w:cs="Arial"/>
          <w:sz w:val="20"/>
          <w:szCs w:val="20"/>
        </w:rPr>
      </w:pP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Las personas beneficiarias deben presentar al Ayuntamiento de Manresa, en el plazo máximo de 30 días hábiles siguientes a la finalización de las intervenciones u obras de arreglo objeto de la subvención (que deben haber finalizado en el plazo de 6 meses a partir de la notificación de la resolución de concesión), el cumplimiento de la finalidad para la que se concedió la subvención, mediante la presentación presencial o telemática de la siguiente documentación:</w:t>
      </w:r>
    </w:p>
    <w:p w:rsidR="00DC41A2" w:rsidRPr="00DC41A2" w:rsidRDefault="00DC41A2" w:rsidP="00DC41A2">
      <w:pPr>
        <w:pStyle w:val="Sinespaciado"/>
        <w:jc w:val="both"/>
        <w:rPr>
          <w:rFonts w:ascii="Arial" w:hAnsi="Arial" w:cs="Arial"/>
          <w:sz w:val="20"/>
          <w:szCs w:val="20"/>
        </w:rPr>
      </w:pP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 Facturas justificativas pagadas por las personas beneficiarias, con los recibos de pago.</w:t>
      </w: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 Relación de otros ingresos o subvenciones que hayan financiado la actuación, en su caso.</w:t>
      </w: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 Fotografías de las obras ejecutadas.</w:t>
      </w: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 Licencia de obras o comunicación (se comprobará de oficio)</w:t>
      </w:r>
    </w:p>
    <w:p w:rsidR="00DC41A2" w:rsidRPr="00DC41A2" w:rsidRDefault="00DC41A2" w:rsidP="00DC41A2">
      <w:pPr>
        <w:pStyle w:val="Sinespaciado"/>
        <w:jc w:val="both"/>
        <w:rPr>
          <w:rFonts w:ascii="Arial" w:hAnsi="Arial" w:cs="Arial"/>
          <w:sz w:val="20"/>
          <w:szCs w:val="20"/>
        </w:rPr>
      </w:pP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El procedimiento de justificación se completará con la emisión de un informe técnico municipal de la persona responsable del ámbito, donde se indicará que los gastos son compatibles y se corresponden con la actividad subvencionada y que ésta se ha realizado adecuadamente , cumpliéndose los objetivos de utilidad pública e interés general que motivaron su otorgamiento.</w:t>
      </w:r>
    </w:p>
    <w:p w:rsidR="00DC41A2" w:rsidRPr="00DC41A2" w:rsidRDefault="00DC41A2" w:rsidP="00DC41A2">
      <w:pPr>
        <w:pStyle w:val="Sinespaciado"/>
        <w:jc w:val="both"/>
        <w:rPr>
          <w:rFonts w:ascii="Arial" w:hAnsi="Arial" w:cs="Arial"/>
          <w:sz w:val="20"/>
          <w:szCs w:val="20"/>
        </w:rPr>
      </w:pP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15. INCUMPLIMIENTO Y REINTEGRO FORZOSO</w:t>
      </w:r>
    </w:p>
    <w:p w:rsidR="00DC41A2" w:rsidRPr="00DC41A2" w:rsidRDefault="00DC41A2" w:rsidP="00DC41A2">
      <w:pPr>
        <w:pStyle w:val="Sinespaciado"/>
        <w:jc w:val="both"/>
        <w:rPr>
          <w:rFonts w:ascii="Arial" w:hAnsi="Arial" w:cs="Arial"/>
          <w:sz w:val="20"/>
          <w:szCs w:val="20"/>
        </w:rPr>
      </w:pPr>
    </w:p>
    <w:p w:rsidR="00DC41A2" w:rsidRPr="00DC41A2" w:rsidRDefault="00DC41A2" w:rsidP="00DC41A2">
      <w:pPr>
        <w:pStyle w:val="Sinespaciado"/>
        <w:jc w:val="both"/>
        <w:rPr>
          <w:rFonts w:ascii="Arial" w:hAnsi="Arial" w:cs="Arial"/>
          <w:sz w:val="20"/>
          <w:szCs w:val="20"/>
        </w:rPr>
      </w:pPr>
      <w:r w:rsidRPr="00DC41A2">
        <w:rPr>
          <w:rFonts w:ascii="Arial" w:hAnsi="Arial" w:cs="Arial"/>
          <w:sz w:val="20"/>
          <w:szCs w:val="20"/>
        </w:rPr>
        <w:t>En caso de incumplimiento de las condiciones establecidas en estas bases y en el correspondiente acto de otorgamiento, serán de aplicación las disposiciones relativas al reintegro de subvenciones previstas en la Ley estatal 38/2003, General de Subvenciones, en su Reglamento, aprobado por Real Decreto</w:t>
      </w:r>
    </w:p>
    <w:p w:rsidR="00DC41A2" w:rsidRDefault="00DC41A2" w:rsidP="00DC41A2">
      <w:pPr>
        <w:pStyle w:val="Sinespaciado"/>
        <w:jc w:val="both"/>
        <w:rPr>
          <w:rFonts w:ascii="Arial" w:hAnsi="Arial" w:cs="Arial"/>
          <w:sz w:val="20"/>
          <w:szCs w:val="20"/>
        </w:rPr>
      </w:pPr>
      <w:r w:rsidRPr="00DC41A2">
        <w:rPr>
          <w:rFonts w:ascii="Arial" w:hAnsi="Arial" w:cs="Arial"/>
          <w:sz w:val="20"/>
          <w:szCs w:val="20"/>
        </w:rPr>
        <w:t>887/2006, en la Ordenanza General de Subvenciones del Ayuntamiento y en las bases generales de otorgamiento de subvenciones que formen parte de las bases de ejecución del presupuesto municipal.</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16. PLAN ESTRATÉGICO DE SUBVENCIONES</w:t>
      </w:r>
    </w:p>
    <w:p w:rsidR="00F52E60" w:rsidRP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Las bases reguladoras de estas subvenciones no se encuentran integradas en el plan estratégico de subvenciones vigente aprobado por el pleno de esta corporación en fecha 21/10/2021 y prorrogado por resolución del alcalde de 22/01/2024 hasta la entrada en vigor del nuevo Plan Estratégico de Subvenciones. A pesar</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esto, se ha propuesto su inclusión en el próximo plan estratégico ya que se trata de una línea de subvención que encaja dentro del Plan de Actuación Municipal 2023-2027 dentro del eje de Calidad de Vida y objetivo estratégico de fomentar el vivienda en la ciudad.</w:t>
      </w:r>
    </w:p>
    <w:p w:rsidR="00F52E60" w:rsidRP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Con esta línea se quiere fomentar el arreglo y mejora del interior de las viviendas con el fin de favorecer la accesibilidad y mejorar la calidad de vida y bienestar de las personas en su hogar, dirigido a un colectivo de personas beneficiarias con dificultades para desarrollar las actividades de la vida diaria y recursos económicos insuficientes para afrontar estas mejoras en la vivienda en la que residen.</w:t>
      </w:r>
    </w:p>
    <w:p w:rsidR="00F52E60" w:rsidRP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En consecuencia, aunque no están contempladas dentro del Plan Estratégico actual prorrogado, sí que es una línea de subvenciones alineada a este instrumento de planificación de las políticas públicas que tienen por objeto el fomento de una utilidad pública o interés social o de promoción de una finalidad pública.</w:t>
      </w:r>
    </w:p>
    <w:p w:rsidR="00F52E60" w:rsidRP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17. COMPATIBILIDAD</w:t>
      </w:r>
    </w:p>
    <w:p w:rsidR="00F52E60" w:rsidRP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Estas subvenciones son compatibles con ayudas de otras administraciones públicas, siempre que la suma de los importes concedidos no supere el importe del coste de las intervenciones u obras de arreglo.</w:t>
      </w:r>
    </w:p>
    <w:p w:rsidR="00F52E60" w:rsidRP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Estas subvenciones no serán compatibles si la persona solicitante es beneficiaria del programa de arreglos de la Diputación de Barcelona en la anualidad de la convocatoria y por el mismo concepto.</w:t>
      </w:r>
    </w:p>
    <w:p w:rsidR="00F52E60" w:rsidRP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18. PROTECCIÓN DE DATOS</w:t>
      </w:r>
    </w:p>
    <w:p w:rsidR="00F52E60" w:rsidRPr="00F52E60" w:rsidRDefault="00F52E60" w:rsidP="00F52E60">
      <w:pPr>
        <w:pStyle w:val="Sinespaciado"/>
        <w:jc w:val="both"/>
        <w:rPr>
          <w:rFonts w:ascii="Arial" w:hAnsi="Arial" w:cs="Arial"/>
          <w:sz w:val="20"/>
          <w:szCs w:val="20"/>
        </w:rPr>
      </w:pPr>
    </w:p>
    <w:p w:rsidR="00F52E60" w:rsidRDefault="00F52E60" w:rsidP="00F52E60">
      <w:pPr>
        <w:pStyle w:val="Sinespaciado"/>
        <w:jc w:val="both"/>
        <w:rPr>
          <w:rFonts w:ascii="Arial" w:hAnsi="Arial" w:cs="Arial"/>
          <w:sz w:val="20"/>
          <w:szCs w:val="20"/>
        </w:rPr>
      </w:pPr>
      <w:r w:rsidRPr="00F52E60">
        <w:rPr>
          <w:rFonts w:ascii="Arial" w:hAnsi="Arial" w:cs="Arial"/>
          <w:sz w:val="20"/>
          <w:szCs w:val="20"/>
        </w:rPr>
        <w:t>De acuerdo con la Ley 3/2018, de 5 de diciembre, de Protección de Datos y Garantía de los Derechos Digitales y el Reglamento (UE) 2016/679, Reglamento General de Protección de Datos, los datos facilitados serán incluidos en el fichero automatizado del Registro de documentos del Ayuntamiento y serán tratadas en base a política de confidencialidad de la entidad, con la finalidad de administración y gestión de la relación existente entre las partes, dentro de las finalidades legítimas del Ayuntamiento. Al mismo tiempo, los participantes prestan su consentimiento para que sus datos puedan ser tratados para alguna de las finalidades mencionadas o para todas ellas. Asimismo, existe la posibilidad de ejercer los derechos de acceso, rectificación, cancelación, oposición y limitación en los términos incluidos en la legislación vigente, mediante escrito dirigido al Ayuntamiento de Manresa oa través de la Sede Electrónica de la Ayuntamiento.</w:t>
      </w:r>
    </w:p>
    <w:p w:rsid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19. PRINCIPIOS ÉTICOS Y NORMAS DE CONDUCTA</w:t>
      </w:r>
    </w:p>
    <w:p w:rsidR="00F52E60" w:rsidRP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rsidR="00F52E60" w:rsidRP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a) El respeto del ordenamiento jurídico y el principio de legalidad.</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lastRenderedPageBreak/>
        <w:t>b) El respeto y protección de los derechos fundamentales y las libertades públicas y de los derechos estatutarios.</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c) La transparencia de las actividades financiadas mediante aportaciones económicas procedentes del Ayuntamiento de Manresa.</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la informe sobre asuntos públicos en los que intervengan por razón del cargo o puesto de trabajo.</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f) El ajuste de la gestión y aplicación de los recursos públicos a la legalidad presupuestaria ya las finalidades para las que se han concebido y otorgados.</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g) La rendición de cuentas y la responsabilidad por las actuaciones propias.</w:t>
      </w:r>
    </w:p>
    <w:p w:rsidR="00F52E60" w:rsidRDefault="00F52E60" w:rsidP="00F52E60">
      <w:pPr>
        <w:pStyle w:val="Sinespaciado"/>
        <w:jc w:val="both"/>
        <w:rPr>
          <w:rFonts w:ascii="Arial" w:hAnsi="Arial" w:cs="Arial"/>
          <w:sz w:val="20"/>
          <w:szCs w:val="20"/>
        </w:rPr>
      </w:pPr>
      <w:r w:rsidRPr="00F52E60">
        <w:rPr>
          <w:rFonts w:ascii="Arial" w:hAnsi="Arial" w:cs="Arial"/>
          <w:sz w:val="20"/>
          <w:szCs w:val="20"/>
        </w:rPr>
        <w:t>h) La utilización de la información a la que tienen acceso en beneficio del interés público, sin obtener ninguna ventaja propia ni ajena.</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i) El compromiso general y directo por la calidad de las actividades o servicios que preste y el cumplimiento</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de los derechos de las personas usuarias o destinatarias de sus actividades. j) La buena fe.</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k) No ofrecer ningún obsequio de valor, favor o servicio a autoridad o cargo público, o personal al servicio de la administración pública o de sus entes dependientes, por razón del cargo o que pueda comprometer la ejecución de sus funciones.</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l) No obtener ni tratar de obtener la información o influir en la toma de decisiones de forma deshonesta. m) El compromiso de proporcionar información actualizada, fiel y no engañosa en la actuación comprobadora de la Intervención y de mantenerla actualizada posteriormente.</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n) El compromiso de aceptar y cumplir las medidas adoptadas en caso de incumplimiento de las obligaciones legales establecidas o por el código de conducta.</w:t>
      </w:r>
    </w:p>
    <w:p w:rsidR="00F52E60" w:rsidRP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El incumplimiento de los principios éticos y reglas de conducta establecidos anteriormente por parte de las personas beneficiarias de subvenciones tendrá los siguientes efectos:</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F52E60" w:rsidRDefault="00F52E60" w:rsidP="00F52E60">
      <w:pPr>
        <w:pStyle w:val="Sinespaciado"/>
        <w:jc w:val="both"/>
        <w:rPr>
          <w:rFonts w:ascii="Arial" w:hAnsi="Arial" w:cs="Arial"/>
          <w:sz w:val="20"/>
          <w:szCs w:val="20"/>
        </w:rPr>
      </w:pPr>
      <w:r w:rsidRPr="00F52E60">
        <w:rPr>
          <w:rFonts w:ascii="Arial" w:hAnsi="Arial" w:cs="Arial"/>
          <w:sz w:val="20"/>
          <w:szCs w:val="20"/>
        </w:rPr>
        <w:t>•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Transparència.</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20. PUBLICACIÓN DE LAS SUBVENCIONES</w:t>
      </w:r>
    </w:p>
    <w:p w:rsidR="00F52E60" w:rsidRP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El Ayuntamiento está obligado a facilitar a la Intervención General de la Administración del Estado (BDNS), a efectos meramente estadísticos o informativos, toda la información sobre las subvenciones otorgadas o gestionadas. La Base de Datos Nacional de Subvenciones opera como sistema de publicidad de subvenciones, ya estos efectos el Ayuntamiento remitirá a la BDNS la información sobre las convocatorias y las resoluciones de concesión recaídas.</w:t>
      </w:r>
    </w:p>
    <w:p w:rsidR="00F52E60" w:rsidRP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Asimismo, dará publicidad a las ayudas concedidas según las previsiones establecidas en el artículo 18 de la</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Ley 38/2003, de 17 de noviembre, General de Subvenciones.</w:t>
      </w:r>
    </w:p>
    <w:p w:rsidR="00F52E60" w:rsidRP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 xml:space="preserve">Las personas beneficiarias tendrán que dar publicidad de las subvenciones y ayudas percibidas en los términos y condiciones establecidos en la Ley estatal 19/2013, de 9 de diciembre, de transparencia, acceso a la información pública y buen gobierno; así como en la Ley del </w:t>
      </w:r>
      <w:r w:rsidRPr="00F52E60">
        <w:rPr>
          <w:rFonts w:ascii="Arial" w:hAnsi="Arial" w:cs="Arial"/>
          <w:sz w:val="20"/>
          <w:szCs w:val="20"/>
        </w:rPr>
        <w:lastRenderedPageBreak/>
        <w:t>Parlamento de Cataluña, 19/2014, de 29 de diciembre, de transparencia, acceso a la información pública y buen gobierno.</w:t>
      </w:r>
    </w:p>
    <w:p w:rsidR="00F52E60" w:rsidRP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21. EFECTOS FISCALES DE LAS SUBVENCIONES</w:t>
      </w:r>
    </w:p>
    <w:p w:rsidR="00F52E60" w:rsidRPr="00F52E60" w:rsidRDefault="00F52E60" w:rsidP="00F52E60">
      <w:pPr>
        <w:pStyle w:val="Sinespaciado"/>
        <w:jc w:val="both"/>
        <w:rPr>
          <w:rFonts w:ascii="Arial" w:hAnsi="Arial" w:cs="Arial"/>
          <w:sz w:val="20"/>
          <w:szCs w:val="20"/>
        </w:rPr>
      </w:pPr>
    </w:p>
    <w:p w:rsidR="00F52E60" w:rsidRDefault="00F52E60" w:rsidP="00F52E60">
      <w:pPr>
        <w:pStyle w:val="Sinespaciado"/>
        <w:jc w:val="both"/>
        <w:rPr>
          <w:rFonts w:ascii="Arial" w:hAnsi="Arial" w:cs="Arial"/>
          <w:sz w:val="20"/>
          <w:szCs w:val="20"/>
        </w:rPr>
      </w:pPr>
      <w:r w:rsidRPr="00F52E60">
        <w:rPr>
          <w:rFonts w:ascii="Arial" w:hAnsi="Arial" w:cs="Arial"/>
          <w:sz w:val="20"/>
          <w:szCs w:val="20"/>
        </w:rPr>
        <w:t>De conformidad con el artículo 7 de la Ley 35/2006 del impuesto sobre la renta de las personas físicas (IRPF), el importe de la subvención está sujeto a tributación en el IRPF, con la obligación tributaria de presentar la declaración. ”</w:t>
      </w:r>
    </w:p>
    <w:p w:rsid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Segundo.- SOMETER las bases que se aprueben a información pública por un plazo de 20 días hábiles, mediante anuncio en el Boletín Oficial de la Provincia de Barcelona y en el tablón de anuncios de la Corporación, con inserción de una referencia al Diario Oficial de la Generalidad de Cataluña, con la finalidad de que se puedan presentar alegaciones.</w:t>
      </w:r>
    </w:p>
    <w:p w:rsidR="00F52E60" w:rsidRP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El acuerdo de aprobación inicial será definitivo una vez transcurrido dicho plazo sin que se hayan formulado alegaciones o impugnaciones.</w:t>
      </w:r>
    </w:p>
    <w:p w:rsidR="00F52E60" w:rsidRP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Tercero.- CONVOCAR concurso público para el otorgamiento de las subvenciones mencionadas en el punto primero, mediante procedimiento en régimen de pública concurrencia, en los siguientes términos:</w:t>
      </w:r>
    </w:p>
    <w:p w:rsidR="00F52E60" w:rsidRP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Aplicación presupuestaria a la que se imputa la subvención: Irá con cargo a la aplicación 24</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1520 78100 del presupuesto municipal 2024. El importe inicial que se prevé destinar es de</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30.000,00€.</w:t>
      </w:r>
    </w:p>
    <w:p w:rsidR="00F52E60" w:rsidRP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p>
    <w:p w:rsidR="00F52E60" w:rsidRDefault="00F52E60" w:rsidP="00F52E60">
      <w:pPr>
        <w:pStyle w:val="Sinespaciado"/>
        <w:jc w:val="both"/>
        <w:rPr>
          <w:rFonts w:ascii="Arial" w:hAnsi="Arial" w:cs="Arial"/>
          <w:sz w:val="20"/>
          <w:szCs w:val="20"/>
        </w:rPr>
      </w:pPr>
      <w:r w:rsidRPr="00F52E60">
        <w:rPr>
          <w:rFonts w:ascii="Arial" w:hAnsi="Arial" w:cs="Arial"/>
          <w:sz w:val="20"/>
          <w:szCs w:val="20"/>
        </w:rPr>
        <w:t>Plazo.- El plazo de presentación de solicitudes se iniciará al día siguiente de la publicación del extracto de la convocatoria en el Boletín Oficial de la Provincia de Barcelona, ​​previa comunicación a la Base de Datos Nacional de Subvenciones (BDNS) . Se establece en régimen de convocatoria abierta durante la anualidad de la convocatoria y hasta la finalización de la dotación presupuestaria.</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Tramitación.- La tramitación se efectúa por el régimen de concurrencia no competitiva y la solicitud para concurrir a esta convocatoria se formalizará en impreso normalizado.</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Los impresos oficiales estarán a disposición de las personas interesadas en la Oficina Municipal de Vivienda (c. Amigant, núm. 5), en las dependencias del Equipo de Atención a la Dependencia, Discapacidad y Personas Mayores (EDID) ubicado en la c. Cintaires, 30-32, 3r. Edificio Ateneo Las Bases y en la web del Ayuntamiento de Manresa www.ajmanresa.cat.</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La solicitud se presentará a través del portal de trámites de la sede electrónica del Ajuntament de Manresa. Las personas que no están obligadas a presentar las solicitudes telemáticamente, podrán presentarlas a través de medios electrónicos o bien presencialmente en la Oficina Municipal de Vivienda (c. Amigant, núm. 5) o en las dependencias del Equipo de Atención a la Dependencia, Discapacidad y Personas Mayores (EDID) ubicado en la c. Cintaires, 30-32, 3r. Edificio Ateneo Las Bases.</w:t>
      </w: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La tramitación de los expedientes y su resolución se efectúa como se dispone en las bases reguladoras y en las bases generales reguladoras del otorgamiento de subvenciones del Ayuntamiento de Manresa. La resolución debe adoptarse en el plazo de seis meses a partir del día siguiente de la finalización del plazo de presentación de solicitudes. Transcurrido el plazo fijado sin que se haya notificado resolución expresa, se entenderá desestimada la solicitud.</w:t>
      </w:r>
    </w:p>
    <w:p w:rsidR="00F52E60" w:rsidRP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Resolución y notificación: La resolución de otorgamiento se notificará a los interesados ​​por cualquiera de los medios previstos en la Ley 39/2015, de 1 de octubre, del procedimiento administrativo común de las administraciones públicas y se enviará a la Base de Datos Nacional de Subvenciones (BDNS) para su publicación, de acuerdo con lo establecido en el artículo 20 de la Ley 38/2003, de 17 de diciembre, general de subvenciones. Esta resolución indicará la cuantía de la ayuda otorgada, las condiciones técnicas o económicas y el plazo de presentación de la documentación adicional que se considere oportuna.</w:t>
      </w:r>
    </w:p>
    <w:p w:rsidR="00F52E60" w:rsidRPr="00F52E60" w:rsidRDefault="00F52E60" w:rsidP="00F52E60">
      <w:pPr>
        <w:pStyle w:val="Sinespaciado"/>
        <w:jc w:val="both"/>
        <w:rPr>
          <w:rFonts w:ascii="Arial" w:hAnsi="Arial" w:cs="Arial"/>
          <w:sz w:val="20"/>
          <w:szCs w:val="20"/>
        </w:rPr>
      </w:pPr>
    </w:p>
    <w:p w:rsidR="00F52E60" w:rsidRPr="00F52E60" w:rsidRDefault="00F52E60" w:rsidP="00F52E60">
      <w:pPr>
        <w:pStyle w:val="Sinespaciado"/>
        <w:jc w:val="both"/>
        <w:rPr>
          <w:rFonts w:ascii="Arial" w:hAnsi="Arial" w:cs="Arial"/>
          <w:sz w:val="20"/>
          <w:szCs w:val="20"/>
        </w:rPr>
      </w:pPr>
      <w:r w:rsidRPr="00F52E60">
        <w:rPr>
          <w:rFonts w:ascii="Arial" w:hAnsi="Arial" w:cs="Arial"/>
          <w:sz w:val="20"/>
          <w:szCs w:val="20"/>
        </w:rPr>
        <w:t xml:space="preserve">Cuarto.- PUBLICAR la convocatoria en la Base de Datos Nacional de Subvenciones (BDNS) de acuerdo con lo establecido en el artículo 20 de la Ley 38/2003, general de subvenciones, y la </w:t>
      </w:r>
      <w:r w:rsidRPr="00F52E60">
        <w:rPr>
          <w:rFonts w:ascii="Arial" w:hAnsi="Arial" w:cs="Arial"/>
          <w:sz w:val="20"/>
          <w:szCs w:val="20"/>
        </w:rPr>
        <w:lastRenderedPageBreak/>
        <w:t>remisión del extracto de la convocatoria en la mencionada BDNS para su publicación en el Boletín Oficial de la Provincia de Barcelona.</w:t>
      </w:r>
    </w:p>
    <w:p w:rsidR="00F52E60" w:rsidRPr="00F52E60" w:rsidRDefault="00F52E60" w:rsidP="00F52E60">
      <w:pPr>
        <w:pStyle w:val="Sinespaciado"/>
        <w:jc w:val="both"/>
        <w:rPr>
          <w:rFonts w:ascii="Arial" w:hAnsi="Arial" w:cs="Arial"/>
          <w:sz w:val="20"/>
          <w:szCs w:val="20"/>
        </w:rPr>
      </w:pPr>
    </w:p>
    <w:p w:rsidR="00F52E60" w:rsidRPr="003B1927" w:rsidRDefault="00F52E60" w:rsidP="00F52E60">
      <w:pPr>
        <w:pStyle w:val="Sinespaciado"/>
        <w:jc w:val="both"/>
        <w:rPr>
          <w:rFonts w:ascii="Arial" w:hAnsi="Arial" w:cs="Arial"/>
          <w:sz w:val="20"/>
          <w:szCs w:val="20"/>
        </w:rPr>
      </w:pPr>
      <w:r w:rsidRPr="00F52E60">
        <w:rPr>
          <w:rFonts w:ascii="Arial" w:hAnsi="Arial" w:cs="Arial"/>
          <w:sz w:val="20"/>
          <w:szCs w:val="20"/>
        </w:rPr>
        <w:t xml:space="preserve"> El sexto teniente de alcalde</w:t>
      </w:r>
    </w:p>
    <w:sectPr w:rsidR="00F52E60" w:rsidRPr="003B192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927"/>
    <w:rsid w:val="00012D9D"/>
    <w:rsid w:val="003B1927"/>
    <w:rsid w:val="00DC41A2"/>
    <w:rsid w:val="00E669FE"/>
    <w:rsid w:val="00F52E6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927"/>
    <w:pPr>
      <w:widowControl w:val="0"/>
    </w:pPr>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3B1927"/>
    <w:pPr>
      <w:spacing w:after="0" w:line="240" w:lineRule="auto"/>
    </w:pPr>
  </w:style>
  <w:style w:type="paragraph" w:styleId="Textodeglobo">
    <w:name w:val="Balloon Text"/>
    <w:basedOn w:val="Normal"/>
    <w:link w:val="TextodegloboCar"/>
    <w:uiPriority w:val="99"/>
    <w:semiHidden/>
    <w:unhideWhenUsed/>
    <w:rsid w:val="00F52E6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52E60"/>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927"/>
    <w:pPr>
      <w:widowControl w:val="0"/>
    </w:pPr>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3B1927"/>
    <w:pPr>
      <w:spacing w:after="0" w:line="240" w:lineRule="auto"/>
    </w:pPr>
  </w:style>
  <w:style w:type="paragraph" w:styleId="Textodeglobo">
    <w:name w:val="Balloon Text"/>
    <w:basedOn w:val="Normal"/>
    <w:link w:val="TextodegloboCar"/>
    <w:uiPriority w:val="99"/>
    <w:semiHidden/>
    <w:unhideWhenUsed/>
    <w:rsid w:val="00F52E6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52E60"/>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9</Pages>
  <Words>4223</Words>
  <Characters>24077</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montserrat planell</dc:creator>
  <cp:lastModifiedBy>montserrat planell</cp:lastModifiedBy>
  <cp:revision>1</cp:revision>
  <cp:lastPrinted>2024-07-19T07:27:00Z</cp:lastPrinted>
  <dcterms:created xsi:type="dcterms:W3CDTF">2024-07-19T06:59:00Z</dcterms:created>
  <dcterms:modified xsi:type="dcterms:W3CDTF">2024-07-19T07:28:00Z</dcterms:modified>
</cp:coreProperties>
</file>