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p>
      <w:pPr>
        <w:pStyle w:val="BodyText"/>
        <w:rPr>
          <w:rFonts w:ascii="Times New Roman"/>
          <w:sz w:val="20"/>
        </w:rPr>
      </w:pPr>
      <w:r>
        <w:rPr/>
        <w:pict>
          <v:group style="position:absolute;margin-left:0pt;margin-top:770pt;width:420.3pt;height:46.8pt;mso-position-horizontal-relative:page;mso-position-vertical-relative:page;z-index:-15779328" coordorigin="0,15400" coordsize="8406,936">
            <v:shape style="position:absolute;left:0;top:15867;width:8406;height:469" type="#_x0000_t75" stroked="false">
              <v:imagedata r:id="rId6" o:title=""/>
            </v:shape>
            <v:shape style="position:absolute;left:200;top:15400;width:720;height:720" type="#_x0000_t75" stroked="false">
              <v:imagedata r:id="rId7" o:title=""/>
            </v:shape>
            <w10:wrap type="none"/>
          </v:group>
        </w:pict>
      </w:r>
      <w:r>
        <w:rPr/>
        <w:pict>
          <v:shapetype id="_x0000_t202" o:spt="202" coordsize="21600,21600" path="m,l,21600r21600,l21600,xe">
            <v:stroke joinstyle="miter"/>
            <v:path gradientshapeok="t" o:connecttype="rect"/>
          </v:shapetype>
          <v:shape style="position:absolute;margin-left:13.663086pt;margin-top:563.257813pt;width:28.85pt;height:203.75pt;mso-position-horizontal-relative:page;mso-position-vertical-relative:page;z-index:15729152" type="#_x0000_t202" filled="false" stroked="false">
            <v:textbox inset="0,0,0,0" style="layout-flow:vertical;mso-layout-flow-alt:bottom-to-top">
              <w:txbxContent>
                <w:p>
                  <w:pPr>
                    <w:spacing w:line="150" w:lineRule="exact" w:before="15"/>
                    <w:ind w:left="20" w:right="0" w:firstLine="0"/>
                    <w:jc w:val="left"/>
                    <w:rPr>
                      <w:rFonts w:ascii="Arial MT"/>
                      <w:sz w:val="14"/>
                    </w:rPr>
                  </w:pPr>
                  <w:r>
                    <w:rPr>
                      <w:rFonts w:ascii="Arial MT"/>
                      <w:sz w:val="14"/>
                    </w:rPr>
                    <w:t xml:space="preserve">CSV: 0752e0e0-</w:t>
                  </w:r>
                  <w:r>
                    <w:rPr>
                      <w:rFonts w:ascii="Arial MT"/>
                      <w:sz w:val="14"/>
                    </w:rPr>
                    <w:t xml:space="preserve">29a3-</w:t>
                  </w:r>
                  <w:r>
                    <w:rPr>
                      <w:rFonts w:ascii="Arial MT"/>
                      <w:sz w:val="14"/>
                    </w:rPr>
                    <w:t xml:space="preserve">45ec-</w:t>
                  </w:r>
                  <w:r>
                    <w:rPr>
                      <w:rFonts w:ascii="Arial MT"/>
                      <w:sz w:val="14"/>
                    </w:rPr>
                    <w:t xml:space="preserve">97cc-</w:t>
                  </w:r>
                  <w:r>
                    <w:rPr>
                      <w:rFonts w:ascii="Arial MT"/>
                      <w:sz w:val="14"/>
                    </w:rPr>
                    <w:t xml:space="preserve">d769aba511f1</w:t>
                  </w:r>
                </w:p>
                <w:p>
                  <w:pPr>
                    <w:spacing w:line="180" w:lineRule="auto" w:before="22"/>
                    <w:ind w:left="20" w:right="0" w:firstLine="0"/>
                    <w:jc w:val="left"/>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type="none"/>
          </v:shape>
        </w:pict>
      </w:r>
    </w:p>
    <w:p>
      <w:pPr>
        <w:pStyle w:val="BodyText"/>
        <w:spacing w:before="1"/>
        <w:rPr>
          <w:rFonts w:ascii="Times New Roman"/>
          <w:sz w:val="20"/>
        </w:rPr>
      </w:pPr>
    </w:p>
    <w:p>
      <w:pPr>
        <w:pStyle w:val="Heading1"/>
      </w:pPr>
      <w:r>
        <w:rPr>
          <w:w w:val="115"/>
        </w:rPr>
        <w:t xml:space="preserve">Exp. n.º 0047.2024</w:t>
      </w:r>
    </w:p>
    <w:p>
      <w:pPr>
        <w:pStyle w:val="BodyText"/>
        <w:spacing w:before="2"/>
        <w:rPr>
          <w:b/>
        </w:rPr>
      </w:pPr>
    </w:p>
    <w:p>
      <w:pPr>
        <w:pStyle w:val="BodyText"/>
        <w:ind w:left="115"/>
      </w:pPr>
      <w:r>
        <w:rPr>
          <w:w w:val="110"/>
          <w:u w:val="single"/>
        </w:rPr>
        <w:t xml:space="preserve">Asunto</w:t>
      </w:r>
      <w:r>
        <w:rPr>
          <w:w w:val="110"/>
        </w:rPr>
        <w:t xml:space="preserve">: Otorgamiento de ayudas individuales de desplazamiento (AID) dirigidos al alumnado de enseñanzas obligatorias, de segundo ciclo de educación infantil y alumnas de educación especial, escolarizados en centros </w:t>
      </w:r>
      <w:r>
        <w:rPr>
          <w:w w:val="115"/>
        </w:rPr>
        <w:t xml:space="preserve">educativos sufragados con fondos públicos de la comarca de la Anoia por en el curso 2023-</w:t>
      </w:r>
      <w:r>
        <w:rPr>
          <w:w w:val="115"/>
        </w:rPr>
        <w:t xml:space="preserve">2024.</w:t>
      </w:r>
    </w:p>
    <w:p>
      <w:pPr>
        <w:pStyle w:val="BodyText"/>
        <w:spacing w:before="4"/>
      </w:pPr>
    </w:p>
    <w:p>
      <w:pPr>
        <w:pStyle w:val="BodyText"/>
        <w:ind w:left="115"/>
      </w:pPr>
      <w:r>
        <w:rPr>
          <w:w w:val="110"/>
          <w:u w:val="single"/>
        </w:rPr>
        <w:t xml:space="preserve">Objeto</w:t>
      </w:r>
      <w:r>
        <w:rPr>
          <w:w w:val="110"/>
        </w:rPr>
        <w:t xml:space="preserve">: Aprobación Bases específicas y Convocatoria.</w:t>
      </w:r>
    </w:p>
    <w:p>
      <w:pPr>
        <w:pStyle w:val="BodyText"/>
        <w:rPr>
          <w:sz w:val="20"/>
        </w:rPr>
      </w:pPr>
    </w:p>
    <w:p>
      <w:pPr>
        <w:pStyle w:val="BodyText"/>
        <w:spacing w:before="2"/>
        <w:rPr>
          <w:sz w:val="16"/>
        </w:rPr>
      </w:pPr>
    </w:p>
    <w:p>
      <w:pPr>
        <w:pStyle w:val="Heading1"/>
        <w:spacing w:before="1"/>
        <w:ind w:left="4100" w:right="3665"/>
        <w:jc w:val="center"/>
      </w:pPr>
      <w:r>
        <w:rPr>
          <w:w w:val="120"/>
        </w:rPr>
        <w:t xml:space="preserve">PROPUESTA De ACUERDO</w:t>
      </w:r>
    </w:p>
    <w:p>
      <w:pPr>
        <w:pStyle w:val="BodyText"/>
        <w:spacing w:before="1"/>
        <w:rPr>
          <w:b/>
        </w:rPr>
      </w:pPr>
    </w:p>
    <w:p>
      <w:pPr>
        <w:pStyle w:val="BodyText"/>
        <w:spacing w:before="1"/>
        <w:ind w:left="115" w:right="114"/>
        <w:jc w:val="both"/>
      </w:pPr>
      <w:r>
        <w:rPr>
          <w:w w:val="110"/>
        </w:rPr>
        <w:t xml:space="preserve">Dado que el Decreto 161/</w:t>
      </w:r>
      <w:r>
        <w:rPr>
          <w:w w:val="110"/>
        </w:rPr>
        <w:t xml:space="preserve">1996, de 14 de mayo, por el cual se regula el servicio escolar de transporte, en los suyo artículo 8 establece que cuando no sea posible establecer líneas de transporte escolar, se asignarán ayudas individuales de desplazamiento a las familias para asegurar el traslado de los escolares en los centros donde están matriculados. Por otra parte, de conformidad la disposición adicional primera del Decreto 161/</w:t>
      </w:r>
      <w:r>
        <w:rPr>
          <w:w w:val="110"/>
        </w:rPr>
        <w:t xml:space="preserve">1996, de 14 de mayo tiene en cuenta la posibilidad que, cuando las necesidades de escolarización en un determinado municipio así lo aconsejen, y de acuerdo  con las consignaciones  presupuestarias existentes,  se podrá facilitar el servicio escolar de transporte o la concesión  de ayudas destinadas al alumnado que curse el segundo ciclo  de educación infantil que tenga que desplazar fuera de su municipio de residencia y al alumnado de educación obligatoria que tenga que desplazar a centros docentes del mismo municipio pero distantes de su lugar de residencia, superior a 2 km.</w:t>
      </w:r>
    </w:p>
    <w:p>
      <w:pPr>
        <w:pStyle w:val="BodyText"/>
        <w:spacing w:before="10"/>
      </w:pPr>
    </w:p>
    <w:p>
      <w:pPr>
        <w:pStyle w:val="BodyText"/>
        <w:spacing w:before="1"/>
        <w:ind w:left="115" w:right="116"/>
        <w:jc w:val="both"/>
      </w:pPr>
      <w:r>
        <w:rPr>
          <w:w w:val="110"/>
        </w:rPr>
        <w:t xml:space="preserve">Dado que la finalidad de los AID es la de garantizar la gratuidad del desplazamiento al alumnado de educación obligatoria y de segundo ciclo de educación infantil que haya de escolarizar fuera del suyo municipio de residencia, en caso que no se disponga del servicio de transporte gratuito hasta en el centro escolar, situado fuera del suyo municipio de residencia, o en el supuesto de que el domicilio esté a una distancia superior a 2 km de la parada de transporte escolar, del centro adscrito fuera del suyo municipio.</w:t>
      </w:r>
    </w:p>
    <w:p>
      <w:pPr>
        <w:pStyle w:val="BodyText"/>
        <w:spacing w:before="5"/>
      </w:pPr>
    </w:p>
    <w:p>
      <w:pPr>
        <w:pStyle w:val="BodyText"/>
        <w:spacing w:before="1"/>
        <w:ind w:left="115" w:right="117"/>
        <w:jc w:val="both"/>
      </w:pPr>
      <w:r>
        <w:rPr>
          <w:w w:val="110"/>
        </w:rPr>
        <w:t xml:space="preserve">En conformidad con la Ordenanza General de Subvenciones del Consejo Comarcal, aprobada definitivamente por acuerdo del Pleno de 26 de junio de 2017 y publicada al Boletín Oficial de la Provincia del  día 28 de septiembre de 2018, establece las bases reguladoras  generales  del  procedimiento  de  concesión  de subvenciones (artículo 17 de la Ordenanza). La letra a) del apartado 2 del artículo 23 de la referida Ley General de Subvenciones, además de disponer que la convocatoria tendrá que incorporar la notificación de la disposición que establezcan, si se procede, las bases reguladoras, también prevé la posibilidad que, en consideración en la suya especificidad, estas, las bases específicas, se incluyan en la misma convocatoria. En este caso se entiende que la naturaleza de su aprobación es la de un acto administrativo con pluralidad de destinatarios y no la de una disposición general, dado que no tiene vocación de permanencia en el ordenamiento jurídico.</w:t>
      </w:r>
    </w:p>
    <w:p>
      <w:pPr>
        <w:pStyle w:val="BodyText"/>
        <w:spacing w:before="10"/>
      </w:pPr>
    </w:p>
    <w:p>
      <w:pPr>
        <w:pStyle w:val="BodyText"/>
        <w:spacing w:before="1"/>
        <w:ind w:left="115" w:right="115"/>
        <w:jc w:val="both"/>
      </w:pPr>
      <w:r>
        <w:rPr>
          <w:w w:val="110"/>
        </w:rPr>
        <w:t xml:space="preserve">Dado que las bases específicas precisamente por este carácter, se incluyen a la convocatoria y no tienen carácter regulador, sino más pronto están referidas a aspectos procedimentales y organizativos de la subvención. Estas bases no tienen vocación de incorporar a la normativa propia del Consejo Comarcal, sino que tienen una aplicación temporal limitada y tienen como a objeto concretar el  marco  normativo aplicable a un procedimiento concreto de concesión de una subvención.</w:t>
      </w:r>
    </w:p>
    <w:p>
      <w:pPr>
        <w:pStyle w:val="BodyText"/>
        <w:spacing w:before="5"/>
      </w:pPr>
    </w:p>
    <w:p>
      <w:pPr>
        <w:pStyle w:val="BodyText"/>
        <w:spacing w:before="1"/>
        <w:ind w:left="115" w:right="106"/>
        <w:jc w:val="both"/>
      </w:pPr>
      <w:r>
        <w:rPr>
          <w:w w:val="115"/>
        </w:rPr>
        <w:t xml:space="preserve">Viste el informe emitido por la Jefa de Enseñanza y Cultura del Consejo Comarcal de la Anoia en fecha 11.04.2024 y viste el informe jurídico emitido en fecha 15.04.2024.</w:t>
      </w:r>
    </w:p>
    <w:p>
      <w:pPr>
        <w:pStyle w:val="BodyText"/>
        <w:spacing w:before="10"/>
      </w:pPr>
    </w:p>
    <w:p>
      <w:pPr>
        <w:spacing w:before="0"/>
        <w:ind w:left="115" w:right="105" w:firstLine="0"/>
        <w:jc w:val="both"/>
        <w:rPr>
          <w:rFonts w:ascii="Calibri" w:hAnsi="Calibri"/>
          <w:sz w:val="22"/>
        </w:rPr>
      </w:pPr>
      <w:r>
        <w:rPr>
          <w:w w:val="105"/>
          <w:sz w:val="18"/>
        </w:rPr>
        <w:t xml:space="preserve">Viste el informe de Intervención de fecha  18.04.2024  según  el  cual  consta  la observación  siguiente:  “ </w:t>
      </w:r>
      <w:r>
        <w:rPr>
          <w:rFonts w:ascii="Calibri" w:hAnsi="Calibri"/>
          <w:w w:val="105"/>
          <w:sz w:val="22"/>
        </w:rPr>
        <w:t xml:space="preserve">Condicionado a la aprobación de la reducción de la AD (correspondiendo) de comedor.”</w:t>
      </w:r>
    </w:p>
    <w:p>
      <w:pPr>
        <w:pStyle w:val="BodyText"/>
        <w:spacing w:before="8"/>
        <w:rPr>
          <w:rFonts w:ascii="Calibri"/>
          <w:sz w:val="16"/>
        </w:rPr>
      </w:pPr>
    </w:p>
    <w:p>
      <w:pPr>
        <w:pStyle w:val="BodyText"/>
        <w:ind w:left="115"/>
        <w:jc w:val="both"/>
      </w:pPr>
      <w:r>
        <w:rPr>
          <w:w w:val="115"/>
        </w:rPr>
        <w:t xml:space="preserve">Se propone el siguiente acuerdo:</w:t>
      </w:r>
    </w:p>
    <w:p>
      <w:pPr>
        <w:pStyle w:val="BodyText"/>
        <w:spacing w:before="9"/>
        <w:rPr>
          <w:sz w:val="21"/>
        </w:rPr>
      </w:pPr>
    </w:p>
    <w:p>
      <w:pPr>
        <w:pStyle w:val="BodyText"/>
        <w:ind w:left="115" w:right="112"/>
        <w:jc w:val="both"/>
      </w:pPr>
      <w:r>
        <w:rPr>
          <w:b/>
          <w:color w:val="202020"/>
          <w:w w:val="115"/>
        </w:rPr>
        <w:t xml:space="preserve">Primero.– </w:t>
      </w:r>
      <w:r>
        <w:rPr>
          <w:color w:val="202020"/>
          <w:w w:val="115"/>
        </w:rPr>
        <w:t xml:space="preserve">Aprobar la convocatoria y las bases específicas por al otorgamiento, mediante el procedimiento </w:t>
      </w:r>
      <w:r>
        <w:rPr>
          <w:color w:val="202020"/>
          <w:spacing w:val="-1"/>
          <w:w w:val="115"/>
        </w:rPr>
        <w:t xml:space="preserve">de concurrencia </w:t>
      </w:r>
      <w:r>
        <w:rPr>
          <w:color w:val="202020"/>
          <w:w w:val="115"/>
        </w:rPr>
        <w:t xml:space="preserve">competitiva, </w:t>
      </w:r>
      <w:r>
        <w:rPr>
          <w:w w:val="115"/>
        </w:rPr>
        <w:t xml:space="preserve">de ayudas individuales de desplazamiento dirigidos al alumnado de enseñanzas obligatorias, de segundo ciclo de educación infantil y alumnas de educación especial, escolarizados en centros educativos sufragados con fondos públicos de la comarca para el curso 2023-</w:t>
      </w:r>
      <w:r>
        <w:rPr>
          <w:w w:val="115"/>
        </w:rPr>
        <w:t xml:space="preserve">2024. Los referidos documentos se adjuntan al presente en el Anexo 1.</w:t>
      </w:r>
    </w:p>
    <w:p>
      <w:pPr>
        <w:pStyle w:val="BodyText"/>
        <w:spacing w:before="6"/>
      </w:pPr>
    </w:p>
    <w:p>
      <w:pPr>
        <w:pStyle w:val="BodyText"/>
        <w:ind w:left="115" w:right="114"/>
        <w:jc w:val="both"/>
      </w:pPr>
      <w:r>
        <w:rPr>
          <w:b/>
          <w:color w:val="202020"/>
          <w:w w:val="110"/>
        </w:rPr>
        <w:t xml:space="preserve">Segundo.- </w:t>
      </w:r>
      <w:r>
        <w:rPr>
          <w:color w:val="202020"/>
          <w:w w:val="110"/>
        </w:rPr>
        <w:t xml:space="preserve">Someter a exposición pública por el plazo de veinte días hábiles las bases aprobadas anteriormente, mediante un anuncio publicado en el Boletín Oficial de la Provincia, de conformidad con el artículo 124.2 del</w:t>
      </w:r>
    </w:p>
    <w:p>
      <w:pPr>
        <w:pStyle w:val="BodyText"/>
        <w:spacing w:before="6"/>
        <w:rPr>
          <w:sz w:val="20"/>
        </w:rPr>
      </w:pPr>
    </w:p>
    <w:p>
      <w:pPr>
        <w:spacing w:before="96"/>
        <w:ind w:left="6440" w:right="831" w:firstLine="0"/>
        <w:jc w:val="left"/>
        <w:rPr>
          <w:rFonts w:ascii="Arial MT" w:hAnsi="Arial MT"/>
          <w:sz w:val="14"/>
        </w:rPr>
      </w:pPr>
      <w:r>
        <w:rPr>
          <w:rFonts w:ascii="Arial MT" w:hAnsi="Arial MT"/>
          <w:sz w:val="14"/>
        </w:rPr>
        <w:t xml:space="preserve">Firmado electrónicamente por JORDI PARCERISAS VALLS . Fecha: 18/</w:t>
      </w:r>
      <w:r>
        <w:rPr>
          <w:rFonts w:ascii="Arial MT" w:hAnsi="Arial MT"/>
          <w:sz w:val="14"/>
        </w:rPr>
        <w:t xml:space="preserve">04/</w:t>
      </w:r>
      <w:r>
        <w:rPr>
          <w:rFonts w:ascii="Arial MT" w:hAnsi="Arial MT"/>
          <w:sz w:val="14"/>
        </w:rPr>
        <w:t xml:space="preserve">2024 13:55:43 CEST</w:t>
      </w:r>
    </w:p>
    <w:p>
      <w:pPr>
        <w:spacing w:after="0"/>
        <w:jc w:val="left"/>
        <w:rPr>
          <w:rFonts w:ascii="Arial MT" w:hAnsi="Arial MT"/>
          <w:sz w:val="14"/>
        </w:rPr>
        <w:sectPr>
          <w:headerReference w:type="default" r:id="rId5"/>
          <w:type w:val="continuous"/>
          <w:pgSz w:w="11900" w:h="16840"/>
          <w:pgMar w:header="950" w:top="1800" w:bottom="280" w:left="1020" w:right="1020"/>
          <w:pgNumType w:start="1"/>
        </w:sectPr>
      </w:pPr>
    </w:p>
    <w:p>
      <w:pPr>
        <w:pStyle w:val="BodyText"/>
        <w:rPr>
          <w:rFonts w:ascii="Arial MT"/>
          <w:sz w:val="20"/>
        </w:rPr>
      </w:pPr>
      <w:r>
        <w:rPr/>
        <w:pict>
          <v:group style="position:absolute;margin-left:0pt;margin-top:770pt;width:420.3pt;height:46.8pt;mso-position-horizontal-relative:page;mso-position-vertical-relative:page;z-index:15729664" coordorigin="0,15400" coordsize="8406,936">
            <v:shape style="position:absolute;left:0;top:15867;width:8406;height:469" type="#_x0000_t75" stroked="false">
              <v:imagedata r:id="rId6" o:title=""/>
            </v:shape>
            <v:shape style="position:absolute;left:200;top:15400;width:720;height:720" type="#_x0000_t75" stroked="false">
              <v:imagedata r:id="rId7" o:title=""/>
            </v:shape>
            <w10:wrap type="none"/>
          </v:group>
        </w:pict>
      </w:r>
      <w:r>
        <w:rPr/>
        <w:pict>
          <v:shape style="position:absolute;margin-left:13.663086pt;margin-top:563.257813pt;width:28.85pt;height:203.75pt;mso-position-horizontal-relative:page;mso-position-vertical-relative:page;z-index:15730176" type="#_x0000_t202" filled="false" stroked="false">
            <v:textbox inset="0,0,0,0" style="layout-flow:vertical;mso-layout-flow-alt:bottom-to-top">
              <w:txbxContent>
                <w:p>
                  <w:pPr>
                    <w:spacing w:line="150" w:lineRule="exact" w:before="15"/>
                    <w:ind w:left="20" w:right="0" w:firstLine="0"/>
                    <w:jc w:val="left"/>
                    <w:rPr>
                      <w:rFonts w:ascii="Arial MT"/>
                      <w:sz w:val="14"/>
                    </w:rPr>
                  </w:pPr>
                  <w:r>
                    <w:rPr>
                      <w:rFonts w:ascii="Arial MT"/>
                      <w:sz w:val="14"/>
                    </w:rPr>
                    <w:t xml:space="preserve">CSV: 0752e0e0-</w:t>
                  </w:r>
                  <w:r>
                    <w:rPr>
                      <w:rFonts w:ascii="Arial MT"/>
                      <w:sz w:val="14"/>
                    </w:rPr>
                    <w:t xml:space="preserve">29a3-</w:t>
                  </w:r>
                  <w:r>
                    <w:rPr>
                      <w:rFonts w:ascii="Arial MT"/>
                      <w:sz w:val="14"/>
                    </w:rPr>
                    <w:t xml:space="preserve">45ec-</w:t>
                  </w:r>
                  <w:r>
                    <w:rPr>
                      <w:rFonts w:ascii="Arial MT"/>
                      <w:sz w:val="14"/>
                    </w:rPr>
                    <w:t xml:space="preserve">97cc-</w:t>
                  </w:r>
                  <w:r>
                    <w:rPr>
                      <w:rFonts w:ascii="Arial MT"/>
                      <w:sz w:val="14"/>
                    </w:rPr>
                    <w:t xml:space="preserve">d769aba511f1</w:t>
                  </w:r>
                </w:p>
                <w:p>
                  <w:pPr>
                    <w:spacing w:line="180" w:lineRule="auto" w:before="22"/>
                    <w:ind w:left="20" w:right="0" w:firstLine="0"/>
                    <w:jc w:val="left"/>
                    <w:rPr>
                      <w:rFonts w:ascii="Arial MT" w:hAnsi="Arial MT"/>
                      <w:sz w:val="14"/>
                    </w:rPr>
                  </w:pPr>
                  <w:r>
                    <w:rPr>
                      <w:rFonts w:ascii="Arial MT" w:hAnsi="Arial MT"/>
                      <w:color w:val="6B6B6B"/>
                      <w:sz w:val="14"/>
                    </w:rPr>
                    <w:t xml:space="preserve">Este documento es Copia en papel auténtica según el artículo 27 de la Ley 39/</w:t>
                  </w:r>
                  <w:r>
                    <w:rPr>
                      <w:rFonts w:ascii="Arial MT" w:hAnsi="Arial MT"/>
                      <w:color w:val="6B6B6B"/>
                      <w:sz w:val="14"/>
                    </w:rPr>
                    <w:t xml:space="preserve">2015, de 1 de octubre. Su autenticidad puede ser comprobada a la dirección</w:t>
                  </w:r>
                </w:p>
              </w:txbxContent>
            </v:textbox>
            <w10:wrap type="none"/>
          </v:shape>
        </w:pict>
      </w:r>
    </w:p>
    <w:p>
      <w:pPr>
        <w:pStyle w:val="BodyText"/>
        <w:spacing w:before="1"/>
        <w:rPr>
          <w:rFonts w:ascii="Arial MT"/>
          <w:sz w:val="20"/>
        </w:rPr>
      </w:pPr>
    </w:p>
    <w:p>
      <w:pPr>
        <w:pStyle w:val="BodyText"/>
        <w:ind w:left="115" w:right="108"/>
        <w:jc w:val="both"/>
      </w:pPr>
      <w:r>
        <w:rPr>
          <w:color w:val="202020"/>
          <w:w w:val="110"/>
        </w:rPr>
        <w:t xml:space="preserve">Reglamento de obras, actividades y servicios de los entes locales, al  tablón de anuncios de la Corporación, al portal web y en el DOGC. En caso de que no se formulen alegaciones y agotado el plazo de exposición, las presentes bases acontecerán aprobadas definitivamente. </w:t>
      </w:r>
      <w:r>
        <w:rPr>
          <w:w w:val="110"/>
        </w:rPr>
        <w:t xml:space="preserve">La presente convocatoria restará condicionada a  la aprobación definitiva de las bases reguladoras.</w:t>
      </w:r>
    </w:p>
    <w:p>
      <w:pPr>
        <w:pStyle w:val="BodyText"/>
        <w:spacing w:before="5"/>
      </w:pPr>
    </w:p>
    <w:p>
      <w:pPr>
        <w:spacing w:line="249" w:lineRule="auto" w:before="0"/>
        <w:ind w:left="115" w:right="0" w:firstLine="0"/>
        <w:jc w:val="left"/>
        <w:rPr>
          <w:rFonts w:ascii="Calibri" w:hAnsi="Calibri"/>
          <w:sz w:val="22"/>
        </w:rPr>
      </w:pPr>
      <w:r>
        <w:rPr>
          <w:b/>
          <w:w w:val="110"/>
          <w:sz w:val="18"/>
        </w:rPr>
        <w:t xml:space="preserve">Tercero.- </w:t>
      </w:r>
      <w:r>
        <w:rPr>
          <w:w w:val="110"/>
          <w:sz w:val="18"/>
        </w:rPr>
        <w:t xml:space="preserve">Aprobar el gasto por un importe de 18.604,43.-€ </w:t>
      </w:r>
      <w:r>
        <w:rPr>
          <w:w w:val="110"/>
          <w:sz w:val="18"/>
        </w:rPr>
        <w:t xml:space="preserve">con cargo a la aplicación 36/</w:t>
      </w:r>
      <w:r>
        <w:rPr>
          <w:w w:val="110"/>
          <w:sz w:val="18"/>
        </w:rPr>
        <w:t xml:space="preserve">480.00.08/</w:t>
      </w:r>
      <w:r>
        <w:rPr>
          <w:w w:val="110"/>
          <w:sz w:val="18"/>
        </w:rPr>
        <w:t xml:space="preserve">320 del </w:t>
      </w:r>
      <w:r>
        <w:rPr>
          <w:sz w:val="18"/>
        </w:rPr>
        <w:t xml:space="preserve">presupuesto vigente. </w:t>
      </w:r>
      <w:r>
        <w:rPr>
          <w:rFonts w:ascii="Calibri" w:hAnsi="Calibri"/>
          <w:sz w:val="22"/>
        </w:rPr>
        <w:t xml:space="preserve">Condicionado a la aprobación de la reducción de la AD (correspondiendo) de comedor.</w:t>
      </w:r>
    </w:p>
    <w:p>
      <w:pPr>
        <w:pStyle w:val="BodyText"/>
        <w:spacing w:before="193"/>
        <w:ind w:left="115" w:right="114"/>
        <w:jc w:val="both"/>
      </w:pPr>
      <w:r>
        <w:rPr>
          <w:b/>
          <w:w w:val="110"/>
        </w:rPr>
        <w:t xml:space="preserve">Quart.- </w:t>
      </w:r>
      <w:r>
        <w:rPr>
          <w:w w:val="110"/>
        </w:rPr>
        <w:t xml:space="preserve">Establecer que el plazo ordinario de presentación de las solicitudes de los interesados será lo dispuesto en la cláusula 8.1 de las bases reguladoras, del 3 al 30 de junio de 2024, ambos incluidos.</w:t>
      </w:r>
    </w:p>
    <w:p>
      <w:pPr>
        <w:pStyle w:val="BodyText"/>
        <w:spacing w:before="3"/>
      </w:pPr>
    </w:p>
    <w:p>
      <w:pPr>
        <w:pStyle w:val="BodyText"/>
        <w:ind w:left="115" w:right="120"/>
        <w:jc w:val="both"/>
      </w:pPr>
      <w:r>
        <w:rPr>
          <w:b/>
          <w:w w:val="110"/>
        </w:rPr>
        <w:t xml:space="preserve">Quinto.- </w:t>
      </w:r>
      <w:r>
        <w:rPr>
          <w:w w:val="110"/>
        </w:rPr>
        <w:t xml:space="preserve">Comunicar el reconocimiento de estas ayudas y sus pagos efectivos a la Base de Datos Nacional de Subvenciones.</w:t>
      </w:r>
    </w:p>
    <w:p>
      <w:pPr>
        <w:pStyle w:val="BodyText"/>
        <w:spacing w:before="3"/>
      </w:pPr>
    </w:p>
    <w:p>
      <w:pPr>
        <w:pStyle w:val="BodyText"/>
        <w:ind w:left="115" w:right="128"/>
        <w:jc w:val="both"/>
      </w:pPr>
      <w:r>
        <w:rPr>
          <w:b/>
          <w:w w:val="110"/>
        </w:rPr>
        <w:t xml:space="preserve">Sexto.-</w:t>
      </w:r>
      <w:r>
        <w:rPr>
          <w:color w:val="202020"/>
          <w:w w:val="110"/>
        </w:rPr>
        <w:t xml:space="preserve">. Notificarlo en las áreas afectadas así como en las escuelas de la comarca de la Anoia para que  hagan amplia difusión.</w:t>
      </w:r>
    </w:p>
    <w:p>
      <w:pPr>
        <w:pStyle w:val="BodyText"/>
        <w:rPr>
          <w:sz w:val="20"/>
        </w:rPr>
      </w:pPr>
    </w:p>
    <w:p>
      <w:pPr>
        <w:pStyle w:val="BodyText"/>
        <w:rPr>
          <w:sz w:val="20"/>
        </w:rPr>
      </w:pPr>
    </w:p>
    <w:p>
      <w:pPr>
        <w:pStyle w:val="BodyText"/>
        <w:spacing w:before="3"/>
        <w:rPr>
          <w:sz w:val="25"/>
        </w:rPr>
      </w:pPr>
    </w:p>
    <w:p>
      <w:pPr>
        <w:pStyle w:val="BodyText"/>
        <w:spacing w:line="290" w:lineRule="auto"/>
        <w:ind w:left="115" w:right="7897"/>
      </w:pPr>
      <w:r>
        <w:rPr>
          <w:spacing w:val="-2"/>
          <w:w w:val="110"/>
        </w:rPr>
        <w:t xml:space="preserve">Jordi </w:t>
      </w:r>
      <w:r>
        <w:rPr>
          <w:spacing w:val="-1"/>
          <w:w w:val="110"/>
        </w:rPr>
        <w:t xml:space="preserve">Parcerisas Valls </w:t>
      </w:r>
      <w:r>
        <w:rPr>
          <w:w w:val="110"/>
        </w:rPr>
        <w:t xml:space="preserve">Presidente</w:t>
      </w:r>
    </w:p>
    <w:p>
      <w:pPr>
        <w:pStyle w:val="BodyText"/>
        <w:spacing w:before="6"/>
        <w:rPr>
          <w:sz w:val="21"/>
        </w:rPr>
      </w:pPr>
    </w:p>
    <w:p>
      <w:pPr>
        <w:pStyle w:val="BodyText"/>
        <w:spacing w:before="1"/>
        <w:ind w:left="115"/>
        <w:jc w:val="both"/>
      </w:pPr>
      <w:r>
        <w:rPr>
          <w:w w:val="110"/>
        </w:rPr>
        <w:t xml:space="preserve">Igualada, a la fecha de la firma</w:t>
      </w:r>
    </w:p>
    <w:sectPr>
      <w:pgSz w:w="11900" w:h="16840"/>
      <w:pgMar w:header="950" w:footer="0" w:top="1800" w:bottom="280" w:left="102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Trebuchet MS">
    <w:altName w:val="Trebuchet MS"/>
    <w:charset w:val="1"/>
    <w:family w:val="swiss"/>
    <w:pitch w:val="variable"/>
  </w:font>
  <w:font w:name="Calibri">
    <w:altName w:val="Calibri"/>
    <w:charset w:val="1"/>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487537152">
          <wp:simplePos x="0" y="0"/>
          <wp:positionH relativeFrom="page">
            <wp:posOffset>720090</wp:posOffset>
          </wp:positionH>
          <wp:positionV relativeFrom="page">
            <wp:posOffset>603250</wp:posOffset>
          </wp:positionV>
          <wp:extent cx="1555749" cy="54355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555749" cy="543559"/>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rebuchet MS" w:hAnsi="Trebuchet MS" w:eastAsia="Trebuchet MS" w:cs="Trebuchet MS"/>
      <w:lang w:val="ca-ES" w:eastAsia="en-US" w:bidi="ar-SA"/>
    </w:rPr>
  </w:style>
  <w:style w:styleId="BodyText" w:type="paragraph">
    <w:name w:val="Body Text"/>
    <w:basedOn w:val="Normal"/>
    <w:uiPriority w:val="1"/>
    <w:qFormat/>
    <w:pPr/>
    <w:rPr>
      <w:rFonts w:ascii="Trebuchet MS" w:hAnsi="Trebuchet MS" w:eastAsia="Trebuchet MS" w:cs="Trebuchet MS"/>
      <w:sz w:val="18"/>
      <w:szCs w:val="18"/>
      <w:lang w:val="ca-ES" w:eastAsia="en-US" w:bidi="ar-SA"/>
    </w:rPr>
  </w:style>
  <w:style w:styleId="Heading1" w:type="paragraph">
    <w:name w:val="Heading 1"/>
    <w:basedOn w:val="Normal"/>
    <w:uiPriority w:val="1"/>
    <w:qFormat/>
    <w:pPr>
      <w:ind w:left="115"/>
      <w:outlineLvl w:val="1"/>
    </w:pPr>
    <w:rPr>
      <w:rFonts w:ascii="Trebuchet MS" w:hAnsi="Trebuchet MS" w:eastAsia="Trebuchet MS" w:cs="Trebuchet MS"/>
      <w:b/>
      <w:bCs/>
      <w:sz w:val="18"/>
      <w:szCs w:val="18"/>
      <w:lang w:val="ca-ES" w:eastAsia="en-US" w:bidi="ar-SA"/>
    </w:rPr>
  </w:style>
  <w:style w:styleId="ListParagraph" w:type="paragraph">
    <w:name w:val="List Paragraph"/>
    <w:basedOn w:val="Normal"/>
    <w:uiPriority w:val="1"/>
    <w:qFormat/>
    <w:pPr/>
    <w:rPr>
      <w:lang w:val="ca-ES" w:eastAsia="en-US" w:bidi="ar-SA"/>
    </w:rPr>
  </w:style>
  <w:style w:styleId="TableParagraph" w:type="paragraph">
    <w:name w:val="Table Paragraph"/>
    <w:basedOn w:val="Normal"/>
    <w:uiPriority w:val="1"/>
    <w:qFormat/>
    <w:pPr/>
    <w:rPr>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2.jpeg"/><Relationship Id="rId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Imma</dc:creator>
  <dcterms:created xsi:type="dcterms:W3CDTF">2024-06-10T12:00:58Z</dcterms:created>
  <dcterms:modified xsi:type="dcterms:W3CDTF">2024-06-10T12:00:58Z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2024-04-18T00:00:00Z</vt:filetime>
  </property>
  <property fmtid="{D5CDD505-2E9C-101B-9397-08002B2CF9AE}" pid="3" name="Creator">
    <vt:lpwstr>Writer</vt:lpwstr>
  </property>
  <property fmtid="{D5CDD505-2E9C-101B-9397-08002B2CF9AE}" pid="4" name="LastSaved">
    <vt:filetime>2024-06-10T00:00:00Z</vt:filetime>
  </property>
</Properties>
</file>