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28"/>
        <w:gridCol w:w="26"/>
        <w:gridCol w:w="4073"/>
        <w:gridCol w:w="277"/>
      </w:tblGrid>
      <w:tr w:rsidR="007206FA" w14:paraId="6B518152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898F41" w14:textId="77777777" w:rsidR="007206FA" w:rsidRDefault="000A732C">
            <w:pPr>
              <w:pStyle w:val="Gorputz-testua"/>
              <w:spacing w:after="0" w:line="276" w:lineRule="auto"/>
              <w:jc w:val="center"/>
            </w:pPr>
            <w:r>
              <w:rPr>
                <w:rStyle w:val="Fuentedeprrafopredeter1"/>
                <w:rFonts w:ascii="Arial" w:eastAsia="Arial" w:hAnsi="Arial" w:cs="Arial"/>
                <w:b/>
                <w:bCs/>
                <w:kern w:val="3"/>
                <w:sz w:val="22"/>
                <w:szCs w:val="22"/>
                <w:lang w:val="es-ES"/>
              </w:rPr>
              <w:t>I. ERANSKINA: Deialdia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4983C9" w14:textId="77777777" w:rsidR="007206FA" w:rsidRDefault="000A732C">
            <w:pPr>
              <w:pStyle w:val="Standard"/>
              <w:spacing w:line="276" w:lineRule="auto"/>
              <w:jc w:val="center"/>
            </w:pPr>
            <w:r>
              <w:rPr>
                <w:rStyle w:val="Fuentedeprrafopredeter1"/>
                <w:rFonts w:ascii="Arial" w:eastAsia="Arial" w:hAnsi="Arial" w:cs="Arial"/>
                <w:b/>
                <w:bCs/>
                <w:sz w:val="22"/>
                <w:szCs w:val="22"/>
                <w:lang w:val="es-ES"/>
              </w:rPr>
              <w:t>ANEXO I: Convocatoria</w:t>
            </w:r>
          </w:p>
        </w:tc>
      </w:tr>
      <w:tr w:rsidR="007206FA" w14:paraId="09A82390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DB15AF" w14:textId="77777777" w:rsidR="007206FA" w:rsidRDefault="000A732C">
            <w:pPr>
              <w:pStyle w:val="Standard"/>
              <w:numPr>
                <w:ilvl w:val="0"/>
                <w:numId w:val="1"/>
              </w:numPr>
              <w:spacing w:line="276" w:lineRule="auto"/>
            </w:pPr>
            <w:r>
              <w:rPr>
                <w:rStyle w:val="Fuentedeprrafopredeter1"/>
                <w:rFonts w:ascii="Arial" w:eastAsia="Arial" w:hAnsi="Arial" w:cs="Arial"/>
                <w:b/>
                <w:bCs/>
                <w:sz w:val="22"/>
                <w:szCs w:val="22"/>
                <w:lang w:val="es-ES"/>
              </w:rPr>
              <w:t>Xedea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DBADD1" w14:textId="77777777" w:rsidR="007206FA" w:rsidRDefault="000A732C">
            <w:pPr>
              <w:pStyle w:val="Standard"/>
              <w:numPr>
                <w:ilvl w:val="0"/>
                <w:numId w:val="2"/>
              </w:numPr>
              <w:spacing w:line="276" w:lineRule="auto"/>
            </w:pPr>
            <w:r>
              <w:rPr>
                <w:rStyle w:val="Fuentedeprrafopredeter1"/>
                <w:rFonts w:ascii="Arial" w:eastAsia="Arial" w:hAnsi="Arial" w:cs="Arial"/>
                <w:b/>
                <w:bCs/>
                <w:sz w:val="22"/>
                <w:szCs w:val="22"/>
                <w:lang w:val="es-ES"/>
              </w:rPr>
              <w:t xml:space="preserve">Objeto </w:t>
            </w:r>
          </w:p>
        </w:tc>
      </w:tr>
      <w:tr w:rsidR="007206FA" w14:paraId="333F36C4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690FBA" w14:textId="77777777" w:rsidR="007206FA" w:rsidRDefault="000A732C">
            <w:pPr>
              <w:pStyle w:val="Gorputz-testua"/>
              <w:spacing w:after="0" w:line="276" w:lineRule="auto"/>
              <w:jc w:val="both"/>
            </w:pPr>
            <w:r>
              <w:rPr>
                <w:rStyle w:val="Fuentedeprrafopredeter1"/>
                <w:rFonts w:ascii="Arial" w:eastAsia="Arial" w:hAnsi="Arial" w:cs="Arial"/>
                <w:kern w:val="3"/>
                <w:sz w:val="22"/>
                <w:szCs w:val="22"/>
              </w:rPr>
              <w:t xml:space="preserve">Deialdi honen xedea da dirulaguntza hauen berri ematea: 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Tolosan etxebizitzak eraberritzeko laguntzen bidez, alokairu soziala bultzatzeko 2024 urterako dirulaguntzak</w:t>
            </w:r>
            <w:r>
              <w:rPr>
                <w:rStyle w:val="Fuentedeprrafopredeter1"/>
                <w:rFonts w:ascii="Arial" w:eastAsia="Arial" w:hAnsi="Arial" w:cs="Arial"/>
                <w:kern w:val="3"/>
                <w:sz w:val="22"/>
                <w:szCs w:val="22"/>
              </w:rPr>
              <w:t>.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8CFFD3" w14:textId="77777777" w:rsidR="007206FA" w:rsidRDefault="000A732C">
            <w:pPr>
              <w:pStyle w:val="Standard"/>
              <w:spacing w:line="276" w:lineRule="auto"/>
              <w:jc w:val="both"/>
            </w:pPr>
            <w:r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  <w:t xml:space="preserve">El </w:t>
            </w:r>
            <w:r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  <w:t xml:space="preserve">objeto de la presente convocatoria es dar a conocer las subvenciones, en régimen de concurrencia no competitiva,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para el fomento del alquiler social, a través de ayudas a la reforma de viviendas en Tolosa para el año 2024.</w:t>
            </w:r>
          </w:p>
        </w:tc>
      </w:tr>
      <w:tr w:rsidR="007206FA" w14:paraId="653F3EDE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24D360" w14:textId="77777777" w:rsidR="007206FA" w:rsidRDefault="000A732C">
            <w:pPr>
              <w:pStyle w:val="Standard"/>
              <w:numPr>
                <w:ilvl w:val="0"/>
                <w:numId w:val="3"/>
              </w:numPr>
              <w:spacing w:line="276" w:lineRule="auto"/>
            </w:pPr>
            <w:r>
              <w:rPr>
                <w:rStyle w:val="Fuentedeprrafopredeter1"/>
                <w:rFonts w:ascii="Arial" w:hAnsi="Arial" w:cs="Arial"/>
                <w:b/>
                <w:bCs/>
                <w:sz w:val="22"/>
                <w:szCs w:val="22"/>
              </w:rPr>
              <w:t>Dirulaguntza egozten zaien kreditua eta aurrekontu-partida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CDB901" w14:textId="77777777" w:rsidR="007206FA" w:rsidRDefault="000A732C">
            <w:pPr>
              <w:pStyle w:val="Standard"/>
              <w:numPr>
                <w:ilvl w:val="0"/>
                <w:numId w:val="4"/>
              </w:numPr>
              <w:spacing w:line="276" w:lineRule="auto"/>
            </w:pPr>
            <w:r>
              <w:rPr>
                <w:rStyle w:val="Fuentedeprrafopredeter1"/>
                <w:rFonts w:ascii="Arial" w:eastAsia="Arial" w:hAnsi="Arial" w:cs="Arial"/>
                <w:b/>
                <w:bCs/>
                <w:sz w:val="22"/>
                <w:szCs w:val="22"/>
              </w:rPr>
              <w:t>Crédito y partida presupuestaria a los que se imputa la subvención</w:t>
            </w:r>
          </w:p>
        </w:tc>
      </w:tr>
      <w:tr w:rsidR="007206FA" w14:paraId="254A4FC6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5BACE1" w14:textId="77777777" w:rsidR="007206FA" w:rsidRDefault="000A732C">
            <w:pPr>
              <w:pStyle w:val="Gorputz-testua"/>
              <w:spacing w:after="0" w:line="276" w:lineRule="auto"/>
              <w:jc w:val="both"/>
            </w:pPr>
            <w:r>
              <w:rPr>
                <w:rStyle w:val="Fuentedeprrafopredeter1"/>
                <w:rFonts w:ascii="Arial" w:eastAsia="Arial" w:hAnsi="Arial" w:cs="Arial"/>
                <w:kern w:val="3"/>
                <w:sz w:val="22"/>
                <w:szCs w:val="22"/>
              </w:rPr>
              <w:t>Deialdi honetan emateko dirulaguntzen zenbateko osoa HIRUROGEITA HAMAR MILA</w:t>
            </w:r>
            <w:r>
              <w:rPr>
                <w:rStyle w:val="Fuentedeprrafopredeter1"/>
                <w:rFonts w:eastAsia="Arial"/>
                <w:kern w:val="3"/>
              </w:rPr>
              <w:t xml:space="preserve"> </w:t>
            </w:r>
            <w:r>
              <w:rPr>
                <w:rStyle w:val="Fuentedeprrafopredeter1"/>
                <w:rFonts w:ascii="Arial" w:eastAsia="Arial" w:hAnsi="Arial" w:cs="Arial"/>
                <w:kern w:val="3"/>
                <w:sz w:val="22"/>
                <w:szCs w:val="22"/>
              </w:rPr>
              <w:t xml:space="preserve">(70.000,00) euro, Tolosako Udalaren Aurrekontu Orokorren partida honen kargura:  </w:t>
            </w:r>
            <w:r>
              <w:t>600.780.02.152.20</w:t>
            </w:r>
            <w:r>
              <w:rPr>
                <w:rStyle w:val="Fuentedeprrafopredeter1"/>
                <w:rFonts w:ascii="Arial" w:eastAsia="Arial" w:hAnsi="Arial" w:cs="Arial"/>
                <w:kern w:val="3"/>
                <w:sz w:val="22"/>
                <w:szCs w:val="22"/>
              </w:rPr>
              <w:t xml:space="preserve"> (2024).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041299" w14:textId="77777777" w:rsidR="007206FA" w:rsidRDefault="000A732C">
            <w:pPr>
              <w:pStyle w:val="Standard"/>
              <w:spacing w:line="276" w:lineRule="auto"/>
              <w:jc w:val="both"/>
            </w:pPr>
            <w:r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  <w:t xml:space="preserve">La cuantía total de las subvenciones a conceder en esta convocatoria será de SETENTA MIL (70.000,00) euros con cargo a la siguiente partida de los Presupuestos Generales del Ayuntamiento de Tolosa:  </w:t>
            </w:r>
            <w:r>
              <w:t>600.780.02.152.20</w:t>
            </w:r>
            <w:r>
              <w:rPr>
                <w:rStyle w:val="Fuentedeprrafopredeter1"/>
                <w:rFonts w:ascii="Arial" w:eastAsia="Arial" w:hAnsi="Arial" w:cs="Arial"/>
                <w:sz w:val="22"/>
                <w:szCs w:val="22"/>
                <w:lang w:val="es-ES"/>
              </w:rPr>
              <w:t xml:space="preserve"> (2024).</w:t>
            </w:r>
          </w:p>
        </w:tc>
      </w:tr>
      <w:tr w:rsidR="007206FA" w14:paraId="014F7CF8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E330C1" w14:textId="77777777" w:rsidR="007206FA" w:rsidRDefault="000A732C">
            <w:pPr>
              <w:jc w:val="both"/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u w:val="single"/>
                <w:lang w:eastAsia="es-ES"/>
              </w:rPr>
              <w:t>Eskaerak birformulatzea: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 xml:space="preserve">Aurkeztutako eskaerak ikusita, </w:t>
            </w:r>
            <w:r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  <w:t>7</w:t>
            </w:r>
            <w:r>
              <w:rPr>
                <w:rFonts w:ascii="Arial" w:hAnsi="Arial" w:cs="Arial"/>
                <w:b/>
                <w:sz w:val="21"/>
                <w:szCs w:val="21"/>
                <w:u w:val="single"/>
              </w:rPr>
              <w:t>0.000 euroko</w:t>
            </w:r>
            <w:r>
              <w:rPr>
                <w:rFonts w:ascii="Arial" w:hAnsi="Arial" w:cs="Arial"/>
                <w:sz w:val="21"/>
                <w:szCs w:val="21"/>
              </w:rPr>
              <w:t xml:space="preserve"> zenbateko gehigarri bat onartu ahal izango da, dagokion aurrekontu-aldaketa onartu ondoren, dirulaguntza emateko ebazpena eman baino lehen.</w:t>
            </w:r>
          </w:p>
          <w:p w14:paraId="5CD21D13" w14:textId="77777777" w:rsidR="007206FA" w:rsidRDefault="007206FA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03B24E41" w14:textId="77777777" w:rsidR="007206FA" w:rsidRDefault="007206FA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6A70B9C0" w14:textId="77777777" w:rsidR="007206FA" w:rsidRDefault="000A732C">
            <w:pPr>
              <w:jc w:val="both"/>
            </w:pPr>
            <w:r>
              <w:rPr>
                <w:rFonts w:ascii="Arial" w:hAnsi="Arial" w:cs="Arial"/>
                <w:sz w:val="21"/>
                <w:szCs w:val="21"/>
              </w:rPr>
              <w:t>Ezingo da deialdia ebatzi kreditu nahikoa eta egokia dagoela egiaztatu arte.</w:t>
            </w:r>
          </w:p>
          <w:p w14:paraId="0192E60D" w14:textId="77777777" w:rsidR="007206FA" w:rsidRDefault="007206FA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7B903864" w14:textId="77777777" w:rsidR="007206FA" w:rsidRDefault="000A732C">
            <w:pPr>
              <w:jc w:val="both"/>
            </w:pPr>
            <w:r>
              <w:rPr>
                <w:rFonts w:ascii="Arial" w:hAnsi="Arial" w:cs="Arial"/>
                <w:sz w:val="21"/>
                <w:szCs w:val="21"/>
              </w:rPr>
              <w:t>Aurrekontu-kreditua handitzearen ondorioz dirulaguntzen hasierako diru-hornidura handitzeko, ez da deialdia berriro argitaratu beharrik izango eraginkorra izan dadin.</w:t>
            </w:r>
          </w:p>
          <w:p w14:paraId="66D052F5" w14:textId="77777777" w:rsidR="007206FA" w:rsidRDefault="007206FA">
            <w:pPr>
              <w:pStyle w:val="Gorputz-testua"/>
              <w:spacing w:after="0" w:line="276" w:lineRule="auto"/>
              <w:ind w:left="720"/>
              <w:jc w:val="both"/>
            </w:pP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B6555" w14:textId="77777777" w:rsidR="007206FA" w:rsidRDefault="000A732C">
            <w:pPr>
              <w:jc w:val="both"/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  <w:lang w:val="es-ES" w:eastAsia="es-ES"/>
              </w:rPr>
              <w:t>Reformulación de solicitudes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  <w:lang w:val="es-ES" w:eastAsia="es-ES"/>
              </w:rPr>
              <w:t>.</w:t>
            </w:r>
            <w:r>
              <w:rPr>
                <w:rFonts w:ascii="Arial" w:hAnsi="Arial" w:cs="Arial"/>
                <w:sz w:val="21"/>
                <w:szCs w:val="21"/>
                <w:lang w:val="es-ES"/>
              </w:rPr>
              <w:t xml:space="preserve"> A la vista de las solicitudes presentadas, se podrá aprobar un importe adicional </w:t>
            </w:r>
            <w:r>
              <w:rPr>
                <w:rFonts w:ascii="Arial" w:hAnsi="Arial" w:cs="Arial"/>
                <w:b/>
                <w:sz w:val="21"/>
                <w:szCs w:val="21"/>
                <w:u w:val="single"/>
                <w:lang w:val="es-ES"/>
              </w:rPr>
              <w:t>de 70.000 euros</w:t>
            </w:r>
            <w:r>
              <w:rPr>
                <w:rFonts w:ascii="Arial" w:hAnsi="Arial" w:cs="Arial"/>
                <w:sz w:val="21"/>
                <w:szCs w:val="21"/>
                <w:lang w:val="es-ES"/>
              </w:rPr>
              <w:t>, previa aprobación de la correspondiente modificación presupuestaria, con carácter previo a la resolución de concesión de la subvención.</w:t>
            </w:r>
          </w:p>
          <w:p w14:paraId="0D3B500A" w14:textId="77777777" w:rsidR="007206FA" w:rsidRDefault="007206FA">
            <w:pPr>
              <w:jc w:val="both"/>
              <w:rPr>
                <w:rFonts w:ascii="Arial" w:hAnsi="Arial" w:cs="Arial"/>
                <w:sz w:val="21"/>
                <w:szCs w:val="21"/>
                <w:lang w:val="es-ES"/>
              </w:rPr>
            </w:pPr>
          </w:p>
          <w:p w14:paraId="377A4129" w14:textId="77777777" w:rsidR="007206FA" w:rsidRDefault="000A732C">
            <w:pPr>
              <w:jc w:val="both"/>
            </w:pPr>
            <w:r>
              <w:rPr>
                <w:rFonts w:ascii="Arial" w:hAnsi="Arial" w:cs="Arial"/>
                <w:sz w:val="21"/>
                <w:szCs w:val="21"/>
                <w:lang w:val="es-ES"/>
              </w:rPr>
              <w:t xml:space="preserve">No se podrá resolver la </w:t>
            </w:r>
            <w:r>
              <w:rPr>
                <w:rFonts w:ascii="Arial" w:hAnsi="Arial" w:cs="Arial"/>
                <w:sz w:val="21"/>
                <w:szCs w:val="21"/>
                <w:lang w:val="es-ES"/>
              </w:rPr>
              <w:t>convocatoria hasta que se compruebe la existencia de crédito suficiente y adecuado.</w:t>
            </w:r>
          </w:p>
          <w:p w14:paraId="68229E34" w14:textId="77777777" w:rsidR="007206FA" w:rsidRDefault="007206FA">
            <w:pPr>
              <w:jc w:val="both"/>
              <w:rPr>
                <w:rFonts w:ascii="Arial" w:hAnsi="Arial" w:cs="Arial"/>
                <w:sz w:val="21"/>
                <w:szCs w:val="21"/>
                <w:lang w:val="es-ES"/>
              </w:rPr>
            </w:pPr>
          </w:p>
          <w:p w14:paraId="131C28B4" w14:textId="77777777" w:rsidR="007206FA" w:rsidRDefault="000A732C">
            <w:pPr>
              <w:jc w:val="both"/>
            </w:pPr>
            <w:r>
              <w:rPr>
                <w:rFonts w:ascii="Arial" w:hAnsi="Arial" w:cs="Arial"/>
                <w:sz w:val="21"/>
                <w:szCs w:val="21"/>
                <w:lang w:val="es-ES"/>
              </w:rPr>
              <w:t>La ampliación de la cantidad inicial de las subvenciones como consecuencia de la ampliación del crédito presupuestario no requerirá una nueva publicación de la convocatoria para su eficacia.</w:t>
            </w:r>
          </w:p>
          <w:p w14:paraId="3A5245E0" w14:textId="77777777" w:rsidR="007206FA" w:rsidRDefault="007206FA">
            <w:pPr>
              <w:pStyle w:val="Standard"/>
              <w:spacing w:line="276" w:lineRule="auto"/>
              <w:ind w:left="720"/>
              <w:jc w:val="both"/>
            </w:pPr>
          </w:p>
        </w:tc>
      </w:tr>
      <w:tr w:rsidR="007206FA" w14:paraId="0C15CE2B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79DA5B" w14:textId="77777777" w:rsidR="007206FA" w:rsidRDefault="000A732C">
            <w:pPr>
              <w:pStyle w:val="Gorputz-testua"/>
              <w:numPr>
                <w:ilvl w:val="0"/>
                <w:numId w:val="4"/>
              </w:numPr>
              <w:spacing w:after="0" w:line="276" w:lineRule="auto"/>
              <w:jc w:val="both"/>
            </w:pPr>
            <w:r>
              <w:rPr>
                <w:rStyle w:val="Fuentedeprrafopredeter1"/>
                <w:rFonts w:ascii="Arial" w:hAnsi="Arial" w:cs="Arial"/>
                <w:b/>
                <w:bCs/>
                <w:color w:val="000000"/>
                <w:sz w:val="22"/>
                <w:szCs w:val="22"/>
                <w:lang w:eastAsia="es-ES"/>
              </w:rPr>
              <w:t>Pertsona/erakunde onuradunek bete beharreko baldintzak eta horiek egiaztatzeko modua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BAD1F8" w14:textId="77777777" w:rsidR="007206FA" w:rsidRDefault="000A732C">
            <w:pPr>
              <w:pStyle w:val="Standard"/>
              <w:numPr>
                <w:ilvl w:val="0"/>
                <w:numId w:val="3"/>
              </w:numPr>
              <w:spacing w:line="276" w:lineRule="auto"/>
              <w:jc w:val="both"/>
            </w:pPr>
            <w:r>
              <w:rPr>
                <w:rStyle w:val="Fuentedeprrafopredeter1"/>
                <w:rFonts w:ascii="Arial" w:eastAsia="Arial" w:hAnsi="Arial" w:cs="Arial"/>
                <w:b/>
                <w:bCs/>
                <w:sz w:val="22"/>
                <w:szCs w:val="22"/>
              </w:rPr>
              <w:t>Requisitos que deben reunir las personas/entidades beneficiarias y forma de acreditarlos</w:t>
            </w:r>
          </w:p>
        </w:tc>
      </w:tr>
      <w:tr w:rsidR="007206FA" w14:paraId="05814A30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930E81" w14:textId="77777777" w:rsidR="007206FA" w:rsidRDefault="000A732C">
            <w:r>
              <w:rPr>
                <w:rStyle w:val="Fuentedeprrafopredeter1"/>
                <w:rFonts w:ascii="Arial" w:hAnsi="Arial" w:cs="Arial"/>
                <w:color w:val="000000"/>
                <w:sz w:val="22"/>
                <w:szCs w:val="22"/>
                <w:lang w:eastAsia="es-ES"/>
              </w:rPr>
              <w:t xml:space="preserve">Deialdi honekin batera argitaratzen diren oinarri </w:t>
            </w:r>
            <w:r>
              <w:rPr>
                <w:rStyle w:val="Fuentedeprrafopredeter1"/>
                <w:rFonts w:ascii="Arial" w:hAnsi="Arial" w:cs="Arial"/>
                <w:color w:val="000000"/>
                <w:sz w:val="22"/>
                <w:szCs w:val="22"/>
                <w:lang w:eastAsia="es-ES"/>
              </w:rPr>
              <w:t>orokorren 4. artikuluan xedaturikoa izango da.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A03E43" w14:textId="77777777" w:rsidR="007206FA" w:rsidRDefault="000A732C">
            <w:r>
              <w:rPr>
                <w:rStyle w:val="Fuentedeprrafopredeter1"/>
                <w:rFonts w:ascii="Arial" w:hAnsi="Arial" w:cs="Arial"/>
                <w:color w:val="000000"/>
                <w:sz w:val="21"/>
                <w:szCs w:val="21"/>
                <w:lang w:val="es-ES" w:eastAsia="es-ES"/>
              </w:rPr>
              <w:t>Será lo dispuesto en el artículo 4 de las bases generales que se publican junto con esta convocatoria.</w:t>
            </w:r>
          </w:p>
        </w:tc>
      </w:tr>
      <w:tr w:rsidR="007206FA" w14:paraId="4F2D45B1" w14:textId="77777777">
        <w:tblPrEx>
          <w:tblCellMar>
            <w:top w:w="0" w:type="dxa"/>
            <w:bottom w:w="0" w:type="dxa"/>
          </w:tblCellMar>
        </w:tblPrEx>
        <w:tc>
          <w:tcPr>
            <w:tcW w:w="412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07CF9B" w14:textId="77777777" w:rsidR="007206FA" w:rsidRDefault="000A732C">
            <w:pPr>
              <w:pStyle w:val="Gorputz-testua"/>
              <w:numPr>
                <w:ilvl w:val="0"/>
                <w:numId w:val="3"/>
              </w:numPr>
              <w:spacing w:after="0" w:line="276" w:lineRule="auto"/>
              <w:jc w:val="both"/>
            </w:pPr>
            <w:r>
              <w:rPr>
                <w:rStyle w:val="Fuentedeprrafopredeter1"/>
                <w:rFonts w:ascii="Arial" w:eastAsia="Arial" w:hAnsi="Arial" w:cs="Arial"/>
                <w:b/>
                <w:bCs/>
                <w:kern w:val="3"/>
                <w:sz w:val="22"/>
                <w:szCs w:val="22"/>
                <w:lang w:val="es-ES"/>
              </w:rPr>
              <w:t>Eskaerak aurkezteko epea</w:t>
            </w:r>
          </w:p>
        </w:tc>
        <w:tc>
          <w:tcPr>
            <w:tcW w:w="4099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B441AD" w14:textId="77777777" w:rsidR="007206FA" w:rsidRDefault="000A732C">
            <w:pPr>
              <w:pStyle w:val="Gorputz-testua"/>
              <w:numPr>
                <w:ilvl w:val="0"/>
                <w:numId w:val="4"/>
              </w:numPr>
              <w:spacing w:after="0" w:line="276" w:lineRule="auto"/>
              <w:jc w:val="both"/>
            </w:pPr>
            <w:r>
              <w:rPr>
                <w:rStyle w:val="Fuentedeprrafopredeter1"/>
                <w:rFonts w:ascii="Arial" w:hAnsi="Arial" w:cs="Arial"/>
                <w:b/>
                <w:bCs/>
                <w:sz w:val="22"/>
                <w:szCs w:val="22"/>
              </w:rPr>
              <w:t>Plazo de presentación</w:t>
            </w:r>
          </w:p>
        </w:tc>
        <w:tc>
          <w:tcPr>
            <w:tcW w:w="277" w:type="dxa"/>
          </w:tcPr>
          <w:p w14:paraId="384877EB" w14:textId="77777777" w:rsidR="007206FA" w:rsidRDefault="007206FA">
            <w:pPr>
              <w:pStyle w:val="Gorputz-testua"/>
              <w:spacing w:after="0" w:line="276" w:lineRule="auto"/>
              <w:jc w:val="both"/>
            </w:pPr>
          </w:p>
        </w:tc>
      </w:tr>
      <w:tr w:rsidR="007206FA" w14:paraId="6F100FAE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D7708B" w14:textId="77777777" w:rsidR="007206FA" w:rsidRDefault="000A732C">
            <w:pPr>
              <w:pStyle w:val="Standard"/>
              <w:spacing w:line="276" w:lineRule="auto"/>
              <w:jc w:val="both"/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 xml:space="preserve">Eskaerak aurkezteko epea deialdia Gipuzkoako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Aldizkari Ofizialean argitaratu, eta hurrengo egunetik hasita 2024ko irailaren 30 arte.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0544C8" w14:textId="77777777" w:rsidR="007206FA" w:rsidRDefault="000A732C">
            <w:pPr>
              <w:pStyle w:val="Standard"/>
              <w:spacing w:line="276" w:lineRule="auto"/>
              <w:jc w:val="both"/>
            </w:pPr>
            <w:r>
              <w:rPr>
                <w:rFonts w:ascii="Arial" w:hAnsi="Arial" w:cs="Arial"/>
                <w:spacing w:val="-4"/>
                <w:sz w:val="22"/>
                <w:szCs w:val="22"/>
                <w:lang w:val="es-ES"/>
              </w:rPr>
              <w:t xml:space="preserve">El plazo de presentación de solicitudes será a partir del día siguiente al de la publicación de la convocatoria en el Boletín Oficial de Gipuzkoa hasta el 30 de </w:t>
            </w:r>
            <w:r>
              <w:rPr>
                <w:rFonts w:ascii="Arial" w:hAnsi="Arial" w:cs="Arial"/>
                <w:spacing w:val="-4"/>
                <w:sz w:val="22"/>
                <w:szCs w:val="22"/>
                <w:lang w:val="es-ES"/>
              </w:rPr>
              <w:t>septiembre de 2024.</w:t>
            </w:r>
          </w:p>
          <w:p w14:paraId="7F2CA703" w14:textId="77777777" w:rsidR="007206FA" w:rsidRDefault="007206FA">
            <w:pPr>
              <w:pStyle w:val="Standard"/>
              <w:spacing w:line="276" w:lineRule="auto"/>
              <w:ind w:left="720"/>
              <w:jc w:val="both"/>
            </w:pPr>
          </w:p>
        </w:tc>
      </w:tr>
      <w:tr w:rsidR="007206FA" w14:paraId="11DB3366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366E23" w14:textId="77777777" w:rsidR="007206FA" w:rsidRDefault="000A732C">
            <w:pPr>
              <w:pStyle w:val="Gorputz-testua"/>
              <w:numPr>
                <w:ilvl w:val="0"/>
                <w:numId w:val="4"/>
              </w:numPr>
              <w:spacing w:after="0" w:line="276" w:lineRule="auto"/>
              <w:jc w:val="both"/>
            </w:pPr>
            <w:r>
              <w:rPr>
                <w:rStyle w:val="Fuentedeprrafopredeter1"/>
                <w:rFonts w:ascii="Arial" w:eastAsia="Arial" w:hAnsi="Arial" w:cs="Arial"/>
                <w:b/>
                <w:bCs/>
                <w:spacing w:val="-4"/>
                <w:kern w:val="3"/>
                <w:sz w:val="22"/>
                <w:szCs w:val="22"/>
              </w:rPr>
              <w:lastRenderedPageBreak/>
              <w:t>Eskaerarekin batera aurkeztu beharreko dokumentazioa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2C0C29" w14:textId="77777777" w:rsidR="007206FA" w:rsidRDefault="000A732C">
            <w:pPr>
              <w:pStyle w:val="Gorputz-testua"/>
              <w:numPr>
                <w:ilvl w:val="0"/>
                <w:numId w:val="3"/>
              </w:numPr>
              <w:spacing w:after="0" w:line="276" w:lineRule="auto"/>
              <w:jc w:val="both"/>
            </w:pPr>
            <w:r>
              <w:rPr>
                <w:rStyle w:val="Fuentedeprrafopredeter1"/>
                <w:rFonts w:ascii="Arial" w:eastAsia="Courier New" w:hAnsi="Arial" w:cs="Arial"/>
                <w:b/>
                <w:bCs/>
                <w:spacing w:val="-4"/>
                <w:kern w:val="3"/>
                <w:sz w:val="22"/>
                <w:szCs w:val="22"/>
                <w:lang w:val="es-ES"/>
              </w:rPr>
              <w:t xml:space="preserve">Documentación que acompaña a la solicitud </w:t>
            </w:r>
          </w:p>
        </w:tc>
      </w:tr>
      <w:tr w:rsidR="007206FA" w14:paraId="6585A2F7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F93DE" w14:textId="77777777" w:rsidR="007206FA" w:rsidRDefault="000A732C">
            <w:pPr>
              <w:pStyle w:val="Standard"/>
              <w:spacing w:line="276" w:lineRule="auto"/>
              <w:jc w:val="both"/>
            </w:pPr>
            <w:r>
              <w:rPr>
                <w:rStyle w:val="Fuentedeprrafopredeter1"/>
                <w:rFonts w:ascii="Arial" w:eastAsia="Arial" w:hAnsi="Arial" w:cs="Arial"/>
                <w:spacing w:val="-4"/>
                <w:sz w:val="22"/>
                <w:szCs w:val="22"/>
              </w:rPr>
              <w:t>Deialdi honekin batera argitaratzen diren oinarri orokorren 8. artikuluan xedaturikoa izango da.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E87964" w14:textId="77777777" w:rsidR="007206FA" w:rsidRDefault="000A732C">
            <w:pPr>
              <w:pStyle w:val="Standard"/>
              <w:spacing w:line="276" w:lineRule="auto"/>
              <w:jc w:val="both"/>
            </w:pPr>
            <w:r>
              <w:rPr>
                <w:rStyle w:val="Fuentedeprrafopredeter1"/>
                <w:rFonts w:ascii="Arial" w:hAnsi="Arial" w:cs="Arial"/>
                <w:spacing w:val="-4"/>
                <w:sz w:val="22"/>
                <w:szCs w:val="22"/>
                <w:lang w:val="es-ES"/>
              </w:rPr>
              <w:t xml:space="preserve">Será lo dispuesto en el artículo 8 de </w:t>
            </w:r>
            <w:r>
              <w:rPr>
                <w:rStyle w:val="Fuentedeprrafopredeter1"/>
                <w:rFonts w:ascii="Arial" w:hAnsi="Arial" w:cs="Arial"/>
                <w:spacing w:val="-4"/>
                <w:sz w:val="22"/>
                <w:szCs w:val="22"/>
                <w:lang w:val="es-ES"/>
              </w:rPr>
              <w:t>las bases generales que se publican junto con esta convocatoria.</w:t>
            </w:r>
          </w:p>
        </w:tc>
      </w:tr>
      <w:tr w:rsidR="007206FA" w14:paraId="278546B9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C9D7AD" w14:textId="77777777" w:rsidR="007206FA" w:rsidRDefault="000A732C">
            <w:pPr>
              <w:pStyle w:val="Gorputz-testua"/>
              <w:numPr>
                <w:ilvl w:val="0"/>
                <w:numId w:val="3"/>
              </w:numPr>
              <w:spacing w:after="0" w:line="276" w:lineRule="auto"/>
              <w:jc w:val="both"/>
            </w:pPr>
            <w:r>
              <w:rPr>
                <w:rStyle w:val="Fuentedeprrafopredeter1"/>
                <w:rFonts w:ascii="Arial" w:eastAsia="Arial" w:hAnsi="Arial" w:cs="Arial"/>
                <w:b/>
                <w:bCs/>
                <w:spacing w:val="-4"/>
                <w:kern w:val="3"/>
                <w:sz w:val="22"/>
                <w:szCs w:val="22"/>
              </w:rPr>
              <w:t>Balorazio irizpideak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63E642" w14:textId="77777777" w:rsidR="007206FA" w:rsidRDefault="000A732C">
            <w:pPr>
              <w:pStyle w:val="Standard"/>
              <w:numPr>
                <w:ilvl w:val="0"/>
                <w:numId w:val="5"/>
              </w:numPr>
              <w:spacing w:line="276" w:lineRule="auto"/>
              <w:jc w:val="both"/>
            </w:pPr>
            <w:r>
              <w:rPr>
                <w:rStyle w:val="Fuentedeprrafopredeter1"/>
                <w:rFonts w:ascii="Arial" w:hAnsi="Arial" w:cs="Arial"/>
                <w:b/>
                <w:bCs/>
                <w:spacing w:val="-4"/>
                <w:sz w:val="22"/>
                <w:szCs w:val="22"/>
                <w:lang w:val="es-ES"/>
              </w:rPr>
              <w:t>Criterios de valoración</w:t>
            </w:r>
          </w:p>
        </w:tc>
      </w:tr>
      <w:tr w:rsidR="007206FA" w14:paraId="2800B0E5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F6EB64" w14:textId="77777777" w:rsidR="007206FA" w:rsidRDefault="000A732C">
            <w:pPr>
              <w:pStyle w:val="Standard"/>
              <w:spacing w:line="276" w:lineRule="auto"/>
              <w:jc w:val="both"/>
            </w:pPr>
            <w:r>
              <w:rPr>
                <w:rStyle w:val="Fuentedeprrafopredeter1"/>
                <w:rFonts w:ascii="Arial" w:eastAsia="Arial" w:hAnsi="Arial" w:cs="Arial"/>
                <w:spacing w:val="-4"/>
                <w:sz w:val="22"/>
                <w:szCs w:val="22"/>
              </w:rPr>
              <w:t>Deialdi honekin batera argitaratzen diren oinarri orokorren 11. artikuluan xedaturikoa izango da.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B14069" w14:textId="77777777" w:rsidR="007206FA" w:rsidRDefault="000A732C">
            <w:pPr>
              <w:pStyle w:val="Standard"/>
              <w:spacing w:line="276" w:lineRule="auto"/>
              <w:jc w:val="both"/>
            </w:pPr>
            <w:r>
              <w:rPr>
                <w:rStyle w:val="Fuentedeprrafopredeter1"/>
                <w:rFonts w:ascii="Arial" w:hAnsi="Arial" w:cs="Arial"/>
                <w:spacing w:val="-4"/>
                <w:sz w:val="22"/>
                <w:szCs w:val="22"/>
                <w:lang w:val="es-ES"/>
              </w:rPr>
              <w:t>Será lo dispuesto en el artículo 11 de las bases generales que se publican junto con esta convocatoria.</w:t>
            </w:r>
          </w:p>
        </w:tc>
      </w:tr>
      <w:tr w:rsidR="007206FA" w14:paraId="13833528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8F163C" w14:textId="77777777" w:rsidR="007206FA" w:rsidRDefault="000A732C">
            <w:pPr>
              <w:pStyle w:val="Gorputz-testua"/>
              <w:numPr>
                <w:ilvl w:val="0"/>
                <w:numId w:val="3"/>
              </w:numPr>
              <w:spacing w:after="0" w:line="276" w:lineRule="auto"/>
              <w:jc w:val="both"/>
            </w:pPr>
            <w:bookmarkStart w:id="0" w:name="_Hlk167097252"/>
            <w:r>
              <w:rPr>
                <w:rStyle w:val="Fuentedeprrafopredeter1"/>
                <w:rFonts w:ascii="Arial" w:eastAsia="Arial" w:hAnsi="Arial" w:cs="Arial"/>
                <w:b/>
                <w:bCs/>
                <w:kern w:val="3"/>
                <w:sz w:val="22"/>
                <w:szCs w:val="22"/>
                <w:lang w:val="es-ES"/>
              </w:rPr>
              <w:t>Proiektuak egikaritzeko epea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54DBDB" w14:textId="77777777" w:rsidR="007206FA" w:rsidRDefault="000A732C">
            <w:pPr>
              <w:pStyle w:val="Standard"/>
              <w:numPr>
                <w:ilvl w:val="0"/>
                <w:numId w:val="5"/>
              </w:numPr>
              <w:spacing w:line="276" w:lineRule="auto"/>
              <w:jc w:val="both"/>
            </w:pPr>
            <w:r>
              <w:rPr>
                <w:rStyle w:val="Fuentedeprrafopredeter1"/>
                <w:rFonts w:ascii="Arial" w:hAnsi="Arial" w:cs="Arial"/>
                <w:b/>
                <w:bCs/>
                <w:sz w:val="22"/>
                <w:szCs w:val="22"/>
              </w:rPr>
              <w:t>Plazo de ejecución de los proyectos</w:t>
            </w:r>
          </w:p>
        </w:tc>
      </w:tr>
      <w:tr w:rsidR="007206FA" w14:paraId="7C08C98F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9AF5C8" w14:textId="77777777" w:rsidR="007206FA" w:rsidRDefault="000A732C">
            <w:pPr>
              <w:pStyle w:val="Gorputz-testua"/>
              <w:spacing w:line="276" w:lineRule="auto"/>
              <w:jc w:val="both"/>
            </w:pPr>
            <w:r>
              <w:rPr>
                <w:rFonts w:ascii="Arial" w:hAnsi="Arial" w:cs="Arial"/>
                <w:sz w:val="22"/>
                <w:szCs w:val="22"/>
              </w:rPr>
              <w:t>Dirulaguntzaren xede diren jarduketak 2023ko urtarrilaren 1etik 2024ko irailaren 30ra bitartean egingo dira.</w:t>
            </w:r>
          </w:p>
          <w:p w14:paraId="72D3C09C" w14:textId="77777777" w:rsidR="007206FA" w:rsidRDefault="000A732C">
            <w:pPr>
              <w:jc w:val="both"/>
              <w:rPr>
                <w:rFonts w:ascii="Arial" w:hAnsi="Arial" w:cs="Arial"/>
                <w:spacing w:val="0"/>
                <w:sz w:val="22"/>
                <w:szCs w:val="22"/>
                <w:lang w:eastAsia="eu-ES"/>
              </w:rPr>
            </w:pPr>
            <w:r>
              <w:rPr>
                <w:rFonts w:ascii="Arial" w:hAnsi="Arial" w:cs="Arial"/>
                <w:spacing w:val="0"/>
                <w:sz w:val="22"/>
                <w:szCs w:val="22"/>
                <w:lang w:eastAsia="eu-ES"/>
              </w:rPr>
              <w:t xml:space="preserve">Jarduketa </w:t>
            </w:r>
            <w:r>
              <w:rPr>
                <w:rFonts w:ascii="Arial" w:hAnsi="Arial" w:cs="Arial"/>
                <w:spacing w:val="0"/>
                <w:sz w:val="22"/>
                <w:szCs w:val="22"/>
                <w:lang w:eastAsia="eu-ES"/>
              </w:rPr>
              <w:t>amaitzeko data Alokabideren aldeko txosten teknikoan eta gozamen-kontratuaren sinaduran jasotakoa izango da, eta adierazitako daten artean datatuta egon beharko dute.</w:t>
            </w:r>
          </w:p>
          <w:p w14:paraId="40912166" w14:textId="77777777" w:rsidR="007206FA" w:rsidRDefault="007206FA">
            <w:pPr>
              <w:pStyle w:val="Gorputz-testua"/>
              <w:spacing w:line="276" w:lineRule="auto"/>
              <w:jc w:val="both"/>
            </w:pP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BB224B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Las actuaciones objeto de subvención se realizarán entre el 1 de enero de 2023 y el 30 de septiembre de 2024.</w:t>
            </w:r>
          </w:p>
          <w:p w14:paraId="181F61BA" w14:textId="77777777" w:rsidR="007206FA" w:rsidRDefault="000A732C">
            <w:pPr>
              <w:pStyle w:val="Gorputz-testua"/>
              <w:spacing w:line="276" w:lineRule="auto"/>
              <w:jc w:val="both"/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Se entenderá por fecha de finalización de la actuación la del informe técnico favorable de Alokabide y firma del contrato de usufructo que deberán estar fechadas entre las fechas señaladas. </w:t>
            </w:r>
          </w:p>
          <w:p w14:paraId="06F4E52E" w14:textId="77777777" w:rsidR="007206FA" w:rsidRDefault="007206FA">
            <w:pPr>
              <w:pStyle w:val="Standard"/>
              <w:spacing w:line="276" w:lineRule="auto"/>
              <w:jc w:val="both"/>
            </w:pPr>
          </w:p>
        </w:tc>
      </w:tr>
      <w:tr w:rsidR="007206FA" w14:paraId="42971A7F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96776" w14:textId="77777777" w:rsidR="007206FA" w:rsidRDefault="000A732C">
            <w:pPr>
              <w:pStyle w:val="Gorputz-testua"/>
              <w:numPr>
                <w:ilvl w:val="0"/>
                <w:numId w:val="5"/>
              </w:numPr>
              <w:spacing w:after="0" w:line="276" w:lineRule="auto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Prozedura antolatu, izapidetu eta ebazteko eskumena duten organoak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730516" w14:textId="77777777" w:rsidR="007206FA" w:rsidRDefault="000A732C">
            <w:pPr>
              <w:pStyle w:val="Gorputz-testua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Órganos competentes para la ordenación, instrucción y resolución del procedimiento</w:t>
            </w:r>
          </w:p>
        </w:tc>
      </w:tr>
      <w:tr w:rsidR="007206FA" w14:paraId="236A9647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E05D7E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Etxebizitza Azpisailak sustatuko du prozeduraren instrukzioa.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6F7F11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La instrucción del procedimiento será promovida por la Subárea de Vivienda</w:t>
            </w:r>
          </w:p>
        </w:tc>
      </w:tr>
      <w:tr w:rsidR="007206FA" w14:paraId="7F23AF46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13F93C" w14:textId="77777777" w:rsidR="007206FA" w:rsidRDefault="000A732C">
            <w:pPr>
              <w:pStyle w:val="Gorputz-testua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Dokumentazioa jasotakoan, bulego teknikoak nahitaezko txostena egingo du, eta horren arabera kalkulatuko da obren guztizko prezioa, eta onuradunak gehienez lor dezakeen dirulaguntza ezarriko da. </w:t>
            </w:r>
          </w:p>
          <w:p w14:paraId="584D4BA9" w14:textId="77777777" w:rsidR="007206FA" w:rsidRDefault="007206FA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5C7C92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Una vez recibida la documentación, la oficina técnica elaborará un informe preceptivo en base al cual se calculará el precio total de las obras, y se establecerá el importe de la subvención que como máximo podrá obtener la persona beneficiaria. </w:t>
            </w:r>
          </w:p>
        </w:tc>
      </w:tr>
      <w:tr w:rsidR="007206FA" w14:paraId="2DCF15FF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080027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Aipatutako txostenean oinarrituta, Etxebizitza Azpisailak egingo du eskaeren balorazioa, txosten teknikoa eginda.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FA850D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En base al citado informe, la Subárea de Vivienda realizará la valoración de las solicitudes, mediante la emisión del correspondiente informe técnico.</w:t>
            </w:r>
          </w:p>
        </w:tc>
      </w:tr>
      <w:tr w:rsidR="007206FA" w14:paraId="5AE5AAEF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8B9C0B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Dirulaguntza emateko proposamena Balorazio Batzordeari igorriko zaio, hark dagokion txostena egin dezan.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EE4BFC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La propuesta de la concesión se elevará a la Comisión de Valoración para emitir su correspondiente informe.</w:t>
            </w:r>
          </w:p>
        </w:tc>
      </w:tr>
      <w:tr w:rsidR="007206FA" w14:paraId="171EB5B9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DB68FE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Honako kide hauek osatuko dute Balorazio Batzorde hori, eta emakumeen eta gizonen presentzia orekatua bermatuko da, bestelakorik justifikatu ezean:</w:t>
            </w:r>
          </w:p>
          <w:p w14:paraId="7757ADC3" w14:textId="77777777" w:rsidR="007206FA" w:rsidRDefault="007206FA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9B21BB4" w14:textId="77777777" w:rsidR="007206FA" w:rsidRDefault="000A732C">
            <w:pPr>
              <w:pStyle w:val="Gorputz-testua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Kontu-hartzailea edo teknikaria.</w:t>
            </w:r>
          </w:p>
          <w:p w14:paraId="40DDD0FC" w14:textId="77777777" w:rsidR="007206FA" w:rsidRDefault="000A732C">
            <w:pPr>
              <w:pStyle w:val="Gorputz-testua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Saileko teknikaria.</w:t>
            </w:r>
          </w:p>
          <w:p w14:paraId="18A7327C" w14:textId="77777777" w:rsidR="007206FA" w:rsidRDefault="000A732C">
            <w:pPr>
              <w:pStyle w:val="Gorputz-testua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Saileko zinegotzia.</w:t>
            </w:r>
          </w:p>
          <w:p w14:paraId="614877D7" w14:textId="77777777" w:rsidR="007206FA" w:rsidRDefault="000A732C">
            <w:pPr>
              <w:pStyle w:val="Gorputz-testua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Idazkaritza Saileko AOT bat.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2A672C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Dicha Comisión de Valoración estará compuesta por los/las siguientes integrantes, 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garantizándose una presencia equilibrada de mujeres y hombres en su composición, salvo justificación en contrario:</w:t>
            </w:r>
          </w:p>
          <w:p w14:paraId="59C4C452" w14:textId="77777777" w:rsidR="007206FA" w:rsidRDefault="007206FA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6CAC669D" w14:textId="77777777" w:rsidR="007206FA" w:rsidRDefault="000A732C">
            <w:pPr>
              <w:pStyle w:val="Gorputz-testua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El/La Interventor/a o el técnico/a.</w:t>
            </w:r>
          </w:p>
          <w:p w14:paraId="2CE9734C" w14:textId="77777777" w:rsidR="007206FA" w:rsidRDefault="000A732C">
            <w:pPr>
              <w:pStyle w:val="Gorputz-testua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El/La técnico del área.</w:t>
            </w:r>
          </w:p>
          <w:p w14:paraId="12F8F192" w14:textId="77777777" w:rsidR="007206FA" w:rsidRDefault="000A732C">
            <w:pPr>
              <w:pStyle w:val="Gorputz-testua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El/La concejal/a del área.</w:t>
            </w:r>
          </w:p>
          <w:p w14:paraId="73582209" w14:textId="77777777" w:rsidR="007206FA" w:rsidRDefault="000A732C">
            <w:pPr>
              <w:pStyle w:val="Gorputz-testua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Un/a TAG del Área de Secretaría.</w:t>
            </w:r>
          </w:p>
        </w:tc>
      </w:tr>
      <w:tr w:rsidR="007206FA" w14:paraId="2FF014F0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2E36D4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Instrukzio-organoak, espedientea eta kide anitzeko organoaren txostena ikusita, behin-behineko ebazpen-proposamena egingo du, behar bezala arrazoituta. Proposamen hori interesdunei jakinarazi beharko zaie deialdiak ezartzen duen moduan, eta 10 eguneko epea emango zaie alegazioak aurkezteko. 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FA1478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El órgano instructor, a la vista del expediente y del informe del órgano colegiado, formulará la propuesta de resolución provisional, debidamente motivada, que deberá notificarse a los interesados en la forma que establezca la convocatoria, y se concederá un plazo de 10 días para presentar alegaciones. </w:t>
            </w:r>
          </w:p>
        </w:tc>
      </w:tr>
      <w:tr w:rsidR="007206FA" w14:paraId="3E56A69A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010C2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Obra guztiek nahitaezko udal-lizentzia izan beharko dute. 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6FA697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Todas las obras deberán contar con la preceptiva licencia municipal. </w:t>
            </w:r>
          </w:p>
        </w:tc>
      </w:tr>
      <w:tr w:rsidR="007206FA" w14:paraId="40BDAAD1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42412E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Ondoren, Alkatetzara igorriko da, hark, edo hark delegatutakoak ebatz dezan.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CB5662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Posteriormente, para su resolución se dará traslado a Alcaldía, sin perjuicio de las delegaciones que pudiese efectuar.</w:t>
            </w:r>
          </w:p>
        </w:tc>
      </w:tr>
      <w:tr w:rsidR="007206FA" w14:paraId="1FF5BB5A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4EFD20" w14:textId="77777777" w:rsidR="007206FA" w:rsidRDefault="000A732C">
            <w:pPr>
              <w:pStyle w:val="Gorputz-testua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Ebazteko eta jakinarazteko epea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518F5D" w14:textId="77777777" w:rsidR="007206FA" w:rsidRDefault="000A732C">
            <w:pPr>
              <w:pStyle w:val="Gorputz-testua"/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 Plazo de notificación y resolución</w:t>
            </w:r>
          </w:p>
        </w:tc>
      </w:tr>
      <w:tr w:rsidR="007206FA" w14:paraId="31259748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2139FF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Behin betiko ebazpena emateko eta </w:t>
            </w:r>
            <w:r>
              <w:rPr>
                <w:rFonts w:ascii="Arial" w:hAnsi="Arial" w:cs="Arial"/>
                <w:sz w:val="22"/>
                <w:szCs w:val="22"/>
              </w:rPr>
              <w:t>jakinarazteko gehieneko epea sei hilabetekoa da, dagokion deialdia Gipuzkoako Aldizkari Ofizialean argitaratzen denetik zenbatzen hasita.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BABE5B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El plazo máximo para resolver y notificar la resolución definitiva es de seis meses a partir de la publicación de la correspondiente convocatoria en el Boletín Oficial de Gipuzkoa.</w:t>
            </w:r>
          </w:p>
        </w:tc>
      </w:tr>
      <w:tr w:rsidR="007206FA" w14:paraId="46D3B13F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9600E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Behin betiko ebazpena interesdunei jakinaraziko zaie.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56A3B8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La resolución definitiva será notificada a las personas interesadas.</w:t>
            </w:r>
          </w:p>
        </w:tc>
      </w:tr>
      <w:tr w:rsidR="007206FA" w14:paraId="0261DAB9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38AD7" w14:textId="77777777" w:rsidR="007206FA" w:rsidRDefault="000A732C">
            <w:pPr>
              <w:pStyle w:val="Gorputz-testua"/>
              <w:numPr>
                <w:ilvl w:val="0"/>
                <w:numId w:val="7"/>
              </w:numPr>
              <w:spacing w:after="0" w:line="276" w:lineRule="auto"/>
              <w:jc w:val="both"/>
            </w:pPr>
            <w:r>
              <w:rPr>
                <w:rStyle w:val="Fuentedeprrafopredeter1"/>
                <w:rFonts w:ascii="Arial" w:hAnsi="Arial" w:cs="Arial"/>
                <w:b/>
                <w:bCs/>
                <w:sz w:val="22"/>
                <w:szCs w:val="22"/>
              </w:rPr>
              <w:t>Ebazpenaren jakinarazpena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32227D" w14:textId="77777777" w:rsidR="007206FA" w:rsidRDefault="000A732C">
            <w:pPr>
              <w:pStyle w:val="Gorputz-testua"/>
              <w:numPr>
                <w:ilvl w:val="0"/>
                <w:numId w:val="5"/>
              </w:numPr>
              <w:spacing w:after="0" w:line="276" w:lineRule="auto"/>
              <w:jc w:val="both"/>
            </w:pPr>
            <w:r>
              <w:rPr>
                <w:rStyle w:val="Fuentedeprrafopredeter1"/>
                <w:rFonts w:ascii="Arial" w:hAnsi="Arial" w:cs="Arial"/>
                <w:b/>
                <w:bCs/>
                <w:sz w:val="22"/>
                <w:szCs w:val="22"/>
                <w:lang w:val="es-ES"/>
              </w:rPr>
              <w:t>Notificación de la resolución</w:t>
            </w:r>
          </w:p>
        </w:tc>
      </w:tr>
      <w:tr w:rsidR="007206FA" w14:paraId="0F13274C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109F5B" w14:textId="77777777" w:rsidR="007206FA" w:rsidRDefault="000A732C">
            <w:pPr>
              <w:pStyle w:val="Gorputz-testua"/>
              <w:spacing w:line="276" w:lineRule="auto"/>
              <w:jc w:val="both"/>
            </w:pPr>
            <w:r>
              <w:rPr>
                <w:rFonts w:ascii="Arial" w:hAnsi="Arial" w:cs="Arial"/>
                <w:sz w:val="22"/>
                <w:szCs w:val="22"/>
              </w:rPr>
              <w:t>Interesdunari ebazpena jakinaraziko zaio.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BE5016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A la persona interesada se le notificará resolución.</w:t>
            </w:r>
          </w:p>
        </w:tc>
      </w:tr>
      <w:tr w:rsidR="007206FA" w14:paraId="7E55E97F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D75723" w14:textId="77777777" w:rsidR="007206FA" w:rsidRDefault="000A732C">
            <w:pPr>
              <w:pStyle w:val="Gorputz-testua"/>
              <w:numPr>
                <w:ilvl w:val="0"/>
                <w:numId w:val="8"/>
              </w:num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Dirulaguntza aldatzea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36D353" w14:textId="77777777" w:rsidR="007206FA" w:rsidRDefault="000A732C">
            <w:pPr>
              <w:pStyle w:val="Gorputz-testua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Modificación de la subvención</w:t>
            </w:r>
          </w:p>
        </w:tc>
      </w:tr>
      <w:tr w:rsidR="007206FA" w14:paraId="31B1CC07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EB9EE1" w14:textId="77777777" w:rsidR="007206FA" w:rsidRDefault="000A732C">
            <w:pPr>
              <w:pStyle w:val="Gorputz-testua"/>
            </w:pPr>
            <w:r>
              <w:rPr>
                <w:rStyle w:val="Fuentedeprrafopredeter1"/>
                <w:rFonts w:ascii="Arial" w:hAnsi="Arial" w:cs="Arial"/>
                <w:sz w:val="22"/>
                <w:szCs w:val="22"/>
              </w:rPr>
              <w:t>Deialdi honetan argitaratzen diren oinarri orokorren 16. artikuluan ezarritakoaren arabera.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3AED64" w14:textId="77777777" w:rsidR="007206FA" w:rsidRDefault="000A732C">
            <w:pPr>
              <w:pStyle w:val="Gorputz-testua"/>
            </w:pPr>
            <w:r>
              <w:rPr>
                <w:rStyle w:val="Fuentedeprrafopredeter1"/>
                <w:rFonts w:ascii="Arial" w:hAnsi="Arial" w:cs="Arial"/>
                <w:sz w:val="22"/>
                <w:szCs w:val="22"/>
                <w:lang w:val="es-ES"/>
              </w:rPr>
              <w:t>De conformidad con lo establecido en el artículo 16 de las bases generales que se publican en esta convocatoria.</w:t>
            </w:r>
          </w:p>
        </w:tc>
      </w:tr>
      <w:tr w:rsidR="007206FA" w14:paraId="6B229057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ECF2F3" w14:textId="77777777" w:rsidR="007206FA" w:rsidRDefault="000A732C">
            <w:pPr>
              <w:pStyle w:val="Gorputz-testua"/>
              <w:numPr>
                <w:ilvl w:val="0"/>
                <w:numId w:val="5"/>
              </w:numPr>
              <w:spacing w:line="276" w:lineRule="auto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Helegiteen araubidea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115E9" w14:textId="77777777" w:rsidR="007206FA" w:rsidRDefault="000A732C">
            <w:pPr>
              <w:pStyle w:val="Gorputz-testua"/>
              <w:numPr>
                <w:ilvl w:val="0"/>
                <w:numId w:val="9"/>
              </w:num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Régimen de recursos</w:t>
            </w:r>
          </w:p>
        </w:tc>
      </w:tr>
      <w:tr w:rsidR="007206FA" w14:paraId="3CB1FE17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084DD2" w14:textId="77777777" w:rsidR="007206FA" w:rsidRDefault="000A732C">
            <w:pPr>
              <w:pStyle w:val="Gorputz-testua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Ebazpen hau finkoa da eta amaiera ematen dio administrazio-bideari. Erabakiaren kontra, honako errekurtso </w:t>
            </w:r>
            <w:r>
              <w:rPr>
                <w:rFonts w:ascii="Arial" w:hAnsi="Arial" w:cs="Arial"/>
                <w:sz w:val="22"/>
                <w:szCs w:val="22"/>
              </w:rPr>
              <w:t>hauek jar daitezke:</w:t>
            </w:r>
          </w:p>
          <w:p w14:paraId="619E40A3" w14:textId="77777777" w:rsidR="007206FA" w:rsidRDefault="007206FA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2294C5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La presente resolución es firme y pone fin a la vía administrativa. Contra la misma podrán interponerse los siguientes recursos:</w:t>
            </w:r>
          </w:p>
        </w:tc>
      </w:tr>
      <w:tr w:rsidR="007206FA" w14:paraId="559527A7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6D9EDC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Erabakiaren aurka auzitara jo aurretik, interesdunak, hala nahi izanez gero, berraztertze-errekurtsoa aurkez dezake Alkatetzaren aurrean hilabete bateko epean, erabaki honen jakinarazpena jaso eta biharamunetik kontatzen hasita. Hori dena, Herri Administrazioen Administrazio Prozedura Erkidea arautzen duen urriaren 1eko 39/2015 Legearen 123 eta 124 artikuluetan xedatutakoaren arabera.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7423FA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Con anterioridad al inicio de la vía judicial, la persona interesada podrá interponer recurso de reposición ante la Alcaldía, en el plazo de un mes contado desde el día siguiente a la recepción de la presente notificación. Todo ello, conforme a los artículos 123 y 124 de la Ley 39/2015, de 1 de octubre, del Procedimiento Administrativo Común de las Administraciones Públicas.</w:t>
            </w:r>
          </w:p>
        </w:tc>
      </w:tr>
      <w:tr w:rsidR="007206FA" w14:paraId="09340444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1F18FE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Bestela, berraztertze-errekurtsoa aurkeztu ordez, edo aipatutako errekurtsoaren erantzunaren aurka joko balu, interesdunak administrazioarekiko auzi-errekurtsoa aurkez dezake bi hilabeteko epean, erabaki honen jakinarazpena jaso eta biharamunetik hasita. Helegite hori Donostiako Administrazioarekiko Auzien Epaitegian aurkeztu beharko da.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0EB4A0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No obstante, en lugar del recurso de reposición, o en el caso de interponerse contra la resolución del recurso, podrá presentar directamente recurso contencioso-administrativo en un plazo de dos meses desde el día siguiente a la recepción de la presente notificación. El recurso se presentará ante el Juzgado Contencioso-Administrativo de San Sebastián.</w:t>
            </w:r>
          </w:p>
        </w:tc>
      </w:tr>
      <w:tr w:rsidR="007206FA" w14:paraId="24423BD7" w14:textId="77777777">
        <w:tblPrEx>
          <w:tblCellMar>
            <w:top w:w="0" w:type="dxa"/>
            <w:bottom w:w="0" w:type="dxa"/>
          </w:tblCellMar>
        </w:tblPrEx>
        <w:tc>
          <w:tcPr>
            <w:tcW w:w="4154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9469A4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Era berean, berariazko ebazpenik ez badago, bai prozedurari amaiera emateko edo bai berraztertzeko errekurtsoari erantzuna emateko, interesdunak </w:t>
            </w:r>
            <w:r>
              <w:rPr>
                <w:rFonts w:ascii="Arial" w:hAnsi="Arial" w:cs="Arial"/>
                <w:sz w:val="22"/>
                <w:szCs w:val="22"/>
              </w:rPr>
              <w:t>administrazioarekiko auzi-errekurtsoa aurkez dezake, edozein unetan. Errekurtso hori Donostiako Administrazioarekiko Auzien Epaitegian aurkeztu beharko da.</w:t>
            </w:r>
          </w:p>
        </w:tc>
        <w:tc>
          <w:tcPr>
            <w:tcW w:w="4350" w:type="dxa"/>
            <w:gridSpan w:val="2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A5873E" w14:textId="77777777" w:rsidR="007206FA" w:rsidRDefault="000A732C">
            <w:pPr>
              <w:pStyle w:val="Gorputz-testua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Asimismo, si no hubiera resolución expresa, tanto para poner fin al procedimiento como para dar respuesta al recurso de reposición, el/la interesado/a podrá interponer en cualquier momento recurso contencioso-administrativo. Dicho recurso deberá interponerse ante el Juzgado de lo Contencioso-Administrativo de San Sebastián.</w:t>
            </w:r>
          </w:p>
        </w:tc>
      </w:tr>
      <w:bookmarkEnd w:id="0"/>
    </w:tbl>
    <w:p w14:paraId="1BFE6EF7" w14:textId="77777777" w:rsidR="007206FA" w:rsidRDefault="007206FA">
      <w:pPr>
        <w:spacing w:line="288" w:lineRule="auto"/>
        <w:rPr>
          <w:rFonts w:ascii="Arial" w:hAnsi="Arial" w:cs="Arial"/>
          <w:sz w:val="22"/>
          <w:szCs w:val="22"/>
          <w:lang w:val="es-ES"/>
        </w:rPr>
      </w:pPr>
    </w:p>
    <w:p w14:paraId="0AF3B4A1" w14:textId="77777777" w:rsidR="007206FA" w:rsidRDefault="007206FA"/>
    <w:sectPr w:rsidR="007206FA">
      <w:pgSz w:w="11906" w:h="16838"/>
      <w:pgMar w:top="1417" w:right="1701" w:bottom="141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EF1175" w14:textId="77777777" w:rsidR="000A732C" w:rsidRDefault="000A732C">
      <w:r>
        <w:separator/>
      </w:r>
    </w:p>
  </w:endnote>
  <w:endnote w:type="continuationSeparator" w:id="0">
    <w:p w14:paraId="0061E927" w14:textId="77777777" w:rsidR="000A732C" w:rsidRDefault="000A7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CD9FAA" w14:textId="77777777" w:rsidR="000A732C" w:rsidRDefault="000A732C">
      <w:r>
        <w:rPr>
          <w:color w:val="000000"/>
        </w:rPr>
        <w:separator/>
      </w:r>
    </w:p>
  </w:footnote>
  <w:footnote w:type="continuationSeparator" w:id="0">
    <w:p w14:paraId="6548537F" w14:textId="77777777" w:rsidR="000A732C" w:rsidRDefault="000A73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9770A"/>
    <w:multiLevelType w:val="multilevel"/>
    <w:tmpl w:val="1A82662E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1" w15:restartNumberingAfterBreak="0">
    <w:nsid w:val="0A354FDC"/>
    <w:multiLevelType w:val="multilevel"/>
    <w:tmpl w:val="FFA61FD6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" w15:restartNumberingAfterBreak="0">
    <w:nsid w:val="1A403801"/>
    <w:multiLevelType w:val="multilevel"/>
    <w:tmpl w:val="6E9CF42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3" w15:restartNumberingAfterBreak="0">
    <w:nsid w:val="5A1B06B3"/>
    <w:multiLevelType w:val="multilevel"/>
    <w:tmpl w:val="47DC42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5B674247"/>
    <w:multiLevelType w:val="multilevel"/>
    <w:tmpl w:val="E002287C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5" w15:restartNumberingAfterBreak="0">
    <w:nsid w:val="668F59DB"/>
    <w:multiLevelType w:val="multilevel"/>
    <w:tmpl w:val="05028FEA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78ED6EDB"/>
    <w:multiLevelType w:val="multilevel"/>
    <w:tmpl w:val="3CF4E918"/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7" w15:restartNumberingAfterBreak="0">
    <w:nsid w:val="792C6BA6"/>
    <w:multiLevelType w:val="multilevel"/>
    <w:tmpl w:val="1AF0C0AC"/>
    <w:lvl w:ilvl="0">
      <w:start w:val="1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8" w15:restartNumberingAfterBreak="0">
    <w:nsid w:val="7C522EC9"/>
    <w:multiLevelType w:val="multilevel"/>
    <w:tmpl w:val="20DE3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 w16cid:durableId="2051882401">
    <w:abstractNumId w:val="3"/>
  </w:num>
  <w:num w:numId="2" w16cid:durableId="479270345">
    <w:abstractNumId w:val="8"/>
  </w:num>
  <w:num w:numId="3" w16cid:durableId="1431773017">
    <w:abstractNumId w:val="4"/>
  </w:num>
  <w:num w:numId="4" w16cid:durableId="53354470">
    <w:abstractNumId w:val="2"/>
  </w:num>
  <w:num w:numId="5" w16cid:durableId="1851948749">
    <w:abstractNumId w:val="1"/>
  </w:num>
  <w:num w:numId="6" w16cid:durableId="1405101418">
    <w:abstractNumId w:val="5"/>
  </w:num>
  <w:num w:numId="7" w16cid:durableId="844825073">
    <w:abstractNumId w:val="0"/>
  </w:num>
  <w:num w:numId="8" w16cid:durableId="1979530974">
    <w:abstractNumId w:val="6"/>
  </w:num>
  <w:num w:numId="9" w16cid:durableId="5371593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206FA"/>
    <w:rsid w:val="000A732C"/>
    <w:rsid w:val="007206FA"/>
    <w:rsid w:val="00AE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814A0"/>
  <w15:docId w15:val="{99BE90BF-E1FE-4FB0-A611-2125F579A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ptos" w:eastAsia="Aptos" w:hAnsi="Aptos" w:cs="Times New Roman"/>
        <w:kern w:val="3"/>
        <w:sz w:val="24"/>
        <w:szCs w:val="24"/>
        <w:lang w:val="eu-ES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pacing w:val="-3"/>
      <w:kern w:val="0"/>
      <w:szCs w:val="20"/>
      <w:lang w:eastAsia="zh-CN"/>
    </w:rPr>
  </w:style>
  <w:style w:type="paragraph" w:styleId="1izenburua">
    <w:name w:val="heading 1"/>
    <w:basedOn w:val="Normala"/>
    <w:next w:val="Normala"/>
    <w:uiPriority w:val="9"/>
    <w:qFormat/>
    <w:pPr>
      <w:keepNext/>
      <w:keepLines/>
      <w:spacing w:before="360" w:after="80"/>
      <w:outlineLvl w:val="0"/>
    </w:pPr>
    <w:rPr>
      <w:rFonts w:ascii="Aptos Display" w:hAnsi="Aptos Display"/>
      <w:color w:val="0F4761"/>
      <w:sz w:val="40"/>
      <w:szCs w:val="40"/>
    </w:rPr>
  </w:style>
  <w:style w:type="paragraph" w:styleId="2izenburua">
    <w:name w:val="heading 2"/>
    <w:basedOn w:val="Normala"/>
    <w:next w:val="Normala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hAnsi="Aptos Display"/>
      <w:color w:val="0F4761"/>
      <w:sz w:val="32"/>
      <w:szCs w:val="32"/>
    </w:rPr>
  </w:style>
  <w:style w:type="paragraph" w:styleId="3izenburua">
    <w:name w:val="heading 3"/>
    <w:basedOn w:val="Normala"/>
    <w:next w:val="Normala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4izenburua">
    <w:name w:val="heading 4"/>
    <w:basedOn w:val="Normala"/>
    <w:next w:val="Normala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5izenburua">
    <w:name w:val="heading 5"/>
    <w:basedOn w:val="Normala"/>
    <w:next w:val="Normala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6izenburua">
    <w:name w:val="heading 6"/>
    <w:basedOn w:val="Normala"/>
    <w:next w:val="Normala"/>
    <w:uiPriority w:val="9"/>
    <w:semiHidden/>
    <w:unhideWhenUsed/>
    <w:qFormat/>
    <w:pPr>
      <w:keepNext/>
      <w:keepLines/>
      <w:spacing w:before="40"/>
      <w:outlineLvl w:val="5"/>
    </w:pPr>
    <w:rPr>
      <w:i/>
      <w:iCs/>
      <w:color w:val="595959"/>
    </w:rPr>
  </w:style>
  <w:style w:type="paragraph" w:styleId="7izenburua">
    <w:name w:val="heading 7"/>
    <w:basedOn w:val="Normala"/>
    <w:next w:val="Normala"/>
    <w:pPr>
      <w:keepNext/>
      <w:keepLines/>
      <w:spacing w:before="40"/>
      <w:outlineLvl w:val="6"/>
    </w:pPr>
    <w:rPr>
      <w:color w:val="595959"/>
    </w:rPr>
  </w:style>
  <w:style w:type="paragraph" w:styleId="8izenburua">
    <w:name w:val="heading 8"/>
    <w:basedOn w:val="Normala"/>
    <w:next w:val="Normala"/>
    <w:pPr>
      <w:keepNext/>
      <w:keepLines/>
      <w:outlineLvl w:val="7"/>
    </w:pPr>
    <w:rPr>
      <w:i/>
      <w:iCs/>
      <w:color w:val="272727"/>
    </w:rPr>
  </w:style>
  <w:style w:type="paragraph" w:styleId="9izenburua">
    <w:name w:val="heading 9"/>
    <w:basedOn w:val="Normala"/>
    <w:next w:val="Normala"/>
    <w:pPr>
      <w:keepNext/>
      <w:keepLines/>
      <w:outlineLvl w:val="8"/>
    </w:pPr>
    <w:rPr>
      <w:color w:val="272727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1izenburuaKar">
    <w:name w:val="1. izenburua Kar"/>
    <w:basedOn w:val="Paragrafoarenletra-tipolehenetsia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2izenburuaKar">
    <w:name w:val="2. izenburua Kar"/>
    <w:basedOn w:val="Paragrafoarenletra-tipolehenetsia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3izenburuaKar">
    <w:name w:val="3. izenburua Kar"/>
    <w:basedOn w:val="Paragrafoarenletra-tipolehenetsia"/>
    <w:rPr>
      <w:rFonts w:eastAsia="Times New Roman" w:cs="Times New Roman"/>
      <w:color w:val="0F4761"/>
      <w:sz w:val="28"/>
      <w:szCs w:val="28"/>
    </w:rPr>
  </w:style>
  <w:style w:type="character" w:customStyle="1" w:styleId="4izenburuaKar">
    <w:name w:val="4. izenburua Kar"/>
    <w:basedOn w:val="Paragrafoarenletra-tipolehenetsia"/>
    <w:rPr>
      <w:rFonts w:eastAsia="Times New Roman" w:cs="Times New Roman"/>
      <w:i/>
      <w:iCs/>
      <w:color w:val="0F4761"/>
    </w:rPr>
  </w:style>
  <w:style w:type="character" w:customStyle="1" w:styleId="5izenburuaKar">
    <w:name w:val="5. izenburua Kar"/>
    <w:basedOn w:val="Paragrafoarenletra-tipolehenetsia"/>
    <w:rPr>
      <w:rFonts w:eastAsia="Times New Roman" w:cs="Times New Roman"/>
      <w:color w:val="0F4761"/>
    </w:rPr>
  </w:style>
  <w:style w:type="character" w:customStyle="1" w:styleId="6izenburuaKar">
    <w:name w:val="6. izenburua Kar"/>
    <w:basedOn w:val="Paragrafoarenletra-tipolehenetsia"/>
    <w:rPr>
      <w:rFonts w:eastAsia="Times New Roman" w:cs="Times New Roman"/>
      <w:i/>
      <w:iCs/>
      <w:color w:val="595959"/>
    </w:rPr>
  </w:style>
  <w:style w:type="character" w:customStyle="1" w:styleId="7izenburuaKar">
    <w:name w:val="7. izenburua Kar"/>
    <w:basedOn w:val="Paragrafoarenletra-tipolehenetsia"/>
    <w:rPr>
      <w:rFonts w:eastAsia="Times New Roman" w:cs="Times New Roman"/>
      <w:color w:val="595959"/>
    </w:rPr>
  </w:style>
  <w:style w:type="character" w:customStyle="1" w:styleId="8izenburuaKar">
    <w:name w:val="8. izenburua Kar"/>
    <w:basedOn w:val="Paragrafoarenletra-tipolehenetsia"/>
    <w:rPr>
      <w:rFonts w:eastAsia="Times New Roman" w:cs="Times New Roman"/>
      <w:i/>
      <w:iCs/>
      <w:color w:val="272727"/>
    </w:rPr>
  </w:style>
  <w:style w:type="character" w:customStyle="1" w:styleId="9izenburuaKar">
    <w:name w:val="9. izenburua Kar"/>
    <w:basedOn w:val="Paragrafoarenletra-tipolehenetsia"/>
    <w:rPr>
      <w:rFonts w:eastAsia="Times New Roman" w:cs="Times New Roman"/>
      <w:color w:val="272727"/>
    </w:rPr>
  </w:style>
  <w:style w:type="paragraph" w:styleId="Titulua">
    <w:name w:val="Title"/>
    <w:basedOn w:val="Normala"/>
    <w:next w:val="Normala"/>
    <w:uiPriority w:val="10"/>
    <w:qFormat/>
    <w:pPr>
      <w:spacing w:after="80"/>
      <w:contextualSpacing/>
    </w:pPr>
    <w:rPr>
      <w:rFonts w:ascii="Aptos Display" w:hAnsi="Aptos Display"/>
      <w:spacing w:val="-10"/>
      <w:kern w:val="3"/>
      <w:sz w:val="56"/>
      <w:szCs w:val="56"/>
    </w:rPr>
  </w:style>
  <w:style w:type="character" w:customStyle="1" w:styleId="TituluaKar">
    <w:name w:val="Titulua Kar"/>
    <w:basedOn w:val="Paragrafoarenletra-tipolehenetsia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Azpititulua">
    <w:name w:val="Subtitle"/>
    <w:basedOn w:val="Normala"/>
    <w:next w:val="Normala"/>
    <w:uiPriority w:val="11"/>
    <w:qFormat/>
    <w:rPr>
      <w:color w:val="595959"/>
      <w:spacing w:val="15"/>
      <w:sz w:val="28"/>
      <w:szCs w:val="28"/>
    </w:rPr>
  </w:style>
  <w:style w:type="character" w:customStyle="1" w:styleId="AzpitituluaKar">
    <w:name w:val="Azpititulua Kar"/>
    <w:basedOn w:val="Paragrafoarenletra-tipolehenetsia"/>
    <w:rPr>
      <w:rFonts w:eastAsia="Times New Roman" w:cs="Times New Roman"/>
      <w:color w:val="595959"/>
      <w:spacing w:val="15"/>
      <w:sz w:val="28"/>
      <w:szCs w:val="28"/>
    </w:rPr>
  </w:style>
  <w:style w:type="paragraph" w:styleId="Aipua">
    <w:name w:val="Quote"/>
    <w:basedOn w:val="Normala"/>
    <w:next w:val="Normala"/>
    <w:pPr>
      <w:spacing w:before="160"/>
      <w:jc w:val="center"/>
    </w:pPr>
    <w:rPr>
      <w:i/>
      <w:iCs/>
      <w:color w:val="404040"/>
    </w:rPr>
  </w:style>
  <w:style w:type="character" w:customStyle="1" w:styleId="AipuaKar">
    <w:name w:val="Aipua Kar"/>
    <w:basedOn w:val="Paragrafoarenletra-tipolehenetsia"/>
    <w:rPr>
      <w:i/>
      <w:iCs/>
      <w:color w:val="404040"/>
    </w:rPr>
  </w:style>
  <w:style w:type="paragraph" w:styleId="Zerrenda-paragrafoa">
    <w:name w:val="List Paragraph"/>
    <w:basedOn w:val="Normala"/>
    <w:pPr>
      <w:ind w:left="720"/>
      <w:contextualSpacing/>
    </w:pPr>
  </w:style>
  <w:style w:type="character" w:styleId="Enfasibizia">
    <w:name w:val="Intense Emphasis"/>
    <w:basedOn w:val="Paragrafoarenletra-tipolehenetsia"/>
    <w:rPr>
      <w:i/>
      <w:iCs/>
      <w:color w:val="0F4761"/>
    </w:rPr>
  </w:style>
  <w:style w:type="paragraph" w:styleId="Aipamenhandia">
    <w:name w:val="Intense Quote"/>
    <w:basedOn w:val="Normala"/>
    <w:next w:val="Normala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AipamenhandiaKar">
    <w:name w:val="Aipamen handia Kar"/>
    <w:basedOn w:val="Paragrafoarenletra-tipolehenetsia"/>
    <w:rPr>
      <w:i/>
      <w:iCs/>
      <w:color w:val="0F4761"/>
    </w:rPr>
  </w:style>
  <w:style w:type="character" w:styleId="Erreferentziabizia">
    <w:name w:val="Intense Reference"/>
    <w:basedOn w:val="Paragrafoarenletra-tipolehenetsia"/>
    <w:rPr>
      <w:b/>
      <w:bCs/>
      <w:smallCaps/>
      <w:color w:val="0F4761"/>
      <w:spacing w:val="5"/>
    </w:rPr>
  </w:style>
  <w:style w:type="paragraph" w:styleId="Gorputz-testua">
    <w:name w:val="Body Text"/>
    <w:basedOn w:val="Normala"/>
    <w:pPr>
      <w:spacing w:after="140" w:line="288" w:lineRule="auto"/>
    </w:pPr>
  </w:style>
  <w:style w:type="character" w:customStyle="1" w:styleId="Gorputz-testuaKar">
    <w:name w:val="Gorputz-testua Kar"/>
    <w:basedOn w:val="Paragrafoarenletra-tipolehenetsia"/>
    <w:rPr>
      <w:rFonts w:ascii="Times New Roman" w:eastAsia="Times New Roman" w:hAnsi="Times New Roman" w:cs="Times New Roman"/>
      <w:spacing w:val="-3"/>
      <w:kern w:val="0"/>
      <w:szCs w:val="20"/>
      <w:lang w:eastAsia="zh-CN"/>
    </w:rPr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Courier New" w:hAnsi="Times New Roman"/>
      <w:spacing w:val="-3"/>
      <w:szCs w:val="20"/>
      <w:lang w:eastAsia="zh-CN"/>
    </w:rPr>
  </w:style>
  <w:style w:type="character" w:customStyle="1" w:styleId="Fuentedeprrafopredeter1">
    <w:name w:val="Fuente de párrafo predeter.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1495</Words>
  <Characters>8524</Characters>
  <Application>Microsoft Office Word</Application>
  <DocSecurity>0</DocSecurity>
  <Lines>71</Lines>
  <Paragraphs>19</Paragraphs>
  <ScaleCrop>false</ScaleCrop>
  <Company/>
  <LinksUpToDate>false</LinksUpToDate>
  <CharactersWithSpaces>10000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Idazkaritza Saila</dc:creator>
  <dc:description/>
  <cp:lastModifiedBy>Idazkaritza Saila</cp:lastModifiedBy>
  <cp:revision>2</cp:revision>
  <dcterms:created xsi:type="dcterms:W3CDTF">2024-06-14T09:06:00Z</dcterms:created>
  <dcterms:modified xsi:type="dcterms:W3CDTF">2024-06-14T09:06:00Z</dcterms:modified>
</cp:coreProperties>
</file>