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rPr>
          <w:rFonts w:cs="Arial"/>
          <w:sz w:val="22"/>
          <w:szCs w:val="22"/>
          <w:lang w:val="ca-ES"/>
        </w:rPr>
      </w:pPr>
      <w:r>
        <w:rPr>
          <w:rFonts w:cs="Arial"/>
          <w:sz w:val="22"/>
          <w:szCs w:val="22"/>
          <w:lang w:val="ca-ES"/>
        </w:rPr>
      </w:r>
    </w:p>
    <w:p>
      <w:pPr>
        <w:pStyle w:val="Default"/>
        <w:rPr>
          <w:rFonts w:ascii="Arial" w:hAnsi="Arial" w:cs="Arial"/>
          <w:b/>
          <w:b/>
          <w:bCs/>
          <w:sz w:val="22"/>
          <w:szCs w:val="22"/>
        </w:rPr>
      </w:pPr>
      <w:r>
        <w:rPr>
          <w:rFonts w:cs="Arial" w:ascii="Arial" w:hAnsi="Arial"/>
          <w:b/>
          <w:bCs/>
          <w:sz w:val="22"/>
          <w:szCs w:val="22"/>
        </w:rPr>
        <w:t>DECRETO</w:t>
      </w:r>
    </w:p>
    <w:p>
      <w:pPr>
        <w:pStyle w:val="Default"/>
        <w:rPr>
          <w:rFonts w:ascii="Arial" w:hAnsi="Arial" w:cs="Arial"/>
          <w:b/>
          <w:b/>
          <w:bCs/>
          <w:sz w:val="22"/>
          <w:szCs w:val="22"/>
        </w:rPr>
      </w:pPr>
      <w:r>
        <w:rPr>
          <w:rFonts w:cs="Arial" w:ascii="Arial" w:hAnsi="Arial"/>
          <w:b/>
          <w:bCs/>
          <w:sz w:val="22"/>
          <w:szCs w:val="22"/>
        </w:rPr>
      </w:r>
    </w:p>
    <w:p>
      <w:pPr>
        <w:pStyle w:val="Default"/>
        <w:rPr>
          <w:rFonts w:ascii="Arial" w:hAnsi="Arial" w:cs="Arial"/>
          <w:sz w:val="22"/>
          <w:szCs w:val="22"/>
        </w:rPr>
      </w:pPr>
      <w:r>
        <w:rPr>
          <w:rFonts w:cs="Arial" w:ascii="Arial" w:hAnsi="Arial"/>
          <w:b/>
          <w:bCs/>
          <w:sz w:val="22"/>
          <w:szCs w:val="22"/>
        </w:rPr>
        <w:t>IDENTIFICACIÓN DEL EXPEDIENTE</w:t>
      </w:r>
    </w:p>
    <w:p>
      <w:pPr>
        <w:pStyle w:val="Default"/>
        <w:jc w:val="both"/>
        <w:rPr>
          <w:rFonts w:ascii="Arial" w:hAnsi="Arial" w:cs="Arial"/>
          <w:sz w:val="22"/>
          <w:szCs w:val="22"/>
        </w:rPr>
      </w:pPr>
      <w:r>
        <w:rPr>
          <w:rFonts w:cs="Arial" w:ascii="Arial" w:hAnsi="Arial"/>
          <w:sz w:val="22"/>
          <w:szCs w:val="22"/>
        </w:rPr>
      </w:r>
    </w:p>
    <w:p>
      <w:pPr>
        <w:pStyle w:val="Default"/>
        <w:jc w:val="both"/>
        <w:rPr/>
      </w:pPr>
      <w:r>
        <w:rPr>
          <w:rFonts w:cs="Arial" w:ascii="Arial" w:hAnsi="Arial"/>
          <w:sz w:val="22"/>
          <w:szCs w:val="22"/>
          <w:u w:val="single"/>
        </w:rPr>
        <w:t xml:space="preserve">Expediente 962/2022 </w:t>
      </w:r>
      <w:r>
        <w:rPr>
          <w:rFonts w:cs="Arial" w:ascii="Arial" w:hAnsi="Arial"/>
          <w:sz w:val="22"/>
          <w:szCs w:val="22"/>
        </w:rPr>
        <w:t>: Subvención del ADF Burriac año 2023 por la prevención de incendios y limpiezas de rieras y torrentes.</w:t>
      </w:r>
    </w:p>
    <w:p>
      <w:pPr>
        <w:pStyle w:val="Default"/>
        <w:jc w:val="both"/>
        <w:rPr>
          <w:rFonts w:ascii="Arial" w:hAnsi="Arial" w:cs="Arial"/>
          <w:bCs/>
          <w:sz w:val="22"/>
          <w:szCs w:val="22"/>
        </w:rPr>
      </w:pPr>
      <w:r>
        <w:rPr>
          <w:rFonts w:cs="Arial" w:ascii="Arial" w:hAnsi="Arial"/>
          <w:bCs/>
          <w:sz w:val="22"/>
          <w:szCs w:val="22"/>
        </w:rPr>
      </w:r>
    </w:p>
    <w:p>
      <w:pPr>
        <w:pStyle w:val="Default"/>
        <w:jc w:val="both"/>
        <w:rPr>
          <w:rFonts w:ascii="Arial" w:hAnsi="Arial" w:cs="Arial"/>
          <w:sz w:val="22"/>
          <w:szCs w:val="22"/>
        </w:rPr>
      </w:pPr>
      <w:r>
        <w:rPr>
          <w:rFonts w:cs="Arial" w:ascii="Arial" w:hAnsi="Arial"/>
          <w:b/>
          <w:bCs/>
          <w:sz w:val="22"/>
          <w:szCs w:val="22"/>
        </w:rPr>
        <w:t>ANTECEDENTES</w:t>
      </w:r>
    </w:p>
    <w:p>
      <w:pPr>
        <w:pStyle w:val="Default"/>
        <w:jc w:val="both"/>
        <w:rPr>
          <w:rFonts w:ascii="Arial" w:hAnsi="Arial" w:cs="Arial"/>
          <w:b/>
          <w:b/>
          <w:bCs/>
          <w:sz w:val="22"/>
          <w:szCs w:val="22"/>
        </w:rPr>
      </w:pPr>
      <w:r>
        <w:rPr>
          <w:rFonts w:cs="Arial" w:ascii="Arial" w:hAnsi="Arial"/>
          <w:b/>
          <w:bCs/>
          <w:sz w:val="22"/>
          <w:szCs w:val="22"/>
        </w:rPr>
      </w:r>
    </w:p>
    <w:p>
      <w:pPr>
        <w:pStyle w:val="Default"/>
        <w:jc w:val="both"/>
        <w:rPr>
          <w:rFonts w:ascii="Arial" w:hAnsi="Arial" w:cs="Arial"/>
          <w:sz w:val="22"/>
          <w:szCs w:val="22"/>
        </w:rPr>
      </w:pPr>
      <w:r>
        <w:rPr>
          <w:rFonts w:cs="Arial" w:ascii="Arial" w:hAnsi="Arial"/>
          <w:sz w:val="22"/>
          <w:szCs w:val="22"/>
        </w:rPr>
        <w:t>Considerando la aprobación del Convenio de colaboración entre la Agrupación Defensa Forestal Burriac y el Ayuntamiento de Cabrils para la realización de labores de vigilancia forestal y prevención y extinción de incendios en el término municipal de Cabrils.</w:t>
      </w:r>
    </w:p>
    <w:p>
      <w:pPr>
        <w:pStyle w:val="Default"/>
        <w:jc w:val="both"/>
        <w:rPr>
          <w:rFonts w:ascii="Arial" w:hAnsi="Arial" w:cs="Arial"/>
          <w:sz w:val="22"/>
          <w:szCs w:val="22"/>
        </w:rPr>
      </w:pPr>
      <w:r>
        <w:rPr>
          <w:rFonts w:cs="Arial" w:ascii="Arial" w:hAnsi="Arial"/>
          <w:sz w:val="22"/>
          <w:szCs w:val="22"/>
        </w:rPr>
      </w:r>
    </w:p>
    <w:p>
      <w:pPr>
        <w:pStyle w:val="Default"/>
        <w:jc w:val="both"/>
        <w:rPr>
          <w:rFonts w:ascii="Arial" w:hAnsi="Arial" w:cs="Arial"/>
          <w:sz w:val="22"/>
          <w:szCs w:val="22"/>
        </w:rPr>
      </w:pPr>
      <w:r>
        <w:rPr>
          <w:rFonts w:cs="Arial" w:ascii="Arial" w:hAnsi="Arial"/>
          <w:sz w:val="22"/>
          <w:szCs w:val="22"/>
        </w:rPr>
        <w:t>La cláusula cuarta del convenio establece que para el sostenimiento de los gastos que el ADF Burriac tenga que soportar por el desarrollo de su labor, el Ayuntamiento destinará en el presupuesto municipal la aplicación presupuestaria y su consignación. Esta contraprestación económica debe formalizarse anualmente como cláusula adicional al convenio.</w:t>
      </w:r>
    </w:p>
    <w:p>
      <w:pPr>
        <w:pStyle w:val="Default"/>
        <w:jc w:val="both"/>
        <w:rPr>
          <w:rFonts w:ascii="Arial" w:hAnsi="Arial" w:cs="Arial"/>
          <w:sz w:val="22"/>
          <w:szCs w:val="22"/>
        </w:rPr>
      </w:pPr>
      <w:r>
        <w:rPr>
          <w:rFonts w:cs="Arial" w:ascii="Arial" w:hAnsi="Arial"/>
          <w:sz w:val="22"/>
          <w:szCs w:val="22"/>
        </w:rPr>
      </w:r>
    </w:p>
    <w:p>
      <w:pPr>
        <w:pStyle w:val="Default"/>
        <w:jc w:val="both"/>
        <w:rPr>
          <w:rFonts w:ascii="Arial" w:hAnsi="Arial" w:cs="Arial"/>
          <w:sz w:val="22"/>
          <w:szCs w:val="22"/>
        </w:rPr>
      </w:pPr>
      <w:r>
        <w:rPr>
          <w:rFonts w:cs="Arial" w:ascii="Arial" w:hAnsi="Arial"/>
          <w:sz w:val="22"/>
          <w:szCs w:val="22"/>
        </w:rPr>
        <w:t>En fecha 11 de abril de 2023, el técnico de Media Ambient emite el siguiente informe:</w:t>
      </w:r>
    </w:p>
    <w:p>
      <w:pPr>
        <w:pStyle w:val="Default"/>
        <w:jc w:val="both"/>
        <w:rPr>
          <w:rFonts w:ascii="Arial" w:hAnsi="Arial" w:cs="Arial"/>
          <w:sz w:val="22"/>
          <w:szCs w:val="22"/>
        </w:rPr>
      </w:pPr>
      <w:r>
        <w:rPr>
          <w:rFonts w:cs="Arial" w:ascii="Arial" w:hAnsi="Arial"/>
          <w:sz w:val="22"/>
          <w:szCs w:val="22"/>
        </w:rPr>
      </w:r>
    </w:p>
    <w:p>
      <w:pPr>
        <w:pStyle w:val="Cuerpodetexto"/>
        <w:ind w:left="708" w:hanging="0"/>
        <w:jc w:val="both"/>
        <w:rPr>
          <w:rFonts w:cs="Arial"/>
          <w:sz w:val="22"/>
          <w:szCs w:val="22"/>
          <w:lang w:val="ca-ES"/>
        </w:rPr>
      </w:pPr>
      <w:r>
        <w:rPr>
          <w:rFonts w:cs="Arial"/>
          <w:b/>
          <w:i/>
          <w:iCs/>
          <w:sz w:val="22"/>
          <w:szCs w:val="22"/>
          <w:lang w:val="ca-ES"/>
        </w:rPr>
        <w:t>« ASUNTO:</w:t>
      </w:r>
    </w:p>
    <w:p>
      <w:pPr>
        <w:pStyle w:val="Normal"/>
        <w:spacing w:before="0" w:after="120"/>
        <w:ind w:left="708" w:hanging="0"/>
        <w:jc w:val="both"/>
        <w:rPr>
          <w:rFonts w:cs="Arial"/>
          <w:sz w:val="22"/>
          <w:szCs w:val="22"/>
          <w:lang w:val="ca-ES"/>
        </w:rPr>
      </w:pPr>
      <w:r>
        <w:rPr>
          <w:rFonts w:cs="Arial"/>
          <w:i/>
          <w:iCs/>
          <w:sz w:val="22"/>
          <w:szCs w:val="22"/>
          <w:lang w:val="ca-ES"/>
        </w:rPr>
        <w:t>Informe relativo a la subvención nominativa prevista en el ejercicio 2023 destinada a la Agrupación de Defensa Forestal Burriac (ADF).</w:t>
      </w:r>
    </w:p>
    <w:p>
      <w:pPr>
        <w:pStyle w:val="Cuerpodetexto"/>
        <w:ind w:left="708" w:hanging="0"/>
        <w:jc w:val="both"/>
        <w:rPr>
          <w:rFonts w:cs="Arial"/>
          <w:i/>
          <w:i/>
          <w:iCs/>
          <w:sz w:val="22"/>
          <w:szCs w:val="22"/>
          <w:lang w:val="ca-ES"/>
        </w:rPr>
      </w:pPr>
      <w:r>
        <w:rPr>
          <w:rFonts w:cs="Arial"/>
          <w:i/>
          <w:iCs/>
          <w:sz w:val="22"/>
          <w:szCs w:val="22"/>
          <w:lang w:val="ca-ES"/>
        </w:rPr>
      </w:r>
    </w:p>
    <w:p>
      <w:pPr>
        <w:pStyle w:val="Cuerpodetexto"/>
        <w:ind w:left="708" w:hanging="0"/>
        <w:jc w:val="both"/>
        <w:rPr>
          <w:rFonts w:cs="Arial"/>
          <w:sz w:val="22"/>
          <w:szCs w:val="22"/>
          <w:lang w:val="ca-ES"/>
        </w:rPr>
      </w:pPr>
      <w:r>
        <w:rPr>
          <w:rFonts w:cs="Arial"/>
          <w:b/>
          <w:i/>
          <w:iCs/>
          <w:sz w:val="22"/>
          <w:szCs w:val="22"/>
          <w:lang w:val="ca-ES"/>
        </w:rPr>
        <w:t>ANTECEDENTES:</w:t>
      </w:r>
    </w:p>
    <w:p>
      <w:pPr>
        <w:pStyle w:val="Default"/>
        <w:ind w:left="708" w:hanging="0"/>
        <w:jc w:val="both"/>
        <w:rPr>
          <w:rFonts w:ascii="Arial" w:hAnsi="Arial" w:cs="Arial"/>
          <w:sz w:val="22"/>
          <w:szCs w:val="22"/>
        </w:rPr>
      </w:pPr>
      <w:r>
        <w:rPr>
          <w:rFonts w:cs="Arial" w:ascii="Arial" w:hAnsi="Arial"/>
          <w:i/>
          <w:iCs/>
          <w:sz w:val="22"/>
          <w:szCs w:val="22"/>
        </w:rPr>
        <w:t>En el marco del convenio firmado entre el Ayuntamiento de Cabrils y el ADF Burriac, de fecha 4 de septiembre de 2018, para colaborar en las tareas de vigilancia forestal y prevención y extinción de incendios en el término municipal de Cabrils, l ADF Burriac tiene asignadas las tareas de mantenimiento de caminos forestales, franjas de seguridad de bosques, parcelas municipales, zonas verdes, torrentes, rieras, etc.</w:t>
      </w:r>
    </w:p>
    <w:p>
      <w:pPr>
        <w:pStyle w:val="Default"/>
        <w:ind w:left="708" w:hanging="0"/>
        <w:jc w:val="both"/>
        <w:rPr>
          <w:rFonts w:ascii="Arial" w:hAnsi="Arial" w:cs="Arial"/>
          <w:i/>
          <w:i/>
          <w:iCs/>
          <w:sz w:val="22"/>
          <w:szCs w:val="22"/>
        </w:rPr>
      </w:pPr>
      <w:r>
        <w:rPr>
          <w:rFonts w:cs="Arial" w:ascii="Arial" w:hAnsi="Arial"/>
          <w:i/>
          <w:iCs/>
          <w:sz w:val="22"/>
          <w:szCs w:val="22"/>
        </w:rPr>
      </w:r>
    </w:p>
    <w:p>
      <w:pPr>
        <w:pStyle w:val="Normal"/>
        <w:spacing w:before="0" w:after="120"/>
        <w:ind w:left="708" w:hanging="0"/>
        <w:jc w:val="both"/>
        <w:rPr>
          <w:rFonts w:cs="Arial"/>
          <w:sz w:val="22"/>
          <w:szCs w:val="22"/>
          <w:lang w:val="ca-ES"/>
        </w:rPr>
      </w:pPr>
      <w:r>
        <w:rPr>
          <w:rFonts w:cs="Arial"/>
          <w:i/>
          <w:iCs/>
          <w:sz w:val="22"/>
          <w:szCs w:val="22"/>
          <w:lang w:val="ca-ES"/>
        </w:rPr>
        <w:t>La aplicación presupuestaria prevista por el ejercicio 2023 es la 170.480.26, incluida en el programa de Medio Ambiente, y asciende a la cantidad de 26.000 euros.</w:t>
      </w:r>
    </w:p>
    <w:p>
      <w:pPr>
        <w:pStyle w:val="Cuerpodetexto"/>
        <w:ind w:left="708" w:hanging="0"/>
        <w:rPr>
          <w:rFonts w:cs="Arial"/>
          <w:i/>
          <w:i/>
          <w:iCs/>
          <w:sz w:val="22"/>
          <w:szCs w:val="22"/>
          <w:lang w:val="ca-ES"/>
        </w:rPr>
      </w:pPr>
      <w:r>
        <w:rPr>
          <w:rFonts w:cs="Arial"/>
          <w:i/>
          <w:iCs/>
          <w:sz w:val="22"/>
          <w:szCs w:val="22"/>
          <w:lang w:val="ca-ES"/>
        </w:rPr>
      </w:r>
    </w:p>
    <w:p>
      <w:pPr>
        <w:pStyle w:val="Cuerpodetexto"/>
        <w:ind w:left="708" w:hanging="0"/>
        <w:jc w:val="both"/>
        <w:rPr>
          <w:rFonts w:cs="Arial"/>
          <w:sz w:val="22"/>
          <w:szCs w:val="22"/>
          <w:lang w:val="ca-ES"/>
        </w:rPr>
      </w:pPr>
      <w:r>
        <w:rPr>
          <w:rFonts w:cs="Arial"/>
          <w:b/>
          <w:i/>
          <w:iCs/>
          <w:sz w:val="22"/>
          <w:szCs w:val="22"/>
          <w:lang w:val="ca-ES"/>
        </w:rPr>
        <w:t>CONCLUSIÓN:</w:t>
      </w:r>
    </w:p>
    <w:p>
      <w:pPr>
        <w:pStyle w:val="Default"/>
        <w:ind w:left="708" w:hanging="0"/>
        <w:jc w:val="both"/>
        <w:rPr>
          <w:rFonts w:ascii="Arial" w:hAnsi="Arial" w:cs="Arial"/>
          <w:sz w:val="22"/>
          <w:szCs w:val="22"/>
        </w:rPr>
      </w:pPr>
      <w:r>
        <w:rPr>
          <w:rFonts w:cs="Arial" w:ascii="Arial" w:hAnsi="Arial"/>
          <w:i/>
          <w:iCs/>
          <w:sz w:val="22"/>
          <w:szCs w:val="22"/>
        </w:rPr>
        <w:t>De acuerdo con la cláusula cuarta del citado Convenio se debe aprobar la minuta de convenio correspondiente al ejercicio 2023 y el pago del 50% a cuenta del total de la subvención prevista.</w:t>
      </w:r>
    </w:p>
    <w:p>
      <w:pPr>
        <w:pStyle w:val="Default"/>
        <w:ind w:left="708" w:hanging="0"/>
        <w:jc w:val="both"/>
        <w:rPr>
          <w:rFonts w:ascii="Arial" w:hAnsi="Arial" w:cs="Arial"/>
          <w:i/>
          <w:i/>
          <w:iCs/>
          <w:sz w:val="22"/>
          <w:szCs w:val="22"/>
        </w:rPr>
      </w:pPr>
      <w:r>
        <w:rPr>
          <w:rFonts w:cs="Arial" w:ascii="Arial" w:hAnsi="Arial"/>
          <w:i/>
          <w:iCs/>
          <w:sz w:val="22"/>
          <w:szCs w:val="22"/>
        </w:rPr>
      </w:r>
    </w:p>
    <w:p>
      <w:pPr>
        <w:pStyle w:val="Default"/>
        <w:ind w:left="708" w:hanging="0"/>
        <w:jc w:val="both"/>
        <w:rPr>
          <w:rFonts w:ascii="Arial" w:hAnsi="Arial" w:cs="Arial"/>
          <w:sz w:val="22"/>
          <w:szCs w:val="22"/>
        </w:rPr>
      </w:pPr>
      <w:r>
        <w:rPr>
          <w:rFonts w:cs="Arial" w:ascii="Arial" w:hAnsi="Arial"/>
          <w:i/>
          <w:iCs/>
          <w:sz w:val="22"/>
          <w:szCs w:val="22"/>
        </w:rPr>
        <w:t>Lo que informo, a los efectos oportunos.»</w:t>
      </w:r>
    </w:p>
    <w:p>
      <w:pPr>
        <w:pStyle w:val="Default"/>
        <w:jc w:val="both"/>
        <w:rPr>
          <w:rFonts w:ascii="Arial" w:hAnsi="Arial" w:cs="Arial"/>
          <w:sz w:val="22"/>
          <w:szCs w:val="22"/>
        </w:rPr>
      </w:pPr>
      <w:r>
        <w:rPr>
          <w:rFonts w:cs="Arial" w:ascii="Arial" w:hAnsi="Arial"/>
          <w:sz w:val="22"/>
          <w:szCs w:val="22"/>
        </w:rPr>
      </w:r>
    </w:p>
    <w:p>
      <w:pPr>
        <w:pStyle w:val="Default"/>
        <w:jc w:val="both"/>
        <w:rPr>
          <w:rFonts w:ascii="Arial" w:hAnsi="Arial" w:cs="Arial"/>
          <w:sz w:val="22"/>
          <w:szCs w:val="22"/>
        </w:rPr>
      </w:pPr>
      <w:r>
        <w:rPr>
          <w:rFonts w:cs="Arial" w:ascii="Arial" w:hAnsi="Arial"/>
          <w:sz w:val="22"/>
          <w:szCs w:val="22"/>
        </w:rPr>
      </w:r>
    </w:p>
    <w:p>
      <w:pPr>
        <w:pStyle w:val="Default"/>
        <w:jc w:val="both"/>
        <w:rPr>
          <w:rFonts w:ascii="Arial" w:hAnsi="Arial" w:cs="Arial"/>
          <w:sz w:val="22"/>
          <w:szCs w:val="22"/>
        </w:rPr>
      </w:pPr>
      <w:r>
        <w:rPr>
          <w:rFonts w:cs="Arial" w:ascii="Arial" w:hAnsi="Arial"/>
          <w:sz w:val="22"/>
          <w:szCs w:val="22"/>
        </w:rPr>
        <w:t>La consignación prevista por la anualidad 2023 de acuerdo con las finalidades previstas es de 26.000,00 euros, en la aplicación presupuestaria 170.480.26 del presupuesto municipal.</w:t>
      </w:r>
    </w:p>
    <w:p>
      <w:pPr>
        <w:pStyle w:val="Default"/>
        <w:jc w:val="both"/>
        <w:rPr>
          <w:rFonts w:ascii="Arial" w:hAnsi="Arial" w:cs="Arial"/>
          <w:sz w:val="22"/>
          <w:szCs w:val="22"/>
        </w:rPr>
      </w:pPr>
      <w:r>
        <w:rPr>
          <w:rFonts w:cs="Arial" w:ascii="Arial" w:hAnsi="Arial"/>
          <w:sz w:val="22"/>
          <w:szCs w:val="22"/>
        </w:rPr>
      </w:r>
    </w:p>
    <w:p>
      <w:pPr>
        <w:pStyle w:val="Default"/>
        <w:jc w:val="both"/>
        <w:rPr>
          <w:rFonts w:ascii="Arial" w:hAnsi="Arial" w:cs="Arial"/>
          <w:sz w:val="22"/>
          <w:szCs w:val="22"/>
        </w:rPr>
      </w:pPr>
      <w:r>
        <w:rPr>
          <w:rFonts w:cs="Arial" w:ascii="Arial" w:hAnsi="Arial"/>
          <w:sz w:val="22"/>
          <w:szCs w:val="22"/>
        </w:rPr>
        <w:t>De acuerdo con la misma cláusula cuarta del convenio, el 50% del pago se realizará al inicio de las actuaciones, el cual deberá justificarse posteriormente mediante la presentación de la documentación justificativa de los gastos que se soporten.</w:t>
      </w:r>
    </w:p>
    <w:p>
      <w:pPr>
        <w:pStyle w:val="Default"/>
        <w:jc w:val="both"/>
        <w:rPr>
          <w:rFonts w:ascii="Arial" w:hAnsi="Arial" w:cs="Arial"/>
          <w:sz w:val="22"/>
          <w:szCs w:val="22"/>
        </w:rPr>
      </w:pPr>
      <w:r>
        <w:rPr>
          <w:rFonts w:cs="Arial" w:ascii="Arial" w:hAnsi="Arial"/>
          <w:sz w:val="22"/>
          <w:szCs w:val="22"/>
        </w:rPr>
      </w:r>
    </w:p>
    <w:p>
      <w:pPr>
        <w:pStyle w:val="Default"/>
        <w:jc w:val="both"/>
        <w:rPr>
          <w:rFonts w:ascii="Arial" w:hAnsi="Arial" w:cs="Arial"/>
          <w:sz w:val="22"/>
          <w:szCs w:val="22"/>
        </w:rPr>
      </w:pPr>
      <w:r>
        <w:rPr>
          <w:rFonts w:cs="Arial" w:ascii="Arial" w:hAnsi="Arial"/>
          <w:sz w:val="22"/>
          <w:szCs w:val="22"/>
        </w:rPr>
      </w:r>
    </w:p>
    <w:p>
      <w:pPr>
        <w:pStyle w:val="Default"/>
        <w:jc w:val="both"/>
        <w:rPr>
          <w:rFonts w:ascii="Arial" w:hAnsi="Arial" w:cs="Arial"/>
          <w:sz w:val="22"/>
          <w:szCs w:val="22"/>
        </w:rPr>
      </w:pPr>
      <w:r>
        <w:rPr>
          <w:rFonts w:cs="Arial" w:ascii="Arial" w:hAnsi="Arial"/>
          <w:b/>
          <w:bCs/>
          <w:sz w:val="22"/>
          <w:szCs w:val="22"/>
        </w:rPr>
        <w:t>FUNDAMENTOS JURÍDICOS</w:t>
      </w:r>
    </w:p>
    <w:p>
      <w:pPr>
        <w:pStyle w:val="Default"/>
        <w:jc w:val="both"/>
        <w:rPr>
          <w:rFonts w:ascii="Arial" w:hAnsi="Arial" w:cs="Arial"/>
          <w:sz w:val="22"/>
          <w:szCs w:val="22"/>
        </w:rPr>
      </w:pPr>
      <w:r>
        <w:rPr>
          <w:rFonts w:cs="Arial" w:ascii="Arial" w:hAnsi="Arial"/>
          <w:sz w:val="22"/>
          <w:szCs w:val="22"/>
        </w:rPr>
      </w:r>
    </w:p>
    <w:p>
      <w:pPr>
        <w:pStyle w:val="Default"/>
        <w:jc w:val="both"/>
        <w:rPr>
          <w:rFonts w:ascii="Arial" w:hAnsi="Arial" w:cs="Arial"/>
          <w:sz w:val="22"/>
          <w:szCs w:val="22"/>
        </w:rPr>
      </w:pPr>
      <w:r>
        <w:rPr>
          <w:rFonts w:cs="Arial" w:ascii="Arial" w:hAnsi="Arial"/>
          <w:sz w:val="22"/>
          <w:szCs w:val="22"/>
        </w:rPr>
        <w:t>Visto lo que disponen los artículos 66.3.c) y 71.1.f) del Decreto Legislativo 2/2003, de 28 de abril, por el que se aprueba el Texto refundido de la Ley municipal y de régimen local de Cataluña sobre las competencias municipales en el ámbito de la protección civil, prevención y extinción de incendios, así como las actividades complementarias necesarias para la gestión de los intereses municipales en el ámbito de la protección del medio.</w:t>
      </w:r>
    </w:p>
    <w:p>
      <w:pPr>
        <w:pStyle w:val="Default"/>
        <w:jc w:val="both"/>
        <w:rPr>
          <w:rFonts w:ascii="Arial" w:hAnsi="Arial" w:cs="Arial"/>
          <w:sz w:val="22"/>
          <w:szCs w:val="22"/>
        </w:rPr>
      </w:pPr>
      <w:r>
        <w:rPr>
          <w:rFonts w:cs="Arial" w:ascii="Arial" w:hAnsi="Arial"/>
          <w:sz w:val="22"/>
          <w:szCs w:val="22"/>
        </w:rPr>
      </w:r>
    </w:p>
    <w:p>
      <w:pPr>
        <w:pStyle w:val="Default"/>
        <w:jc w:val="both"/>
        <w:rPr>
          <w:rFonts w:ascii="Arial" w:hAnsi="Arial" w:cs="Arial"/>
          <w:sz w:val="22"/>
          <w:szCs w:val="22"/>
        </w:rPr>
      </w:pPr>
      <w:r>
        <w:rPr>
          <w:rFonts w:cs="Arial" w:ascii="Arial" w:hAnsi="Arial"/>
          <w:sz w:val="22"/>
          <w:szCs w:val="22"/>
        </w:rPr>
        <w:t>De acuerdo con el artículo 28 de la Ley 38/2003, de 17 de noviembre, General de Subvenciones, y el artículo 65 del Real Decreto 887/2006, de 21 de julio, por el que se aprueba el Reglamento de la Ley General de Subvenciones.</w:t>
      </w:r>
    </w:p>
    <w:p>
      <w:pPr>
        <w:pStyle w:val="Default"/>
        <w:jc w:val="both"/>
        <w:rPr>
          <w:rFonts w:ascii="Arial" w:hAnsi="Arial" w:cs="Arial"/>
          <w:sz w:val="22"/>
          <w:szCs w:val="22"/>
        </w:rPr>
      </w:pPr>
      <w:r>
        <w:rPr>
          <w:rFonts w:cs="Arial" w:ascii="Arial" w:hAnsi="Arial"/>
          <w:sz w:val="22"/>
          <w:szCs w:val="22"/>
        </w:rPr>
      </w:r>
    </w:p>
    <w:p>
      <w:pPr>
        <w:pStyle w:val="Default"/>
        <w:jc w:val="both"/>
        <w:rPr>
          <w:rFonts w:ascii="Arial" w:hAnsi="Arial" w:cs="Arial"/>
          <w:sz w:val="22"/>
          <w:szCs w:val="22"/>
        </w:rPr>
      </w:pPr>
      <w:r>
        <w:rPr>
          <w:rFonts w:cs="Arial" w:ascii="Arial" w:hAnsi="Arial"/>
          <w:sz w:val="22"/>
          <w:szCs w:val="22"/>
        </w:rPr>
        <w:t>Conforme al artículo 86 de la Ley 39/2015, de 1 de octubre, de procedimiento administrativo de las administraciones públicas.</w:t>
      </w:r>
    </w:p>
    <w:p>
      <w:pPr>
        <w:pStyle w:val="Default"/>
        <w:jc w:val="both"/>
        <w:rPr>
          <w:rFonts w:ascii="Arial" w:hAnsi="Arial" w:cs="Arial"/>
          <w:sz w:val="22"/>
          <w:szCs w:val="22"/>
        </w:rPr>
      </w:pPr>
      <w:r>
        <w:rPr>
          <w:rFonts w:cs="Arial" w:ascii="Arial" w:hAnsi="Arial"/>
          <w:sz w:val="22"/>
          <w:szCs w:val="22"/>
        </w:rPr>
      </w:r>
    </w:p>
    <w:p>
      <w:pPr>
        <w:pStyle w:val="Default"/>
        <w:jc w:val="both"/>
        <w:rPr>
          <w:rFonts w:ascii="Arial" w:hAnsi="Arial" w:cs="Arial"/>
          <w:sz w:val="22"/>
          <w:szCs w:val="22"/>
        </w:rPr>
      </w:pPr>
      <w:r>
        <w:rPr>
          <w:rFonts w:cs="Arial" w:ascii="Arial" w:hAnsi="Arial"/>
          <w:sz w:val="22"/>
          <w:szCs w:val="22"/>
        </w:rPr>
        <w:t>Habida cuenta de que la competencia para la adopción del acuerdo corresponde a la Junta de Gobierno Local por delegación efectuada por la alcaldesa de este ayuntamiento, mediante el Decreto de alcaldía núm. 757/2019, de fecha 19 de junio de 2019 (BOP CVE2019022852 de fecha 28 de junio de 2019).</w:t>
      </w:r>
    </w:p>
    <w:p>
      <w:pPr>
        <w:pStyle w:val="Default"/>
        <w:jc w:val="both"/>
        <w:rPr>
          <w:rFonts w:ascii="Arial" w:hAnsi="Arial" w:cs="Arial"/>
          <w:sz w:val="22"/>
          <w:szCs w:val="22"/>
        </w:rPr>
      </w:pPr>
      <w:r>
        <w:rPr>
          <w:rFonts w:cs="Arial" w:ascii="Arial" w:hAnsi="Arial"/>
          <w:sz w:val="22"/>
          <w:szCs w:val="22"/>
        </w:rPr>
      </w:r>
    </w:p>
    <w:p>
      <w:pPr>
        <w:pStyle w:val="Normal"/>
        <w:spacing w:lineRule="auto" w:line="276"/>
        <w:jc w:val="both"/>
        <w:rPr>
          <w:rFonts w:cs="Arial"/>
          <w:kern w:val="2"/>
          <w:sz w:val="22"/>
          <w:szCs w:val="22"/>
          <w:lang w:val="ca-ES"/>
        </w:rPr>
      </w:pPr>
      <w:r>
        <w:rPr>
          <w:rFonts w:cs="Arial"/>
          <w:sz w:val="22"/>
          <w:szCs w:val="22"/>
          <w:lang w:val="ca-ES"/>
        </w:rPr>
        <w:t>Visto lo que dispone el artículo 10 de la Ley 40/2015, de 1 de octubre, de régimen jurídico del sector público, sobre la avocación.</w:t>
      </w:r>
    </w:p>
    <w:p>
      <w:pPr>
        <w:pStyle w:val="Normal"/>
        <w:spacing w:lineRule="auto" w:line="276"/>
        <w:rPr>
          <w:rFonts w:cs="Arial"/>
          <w:b/>
          <w:b/>
          <w:kern w:val="2"/>
          <w:sz w:val="22"/>
          <w:szCs w:val="22"/>
          <w:lang w:val="ca-ES"/>
        </w:rPr>
      </w:pPr>
      <w:r>
        <w:rPr>
          <w:rFonts w:cs="Arial"/>
          <w:b/>
          <w:kern w:val="2"/>
          <w:sz w:val="22"/>
          <w:szCs w:val="22"/>
          <w:lang w:val="ca-ES"/>
        </w:rPr>
      </w:r>
    </w:p>
    <w:p>
      <w:pPr>
        <w:pStyle w:val="Normal"/>
        <w:widowControl/>
        <w:suppressAutoHyphens w:val="false"/>
        <w:spacing w:lineRule="auto" w:line="276" w:before="0" w:after="200"/>
        <w:jc w:val="both"/>
        <w:rPr>
          <w:rFonts w:eastAsia="Calibri" w:cs="Arial"/>
          <w:sz w:val="22"/>
          <w:szCs w:val="22"/>
          <w:lang w:val="ca-ES"/>
        </w:rPr>
      </w:pPr>
      <w:r>
        <w:rPr>
          <w:rFonts w:eastAsia="Calibri" w:cs="Arial"/>
          <w:sz w:val="22"/>
          <w:szCs w:val="22"/>
          <w:lang w:val="ca-ES"/>
        </w:rPr>
        <w:t>En virtud de las facultades que tengo conferidas por la normativa anteriormente citada</w:t>
      </w:r>
    </w:p>
    <w:p>
      <w:pPr>
        <w:pStyle w:val="Normal"/>
        <w:spacing w:lineRule="auto" w:line="276"/>
        <w:rPr>
          <w:rFonts w:cs="Arial"/>
          <w:b/>
          <w:b/>
          <w:sz w:val="22"/>
          <w:szCs w:val="22"/>
          <w:lang w:val="ca-ES"/>
        </w:rPr>
      </w:pPr>
      <w:r>
        <w:rPr>
          <w:rFonts w:cs="Arial"/>
          <w:b/>
          <w:sz w:val="22"/>
          <w:szCs w:val="22"/>
          <w:lang w:val="ca-ES"/>
        </w:rPr>
        <w:t>RESUELVO</w:t>
      </w:r>
    </w:p>
    <w:p>
      <w:pPr>
        <w:pStyle w:val="Normal"/>
        <w:spacing w:lineRule="auto" w:line="276"/>
        <w:rPr>
          <w:rFonts w:cs="Arial"/>
          <w:b/>
          <w:b/>
          <w:sz w:val="22"/>
          <w:szCs w:val="22"/>
          <w:lang w:val="ca-ES"/>
        </w:rPr>
      </w:pPr>
      <w:r>
        <w:rPr>
          <w:rFonts w:cs="Arial"/>
          <w:b/>
          <w:sz w:val="22"/>
          <w:szCs w:val="22"/>
          <w:lang w:val="ca-ES"/>
        </w:rPr>
      </w:r>
    </w:p>
    <w:p>
      <w:pPr>
        <w:pStyle w:val="Default"/>
        <w:jc w:val="both"/>
        <w:rPr/>
      </w:pPr>
      <w:r>
        <w:rPr>
          <w:rFonts w:cs="Arial" w:ascii="Arial" w:hAnsi="Arial"/>
          <w:b/>
          <w:sz w:val="22"/>
          <w:szCs w:val="22"/>
        </w:rPr>
        <w:t xml:space="preserve">Primero.- </w:t>
      </w:r>
      <w:r>
        <w:rPr>
          <w:rFonts w:cs="Arial" w:ascii="Arial" w:hAnsi="Arial"/>
          <w:sz w:val="22"/>
          <w:szCs w:val="22"/>
        </w:rPr>
        <w:t>AVOCAR la competencia otorgada a la Junta de Gobierno Local a favor de la alcaldía para la adopción de los acuerdos relativos a la Subvención del ADF Burriac año 2023 por la prevención de incendios y limpiezas de rieras y torrentes, por razones de urgencia.</w:t>
      </w:r>
    </w:p>
    <w:p>
      <w:pPr>
        <w:pStyle w:val="Normal"/>
        <w:jc w:val="both"/>
        <w:rPr>
          <w:rFonts w:ascii="Arial" w:hAnsi="Arial" w:cs="Arial"/>
          <w:b/>
          <w:b/>
          <w:sz w:val="22"/>
          <w:szCs w:val="22"/>
          <w:lang w:val="ca-ES"/>
        </w:rPr>
      </w:pPr>
      <w:r>
        <w:rPr>
          <w:rFonts w:cs="Arial"/>
          <w:b/>
          <w:sz w:val="22"/>
          <w:szCs w:val="22"/>
          <w:lang w:val="ca-ES"/>
        </w:rPr>
      </w:r>
    </w:p>
    <w:p>
      <w:pPr>
        <w:pStyle w:val="Normal"/>
        <w:spacing w:lineRule="auto" w:line="276"/>
        <w:jc w:val="both"/>
        <w:rPr/>
      </w:pPr>
      <w:r>
        <w:rPr>
          <w:rFonts w:cs="Arial"/>
          <w:b/>
          <w:sz w:val="22"/>
          <w:szCs w:val="22"/>
          <w:lang w:val="ca-ES"/>
        </w:rPr>
        <w:t xml:space="preserve">Segundo.- </w:t>
      </w:r>
      <w:r>
        <w:rPr>
          <w:rFonts w:cs="Arial"/>
          <w:sz w:val="22"/>
          <w:szCs w:val="22"/>
          <w:lang w:val="ca-ES"/>
        </w:rPr>
        <w:t>APROBAR la cláusula adicional al Convenio de colaboración entre la Agrupación Defensa Forestal Burriac y el Ayuntamiento de Cabrils, por el ejercicio 2023.</w:t>
      </w:r>
    </w:p>
    <w:p>
      <w:pPr>
        <w:pStyle w:val="Normal"/>
        <w:spacing w:lineRule="auto" w:line="276"/>
        <w:jc w:val="both"/>
        <w:rPr>
          <w:rFonts w:cs="Arial"/>
          <w:sz w:val="22"/>
          <w:szCs w:val="22"/>
          <w:lang w:val="ca-ES"/>
        </w:rPr>
      </w:pPr>
      <w:r>
        <w:rPr>
          <w:rFonts w:cs="Arial"/>
          <w:sz w:val="22"/>
          <w:szCs w:val="22"/>
          <w:lang w:val="ca-ES"/>
        </w:rPr>
      </w:r>
    </w:p>
    <w:p>
      <w:pPr>
        <w:pStyle w:val="Default"/>
        <w:jc w:val="both"/>
        <w:rPr/>
      </w:pPr>
      <w:r>
        <w:rPr>
          <w:rFonts w:cs="Arial" w:ascii="Arial" w:hAnsi="Arial"/>
          <w:b/>
          <w:bCs/>
          <w:sz w:val="22"/>
          <w:szCs w:val="22"/>
        </w:rPr>
        <w:t xml:space="preserve">Tercero.- </w:t>
      </w:r>
      <w:r>
        <w:rPr>
          <w:rFonts w:cs="Arial" w:ascii="Arial" w:hAnsi="Arial"/>
          <w:sz w:val="22"/>
          <w:szCs w:val="22"/>
        </w:rPr>
        <w:t xml:space="preserve">AUTORIZAR Y DISPONER el gasto por un importe </w:t>
      </w:r>
      <w:r>
        <w:rPr>
          <w:rFonts w:cs="Arial" w:ascii="Arial" w:hAnsi="Arial"/>
          <w:color w:val="000000"/>
          <w:sz w:val="22"/>
          <w:szCs w:val="22"/>
        </w:rPr>
        <w:t xml:space="preserve">de 26.000 euros consignado en la aplicación presupuestaria 170.480.26 del vigente presupuesto municipal, en cumplimiento de la cláusula adicional cuarta del Convenio </w:t>
      </w:r>
      <w:r>
        <w:rPr>
          <w:rFonts w:cs="Arial" w:ascii="Arial" w:hAnsi="Arial"/>
          <w:sz w:val="22"/>
          <w:szCs w:val="22"/>
        </w:rPr>
        <w:t>de colaboración entre la Agrupación Defensa Forestal Burriac y el Ayuntamiento de Cabrils.</w:t>
      </w:r>
    </w:p>
    <w:p>
      <w:pPr>
        <w:pStyle w:val="Default"/>
        <w:jc w:val="both"/>
        <w:rPr>
          <w:rFonts w:ascii="Arial" w:hAnsi="Arial" w:cs="Arial"/>
          <w:b/>
          <w:b/>
          <w:bCs/>
          <w:sz w:val="22"/>
          <w:szCs w:val="22"/>
        </w:rPr>
      </w:pPr>
      <w:r>
        <w:rPr>
          <w:rFonts w:cs="Arial" w:ascii="Arial" w:hAnsi="Arial"/>
          <w:b/>
          <w:bCs/>
          <w:sz w:val="22"/>
          <w:szCs w:val="22"/>
        </w:rPr>
      </w:r>
    </w:p>
    <w:p>
      <w:pPr>
        <w:pStyle w:val="Default"/>
        <w:jc w:val="both"/>
        <w:rPr/>
      </w:pPr>
      <w:r>
        <w:rPr>
          <w:rFonts w:cs="Arial" w:ascii="Arial" w:hAnsi="Arial"/>
          <w:b/>
          <w:bCs/>
          <w:sz w:val="22"/>
          <w:szCs w:val="22"/>
        </w:rPr>
        <w:t xml:space="preserve">Cuarto.- </w:t>
      </w:r>
      <w:r>
        <w:rPr>
          <w:rFonts w:cs="Arial" w:ascii="Arial" w:hAnsi="Arial"/>
          <w:sz w:val="22"/>
          <w:szCs w:val="22"/>
        </w:rPr>
        <w:t>RECONOCER LA OBLIGACIÓN Y ORDENAR EL PAGO del 50 % correspondiente a 13.000,00 euros en cumplimiento de la cláusula adicional cuarta del Convenio de colaboración entre la Agrupación Defensa Forestal Burriac y el Ayuntamiento de Cabrils.</w:t>
      </w:r>
    </w:p>
    <w:p>
      <w:pPr>
        <w:pStyle w:val="Default"/>
        <w:jc w:val="both"/>
        <w:rPr>
          <w:rFonts w:ascii="Arial" w:hAnsi="Arial" w:cs="Arial"/>
          <w:sz w:val="22"/>
          <w:szCs w:val="22"/>
        </w:rPr>
      </w:pPr>
      <w:r>
        <w:rPr>
          <w:rFonts w:cs="Arial" w:ascii="Arial" w:hAnsi="Arial"/>
          <w:sz w:val="22"/>
          <w:szCs w:val="22"/>
        </w:rPr>
      </w:r>
    </w:p>
    <w:p>
      <w:pPr>
        <w:pStyle w:val="Default"/>
        <w:jc w:val="both"/>
        <w:rPr>
          <w:rFonts w:ascii="Arial" w:hAnsi="Arial" w:cs="Arial"/>
          <w:sz w:val="22"/>
          <w:szCs w:val="22"/>
        </w:rPr>
      </w:pPr>
      <w:r>
        <w:rPr>
          <w:rFonts w:cs="Arial" w:ascii="Arial" w:hAnsi="Arial"/>
          <w:b/>
          <w:bCs/>
          <w:sz w:val="22"/>
          <w:szCs w:val="22"/>
        </w:rPr>
        <w:t xml:space="preserve">Quinto.- </w:t>
      </w:r>
      <w:r>
        <w:rPr>
          <w:rFonts w:cs="Arial" w:ascii="Arial" w:hAnsi="Arial"/>
          <w:bCs/>
          <w:sz w:val="22"/>
          <w:szCs w:val="22"/>
        </w:rPr>
        <w:t>FACULTAR a la Alcaldesa para la firma de cuantos documentos sean procedentes para la consecución de lo acordado.</w:t>
      </w:r>
    </w:p>
    <w:p>
      <w:pPr>
        <w:pStyle w:val="Default"/>
        <w:jc w:val="both"/>
        <w:rPr>
          <w:rFonts w:ascii="Arial" w:hAnsi="Arial" w:cs="Arial"/>
          <w:b/>
          <w:b/>
          <w:bCs/>
          <w:sz w:val="22"/>
          <w:szCs w:val="22"/>
        </w:rPr>
      </w:pPr>
      <w:r>
        <w:rPr>
          <w:rFonts w:cs="Arial" w:ascii="Arial" w:hAnsi="Arial"/>
          <w:b/>
          <w:bCs/>
          <w:sz w:val="22"/>
          <w:szCs w:val="22"/>
        </w:rPr>
      </w:r>
    </w:p>
    <w:p>
      <w:pPr>
        <w:pStyle w:val="Default"/>
        <w:jc w:val="both"/>
        <w:rPr/>
      </w:pPr>
      <w:r>
        <w:rPr>
          <w:rFonts w:cs="Arial" w:ascii="Arial" w:hAnsi="Arial"/>
          <w:b/>
          <w:bCs/>
          <w:sz w:val="22"/>
          <w:szCs w:val="22"/>
        </w:rPr>
        <w:t xml:space="preserve">Sexto.- </w:t>
      </w:r>
      <w:r>
        <w:rPr>
          <w:rFonts w:cs="Arial" w:ascii="Arial" w:hAnsi="Arial"/>
          <w:sz w:val="22"/>
          <w:szCs w:val="22"/>
        </w:rPr>
        <w:t>NOTIFICAR este acuerdo a la Agrupación de Defensa Forestal Burriac, a los efectos oportunos.</w:t>
      </w:r>
    </w:p>
    <w:p>
      <w:pPr>
        <w:pStyle w:val="Default"/>
        <w:jc w:val="both"/>
        <w:rPr>
          <w:rFonts w:ascii="Arial" w:hAnsi="Arial" w:cs="Arial"/>
          <w:sz w:val="22"/>
          <w:szCs w:val="22"/>
        </w:rPr>
      </w:pPr>
      <w:r>
        <w:rPr>
          <w:rFonts w:cs="Arial" w:ascii="Arial" w:hAnsi="Arial"/>
          <w:sz w:val="22"/>
          <w:szCs w:val="22"/>
        </w:rPr>
      </w:r>
    </w:p>
    <w:p>
      <w:pPr>
        <w:pStyle w:val="BodyTextIndent2"/>
        <w:ind w:left="0" w:right="0" w:hanging="0"/>
        <w:jc w:val="both"/>
        <w:rPr/>
      </w:pPr>
      <w:r>
        <w:rPr>
          <w:rFonts w:cs="Arial"/>
          <w:b/>
          <w:sz w:val="22"/>
          <w:szCs w:val="22"/>
          <w:lang w:val="ca-ES"/>
        </w:rPr>
        <w:t xml:space="preserve">Séptimo.- </w:t>
      </w:r>
      <w:r>
        <w:rPr>
          <w:rFonts w:cs="Arial"/>
          <w:sz w:val="22"/>
          <w:szCs w:val="22"/>
          <w:lang w:val="ca-ES"/>
        </w:rPr>
        <w:t>TRASLADAR el presente acuerdo al departamento de Servicios Económicos y tesorería municipal.</w:t>
      </w:r>
    </w:p>
    <w:p>
      <w:pPr>
        <w:pStyle w:val="Default"/>
        <w:jc w:val="both"/>
        <w:rPr>
          <w:rFonts w:ascii="Arial" w:hAnsi="Arial" w:cs="Arial"/>
          <w:sz w:val="22"/>
          <w:szCs w:val="22"/>
        </w:rPr>
      </w:pPr>
      <w:r>
        <w:rPr>
          <w:rFonts w:cs="Arial" w:ascii="Arial" w:hAnsi="Arial"/>
          <w:b/>
          <w:sz w:val="22"/>
          <w:szCs w:val="22"/>
        </w:rPr>
        <w:t xml:space="preserve">Octavo </w:t>
      </w:r>
      <w:r>
        <w:rPr>
          <w:rFonts w:cs="Arial" w:ascii="Arial" w:hAnsi="Arial"/>
          <w:sz w:val="22"/>
          <w:szCs w:val="22"/>
        </w:rPr>
        <w:t>.-.DAR CUENTA de esta resolución en la próxima sesión de la Junta de Gobierno Local que se celebre.</w:t>
      </w:r>
    </w:p>
    <w:p>
      <w:pPr>
        <w:pStyle w:val="Default"/>
        <w:jc w:val="both"/>
        <w:rPr>
          <w:rFonts w:ascii="Arial" w:hAnsi="Arial" w:cs="Arial"/>
          <w:sz w:val="22"/>
          <w:szCs w:val="22"/>
        </w:rPr>
      </w:pPr>
      <w:r>
        <w:rPr>
          <w:rFonts w:cs="Arial" w:ascii="Arial" w:hAnsi="Arial"/>
          <w:sz w:val="22"/>
          <w:szCs w:val="22"/>
        </w:rPr>
      </w:r>
    </w:p>
    <w:p>
      <w:pPr>
        <w:pStyle w:val="Default"/>
        <w:jc w:val="both"/>
        <w:rPr>
          <w:rFonts w:ascii="Arial" w:hAnsi="Arial" w:cs="Arial"/>
          <w:sz w:val="22"/>
          <w:szCs w:val="22"/>
        </w:rPr>
      </w:pPr>
      <w:r>
        <w:rPr>
          <w:rFonts w:cs="Arial" w:ascii="Arial" w:hAnsi="Arial"/>
          <w:sz w:val="22"/>
          <w:szCs w:val="22"/>
        </w:rPr>
      </w:r>
    </w:p>
    <w:p>
      <w:pPr>
        <w:pStyle w:val="Default"/>
        <w:jc w:val="both"/>
        <w:rPr>
          <w:rFonts w:ascii="Arial" w:hAnsi="Arial" w:cs="Arial"/>
          <w:sz w:val="22"/>
          <w:szCs w:val="22"/>
        </w:rPr>
      </w:pPr>
      <w:r>
        <w:rPr>
          <w:rFonts w:cs="Arial" w:ascii="Arial" w:hAnsi="Arial"/>
          <w:sz w:val="22"/>
          <w:szCs w:val="22"/>
        </w:rPr>
        <w:t>Cabrils, en la fecha de la firma electrónica.</w:t>
      </w:r>
    </w:p>
    <w:p>
      <w:pPr>
        <w:pStyle w:val="Default"/>
        <w:jc w:val="both"/>
        <w:rPr>
          <w:rFonts w:ascii="Arial" w:hAnsi="Arial" w:cs="Arial"/>
          <w:sz w:val="22"/>
          <w:szCs w:val="22"/>
        </w:rPr>
      </w:pPr>
      <w:r>
        <w:rPr>
          <w:rFonts w:cs="Arial" w:ascii="Arial" w:hAnsi="Arial"/>
          <w:sz w:val="22"/>
          <w:szCs w:val="22"/>
        </w:rPr>
      </w:r>
    </w:p>
    <w:p>
      <w:pPr>
        <w:pStyle w:val="Default"/>
        <w:jc w:val="both"/>
        <w:rPr>
          <w:rFonts w:ascii="Arial" w:hAnsi="Arial" w:cs="Arial"/>
          <w:sz w:val="22"/>
          <w:szCs w:val="22"/>
        </w:rPr>
      </w:pPr>
      <w:r>
        <w:rPr>
          <w:rFonts w:cs="Arial" w:ascii="Arial" w:hAnsi="Arial"/>
          <w:sz w:val="22"/>
          <w:szCs w:val="22"/>
        </w:rPr>
      </w:r>
    </w:p>
    <w:p>
      <w:pPr>
        <w:pStyle w:val="Default"/>
        <w:jc w:val="both"/>
        <w:rPr>
          <w:rFonts w:ascii="Arial" w:hAnsi="Arial" w:cs="Arial"/>
          <w:sz w:val="22"/>
          <w:szCs w:val="22"/>
        </w:rPr>
      </w:pPr>
      <w:r>
        <w:rPr>
          <w:rFonts w:cs="Arial" w:ascii="Arial" w:hAnsi="Arial"/>
          <w:sz w:val="22"/>
          <w:szCs w:val="22"/>
        </w:rPr>
        <w:tab/>
        <w:tab/>
        <w:tab/>
        <w:tab/>
        <w:tab/>
        <w:tab/>
        <w:tab/>
        <w:tab/>
      </w:r>
    </w:p>
    <w:p>
      <w:pPr>
        <w:pStyle w:val="Default"/>
        <w:jc w:val="both"/>
        <w:rPr/>
      </w:pPr>
      <w:r>
        <w:rPr>
          <w:rFonts w:cs="Arial" w:ascii="Arial" w:hAnsi="Arial"/>
          <w:sz w:val="22"/>
          <w:szCs w:val="22"/>
        </w:rPr>
        <w:tab/>
        <w:tab/>
        <w:tab/>
        <w:tab/>
        <w:tab/>
        <w:tab/>
        <w:tab/>
        <w:tab/>
        <w:t>Doy fe,</w:t>
      </w:r>
    </w:p>
    <w:p>
      <w:pPr>
        <w:pStyle w:val="Default"/>
        <w:jc w:val="both"/>
        <w:rPr>
          <w:rFonts w:ascii="Arial" w:hAnsi="Arial" w:cs="Arial"/>
          <w:sz w:val="22"/>
          <w:szCs w:val="22"/>
        </w:rPr>
      </w:pPr>
      <w:r>
        <w:rPr>
          <w:rFonts w:cs="Arial" w:ascii="Arial" w:hAnsi="Arial"/>
          <w:sz w:val="22"/>
          <w:szCs w:val="22"/>
        </w:rPr>
        <w:t xml:space="preserve">La alcaldesa </w:t>
        <w:tab/>
        <w:tab/>
        <w:tab/>
        <w:tab/>
        <w:tab/>
        <w:tab/>
        <w:tab/>
        <w:t>El secretario acctal.</w:t>
      </w:r>
    </w:p>
    <w:p>
      <w:pPr>
        <w:pStyle w:val="Default"/>
        <w:jc w:val="both"/>
        <w:rPr>
          <w:rFonts w:ascii="Arial" w:hAnsi="Arial" w:cs="Arial"/>
          <w:sz w:val="22"/>
          <w:szCs w:val="22"/>
        </w:rPr>
      </w:pPr>
      <w:r>
        <w:rPr>
          <w:rFonts w:cs="Arial" w:ascii="Arial" w:hAnsi="Arial"/>
          <w:sz w:val="22"/>
          <w:szCs w:val="22"/>
        </w:rPr>
        <w:t xml:space="preserve">Maite Viñals Clemente </w:t>
        <w:tab/>
        <w:tab/>
        <w:tab/>
        <w:tab/>
        <w:tab/>
        <w:t>Samuel Lara Gómez</w:t>
      </w:r>
    </w:p>
    <w:p>
      <w:pPr>
        <w:pStyle w:val="Cuerpodetexto"/>
        <w:rPr>
          <w:rFonts w:ascii="Arial" w:hAnsi="Arial" w:cs="Arial"/>
          <w:sz w:val="22"/>
          <w:szCs w:val="22"/>
          <w:lang w:val="ca-ES"/>
        </w:rPr>
      </w:pPr>
      <w:r>
        <w:rPr>
          <w:rFonts w:cs="Arial"/>
          <w:sz w:val="22"/>
          <w:szCs w:val="22"/>
          <w:lang w:val="ca-ES"/>
        </w:rPr>
      </w:r>
    </w:p>
    <w:p>
      <w:pPr>
        <w:pStyle w:val="Normal"/>
        <w:spacing w:before="0" w:after="120"/>
        <w:rPr>
          <w:rFonts w:cs="Arial"/>
          <w:sz w:val="22"/>
          <w:szCs w:val="22"/>
          <w:lang w:val="ca-ES"/>
        </w:rPr>
      </w:pPr>
      <w:r>
        <w:rPr/>
      </w:r>
    </w:p>
    <w:sectPr>
      <w:headerReference w:type="default" r:id="rId2"/>
      <w:footerReference w:type="default" r:id="rId3"/>
      <w:type w:val="nextPage"/>
      <w:pgSz w:w="11906" w:h="16838"/>
      <w:pgMar w:left="1417" w:right="1417" w:gutter="0" w:header="567" w:top="1809" w:footer="567" w:bottom="1276"/>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Unicode MS">
    <w:altName w:val="Times New Roman"/>
    <w:charset w:val="00"/>
    <w:family w:val="swiss"/>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drawing>
        <wp:inline distT="0" distB="0" distL="0" distR="0">
          <wp:extent cx="5394960" cy="269240"/>
          <wp:effectExtent l="0" t="0" r="0" b="0"/>
          <wp:docPr id="6"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1" descr=""/>
                  <pic:cNvPicPr>
                    <a:picLocks noChangeAspect="1" noChangeArrowheads="1"/>
                  </pic:cNvPicPr>
                </pic:nvPicPr>
                <pic:blipFill>
                  <a:blip r:embed="rId1"/>
                  <a:srcRect l="-16" t="-315" r="-16" b="-315"/>
                  <a:stretch>
                    <a:fillRect/>
                  </a:stretch>
                </pic:blipFill>
                <pic:spPr bwMode="auto">
                  <a:xfrm>
                    <a:off x="0" y="0"/>
                    <a:ext cx="5394960" cy="26924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600200" cy="698500"/>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63" t="-144" r="-63" b="-144"/>
                  <a:stretch>
                    <a:fillRect/>
                  </a:stretch>
                </pic:blipFill>
                <pic:spPr bwMode="auto">
                  <a:xfrm>
                    <a:off x="0" y="0"/>
                    <a:ext cx="1600200" cy="698500"/>
                  </a:xfrm>
                  <a:prstGeom prst="rect">
                    <a:avLst/>
                  </a:prstGeom>
                </pic:spPr>
              </pic:pic>
            </a:graphicData>
          </a:graphic>
        </wp:inline>
      </w:drawing>
    </w:r>
    <w:r>
      <w:rPr/>
      <w:drawing>
        <wp:inline distT="0" distB="0" distL="0" distR="0">
          <wp:extent cx="34290" cy="35560"/>
          <wp:effectExtent l="0" t="0" r="0" b="0"/>
          <wp:docPr id="2"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3" descr=""/>
                  <pic:cNvPicPr>
                    <a:picLocks noChangeAspect="1" noChangeArrowheads="1"/>
                  </pic:cNvPicPr>
                </pic:nvPicPr>
                <pic:blipFill>
                  <a:blip r:embed="rId2"/>
                  <a:srcRect l="-13" t="-252" r="-13" b="-252"/>
                  <a:stretch>
                    <a:fillRect/>
                  </a:stretch>
                </pic:blipFill>
                <pic:spPr bwMode="auto">
                  <a:xfrm>
                    <a:off x="0" y="0"/>
                    <a:ext cx="34290" cy="35560"/>
                  </a:xfrm>
                  <a:prstGeom prst="rect">
                    <a:avLst/>
                  </a:prstGeom>
                </pic:spPr>
              </pic:pic>
            </a:graphicData>
          </a:graphic>
        </wp:inline>
      </w:drawing>
    </w:r>
    <w:r>
      <w:rPr/>
      <w:drawing>
        <wp:inline distT="0" distB="0" distL="0" distR="0">
          <wp:extent cx="36830" cy="35560"/>
          <wp:effectExtent l="0" t="0" r="0" b="0"/>
          <wp:docPr id="3"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4" descr=""/>
                  <pic:cNvPicPr>
                    <a:picLocks noChangeAspect="1" noChangeArrowheads="1"/>
                  </pic:cNvPicPr>
                </pic:nvPicPr>
                <pic:blipFill>
                  <a:blip r:embed="rId3"/>
                  <a:srcRect l="-50" t="-115" r="-50" b="-115"/>
                  <a:stretch>
                    <a:fillRect/>
                  </a:stretch>
                </pic:blipFill>
                <pic:spPr bwMode="auto">
                  <a:xfrm>
                    <a:off x="0" y="0"/>
                    <a:ext cx="36830" cy="35560"/>
                  </a:xfrm>
                  <a:prstGeom prst="rect">
                    <a:avLst/>
                  </a:prstGeom>
                </pic:spPr>
              </pic:pic>
            </a:graphicData>
          </a:graphic>
        </wp:inline>
      </w:drawing>
    </w:r>
    <w:r>
      <w:rPr/>
      <w:drawing>
        <wp:inline distT="0" distB="0" distL="0" distR="0">
          <wp:extent cx="34290" cy="35560"/>
          <wp:effectExtent l="0" t="0" r="0" b="0"/>
          <wp:docPr id="4" name="Imagen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5" descr=""/>
                  <pic:cNvPicPr>
                    <a:picLocks noChangeAspect="1" noChangeArrowheads="1"/>
                  </pic:cNvPicPr>
                </pic:nvPicPr>
                <pic:blipFill>
                  <a:blip r:embed="rId4"/>
                  <a:srcRect l="-13" t="-252" r="-13" b="-252"/>
                  <a:stretch>
                    <a:fillRect/>
                  </a:stretch>
                </pic:blipFill>
                <pic:spPr bwMode="auto">
                  <a:xfrm>
                    <a:off x="0" y="0"/>
                    <a:ext cx="34290" cy="35560"/>
                  </a:xfrm>
                  <a:prstGeom prst="rect">
                    <a:avLst/>
                  </a:prstGeom>
                </pic:spPr>
              </pic:pic>
            </a:graphicData>
          </a:graphic>
        </wp:inline>
      </w:drawing>
    </w:r>
    <w:r>
      <w:rPr/>
      <w:drawing>
        <wp:inline distT="0" distB="0" distL="0" distR="0">
          <wp:extent cx="36830" cy="35560"/>
          <wp:effectExtent l="0" t="0" r="0" b="0"/>
          <wp:docPr id="5" name="Imagen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6" descr=""/>
                  <pic:cNvPicPr>
                    <a:picLocks noChangeAspect="1" noChangeArrowheads="1"/>
                  </pic:cNvPicPr>
                </pic:nvPicPr>
                <pic:blipFill>
                  <a:blip r:embed="rId5"/>
                  <a:srcRect l="-50" t="-115" r="-50" b="-115"/>
                  <a:stretch>
                    <a:fillRect/>
                  </a:stretch>
                </pic:blipFill>
                <pic:spPr bwMode="auto">
                  <a:xfrm>
                    <a:off x="0" y="0"/>
                    <a:ext cx="36830" cy="3556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30"/>
  <w:displayBackgroundShape/>
  <w:revisionView w:insDel="0" w:formatting="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Arial" w:hAnsi="Arial" w:eastAsia="DejaVu Sans" w:cs="DejaVu Sans"/>
      <w:color w:val="auto"/>
      <w:kern w:val="0"/>
      <w:sz w:val="20"/>
      <w:szCs w:val="24"/>
      <w:lang w:val="es-ES" w:eastAsia="zh-CN" w:bidi="hi-IN"/>
    </w:rPr>
  </w:style>
  <w:style w:type="paragraph" w:styleId="Ttulo1">
    <w:name w:val="Heading 1"/>
    <w:basedOn w:val="Ttulo"/>
    <w:next w:val="Cuerpodetexto"/>
    <w:qFormat/>
    <w:pPr>
      <w:numPr>
        <w:ilvl w:val="0"/>
        <w:numId w:val="1"/>
      </w:numPr>
      <w:shd w:val="clear" w:fill="EEEEEE"/>
      <w:outlineLvl w:val="0"/>
    </w:pPr>
    <w:rPr>
      <w:rFonts w:ascii="Liberation Sans Unicode MS;Times New Roman" w:hAnsi="Liberation Sans Unicode MS;Times New Roman" w:cs="Liberation Sans Unicode MS;Times New Roman"/>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uentedeprrafopredeter">
    <w:name w:val="Fuente de párrafo predeter."/>
    <w:qFormat/>
    <w:rPr/>
  </w:style>
  <w:style w:type="character" w:styleId="EndnoteCharacters">
    <w:name w:val="Endnote Characters"/>
    <w:qFormat/>
    <w:rPr/>
  </w:style>
  <w:style w:type="character" w:styleId="FootnoteCharacters">
    <w:name w:val="Footnote Characters"/>
    <w:qFormat/>
    <w:rPr/>
  </w:style>
  <w:style w:type="character" w:styleId="EnlacedeInternet">
    <w:name w:val="Enlace de Internet"/>
    <w:rPr>
      <w:color w:val="000080"/>
      <w:u w:val="single"/>
    </w:rPr>
  </w:style>
  <w:style w:type="character" w:styleId="DefaultParagraphFont">
    <w:name w:val="Default Paragraph Font"/>
    <w:qFormat/>
    <w:rPr/>
  </w:style>
  <w:style w:type="character" w:styleId="TextoindependienteCar">
    <w:name w:val="Texto independiente Car"/>
    <w:qFormat/>
    <w:rPr>
      <w:sz w:val="24"/>
    </w:rPr>
  </w:style>
  <w:style w:type="character" w:styleId="EncabezadoCar">
    <w:name w:val="Encabezado Car"/>
    <w:qFormat/>
    <w:rPr>
      <w:sz w:val="24"/>
    </w:rPr>
  </w:style>
  <w:style w:type="character" w:styleId="PiedepginaCar">
    <w:name w:val="Pie de página Car"/>
    <w:qFormat/>
    <w:rPr>
      <w:sz w:val="24"/>
    </w:rPr>
  </w:style>
  <w:style w:type="character" w:styleId="Sangra2detindependienteCar">
    <w:name w:val="Sangría 2 de t. independiente Car"/>
    <w:qFormat/>
    <w:rPr>
      <w:sz w:val="24"/>
    </w:rPr>
  </w:style>
  <w:style w:type="paragraph" w:styleId="Ttulo">
    <w:name w:val="Título"/>
    <w:basedOn w:val="Normal"/>
    <w:next w:val="Cuerpodetexto"/>
    <w:qFormat/>
    <w:pPr>
      <w:keepNext w:val="true"/>
      <w:spacing w:before="240" w:after="283"/>
    </w:pPr>
    <w:rPr>
      <w:rFonts w:ascii="Liberation Sans" w:hAnsi="Liberation Sans" w:cs="Liberation Sans"/>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11">
    <w:name w:val="Título1"/>
    <w:basedOn w:val="Normal"/>
    <w:next w:val="Cuerpodetexto"/>
    <w:qFormat/>
    <w:pPr>
      <w:keepNext w:val="true"/>
      <w:spacing w:before="240" w:after="120"/>
    </w:pPr>
    <w:rPr>
      <w:rFonts w:ascii="Liberation Sans" w:hAnsi="Liberation Sans" w:eastAsia="Microsoft YaHei" w:cs="Lucida Sans"/>
      <w:sz w:val="28"/>
      <w:szCs w:val="28"/>
    </w:rPr>
  </w:style>
  <w:style w:type="paragraph" w:styleId="Epgrafe">
    <w:name w:val="Epígrafe"/>
    <w:basedOn w:val="Normal"/>
    <w:qFormat/>
    <w:pPr>
      <w:suppressLineNumbers/>
      <w:spacing w:before="120" w:after="120"/>
    </w:pPr>
    <w:rPr>
      <w:rFonts w:cs="Lucida Sans"/>
      <w:i/>
      <w:iCs/>
      <w:sz w:val="24"/>
      <w:szCs w:val="24"/>
    </w:rPr>
  </w:style>
  <w:style w:type="paragraph" w:styleId="Lneahorizontal">
    <w:name w:val="Línea horizontal"/>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Contenidodelatabla">
    <w:name w:val="Contenido de la tabla"/>
    <w:basedOn w:val="Cuerpodetexto"/>
    <w:qFormat/>
    <w:pPr>
      <w:spacing w:before="0" w:after="0"/>
    </w:pPr>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Cabeceraypie"/>
    <w:pPr>
      <w:suppressLineNumbers/>
    </w:pPr>
    <w:rPr/>
  </w:style>
  <w:style w:type="paragraph" w:styleId="Piedepgina">
    <w:name w:val="Footer"/>
    <w:basedOn w:val="Cabeceraypie"/>
    <w:pPr>
      <w:suppressLineNumbers/>
    </w:pPr>
    <w:rPr/>
  </w:style>
  <w:style w:type="paragraph" w:styleId="NormalTable">
    <w:name w:val="Normal Table"/>
    <w:qFormat/>
    <w:pPr>
      <w:widowControl/>
      <w:suppressAutoHyphens w:val="true"/>
      <w:bidi w:val="0"/>
      <w:spacing w:before="0" w:after="0"/>
      <w:jc w:val="left"/>
    </w:pPr>
    <w:rPr>
      <w:rFonts w:ascii="Times New Roman" w:hAnsi="Times New Roman" w:eastAsia="Lucida Sans Unicode" w:cs="Times New Roman"/>
      <w:color w:val="auto"/>
      <w:kern w:val="0"/>
      <w:sz w:val="20"/>
      <w:szCs w:val="20"/>
      <w:lang w:val="es-ES" w:eastAsia="zh-CN" w:bidi="ar-SA"/>
    </w:rPr>
  </w:style>
  <w:style w:type="paragraph" w:styleId="Default">
    <w:name w:val="Default"/>
    <w:qFormat/>
    <w:pPr>
      <w:widowControl/>
      <w:suppressAutoHyphens w:val="true"/>
      <w:bidi w:val="0"/>
      <w:spacing w:before="0" w:after="0"/>
      <w:jc w:val="left"/>
    </w:pPr>
    <w:rPr>
      <w:rFonts w:ascii="Liberation Sans" w:hAnsi="Liberation Sans" w:eastAsia="Lucida Sans Unicode" w:cs="Liberation Sans"/>
      <w:color w:val="000000"/>
      <w:kern w:val="0"/>
      <w:sz w:val="24"/>
      <w:szCs w:val="24"/>
      <w:lang w:val="es-ES" w:eastAsia="zh-CN" w:bidi="ar-SA"/>
    </w:rPr>
  </w:style>
  <w:style w:type="paragraph" w:styleId="BodyTextIndent2">
    <w:name w:val="Body Text Indent 2"/>
    <w:basedOn w:val="Normal"/>
    <w:qFormat/>
    <w:pPr>
      <w:spacing w:lineRule="auto" w:line="480" w:before="0" w:after="120"/>
      <w:ind w:left="283" w:right="0" w:hanging="0"/>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Normal_x005F_x0000_</Template>
  <TotalTime>2</TotalTime>
  <Application>LibreOffice/7.2.6.2$Windows_X86_64 LibreOffice_project/b0ec3a565991f7569a5a7f5d24fed7f52653d754</Application>
  <AppVersion>15.0000</AppVersion>
  <Pages>3</Pages>
  <Words>809</Words>
  <Characters>4364</Characters>
  <CharactersWithSpaces>5164</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2023-05-05T10:56:00Z</dcterms:created>
  <dc:creator>Ariadna</dc:creator>
  <dc:description/>
  <dc:language>es-ES</dc:language>
  <cp:lastModifiedBy>Ariadna</cp:lastModifiedBy>
  <cp:lastPrinted>1995-11-21T17:41:00Z</cp:lastPrinted>
  <dcterms:modified xsi:type="dcterms:W3CDTF">2023-05-05T10:57:00Z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