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Style w:val="Hps"/>
          <w:rFonts w:ascii="Arial" w:hAnsi="Arial" w:cs="Arial"/>
          <w:b/>
          <w:b/>
          <w:color w:val="333333"/>
          <w:sz w:val="20"/>
          <w:szCs w:val="20"/>
        </w:rPr>
      </w:pPr>
      <w:bookmarkStart w:id="0" w:name="_GoBack"/>
      <w:bookmarkEnd w:id="0"/>
      <w:r>
        <w:rPr>
          <w:rStyle w:val="Hps"/>
          <w:rFonts w:cs="Arial" w:ascii="Arial" w:hAnsi="Arial"/>
          <w:b/>
          <w:color w:val="333333"/>
          <w:sz w:val="20"/>
          <w:szCs w:val="20"/>
        </w:rPr>
        <w:t>ANUNCIO</w:t>
      </w:r>
    </w:p>
    <w:p>
      <w:pPr>
        <w:pStyle w:val="Normal"/>
        <w:jc w:val="center"/>
        <w:rPr>
          <w:rStyle w:val="Hps"/>
          <w:rFonts w:ascii="Arial" w:hAnsi="Arial" w:cs="Arial"/>
          <w:b/>
          <w:b/>
          <w:color w:val="333333"/>
          <w:sz w:val="20"/>
          <w:szCs w:val="20"/>
        </w:rPr>
      </w:pPr>
      <w:r>
        <w:rPr>
          <w:rFonts w:cs="Arial" w:ascii="Arial" w:hAnsi="Arial"/>
          <w:b/>
          <w:color w:val="333333"/>
          <w:sz w:val="20"/>
          <w:szCs w:val="20"/>
        </w:rPr>
      </w:r>
    </w:p>
    <w:p>
      <w:pPr>
        <w:pStyle w:val="Normal"/>
        <w:rPr>
          <w:rFonts w:ascii="Arial" w:hAnsi="Arial" w:eastAsia="Arial" w:cs="Arial"/>
          <w:color w:val="000000"/>
          <w:sz w:val="20"/>
          <w:szCs w:val="20"/>
        </w:rPr>
      </w:pPr>
      <w:r>
        <w:rPr>
          <w:rFonts w:eastAsia="Arial" w:cs="Arial" w:ascii="Arial" w:hAnsi="Arial"/>
          <w:color w:val="000000"/>
          <w:sz w:val="20"/>
          <w:szCs w:val="20"/>
        </w:rPr>
        <w:t>La Junta de Gobierno Local del Ayuntamiento de Cabrils, en sesión ordinaria de fecha 5 de abril de 2023, aprobó lo que literalmente se transcribe:</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eastAsia="DejaVu Sans" w:cs="Arial"/>
          <w:sz w:val="20"/>
          <w:szCs w:val="20"/>
          <w:lang w:val="es-ES" w:eastAsia="zh-CN" w:bidi="hi-IN"/>
        </w:rPr>
      </w:pPr>
      <w:r>
        <w:rPr>
          <w:rFonts w:eastAsia="Arial" w:cs="Arial" w:ascii="Arial" w:hAnsi="Arial"/>
          <w:color w:val="000000"/>
          <w:sz w:val="20"/>
          <w:szCs w:val="20"/>
        </w:rPr>
        <w:t xml:space="preserve">Expediente </w:t>
      </w:r>
      <w:r>
        <w:rPr>
          <w:rFonts w:eastAsia="DejaVu Sans" w:cs="Arial" w:ascii="Arial" w:hAnsi="Arial"/>
          <w:b/>
          <w:sz w:val="20"/>
          <w:szCs w:val="20"/>
          <w:lang w:val="es-ES" w:eastAsia="zh-CN" w:bidi="hi-IN"/>
        </w:rPr>
        <w:t xml:space="preserve">: </w:t>
      </w:r>
      <w:r>
        <w:rPr>
          <w:rFonts w:eastAsia="DejaVu Sans" w:cs="Arial" w:ascii="Arial" w:hAnsi="Arial"/>
          <w:sz w:val="20"/>
          <w:szCs w:val="20"/>
          <w:lang w:val="es-ES" w:eastAsia="zh-CN" w:bidi="hi-IN"/>
        </w:rPr>
        <w:t>1172/2023</w:t>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b/>
          <w:sz w:val="20"/>
          <w:szCs w:val="20"/>
          <w:lang w:val="es-ES" w:eastAsia="zh-CN" w:bidi="hi-IN"/>
        </w:rPr>
        <w:t xml:space="preserve">Asunto: </w:t>
      </w:r>
      <w:r>
        <w:rPr>
          <w:rFonts w:eastAsia="DejaVu Sans" w:cs="Arial" w:ascii="Arial" w:hAnsi="Arial"/>
          <w:sz w:val="20"/>
          <w:szCs w:val="20"/>
          <w:lang w:val="es-ES" w:eastAsia="zh-CN" w:bidi="hi-IN"/>
        </w:rPr>
        <w:t>Aprobación de la convocatoria y bases específicas para el otorgamiento de subvenciones, mediante el procedimiento de concurrencia competitiva.</w:t>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t>ANTECEDENTES</w:t>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b/>
          <w:sz w:val="20"/>
          <w:szCs w:val="20"/>
          <w:lang w:val="es-ES" w:eastAsia="zh-CN" w:bidi="hi-IN"/>
        </w:rPr>
        <w:t xml:space="preserve">Único- </w:t>
      </w:r>
      <w:r>
        <w:rPr>
          <w:rFonts w:eastAsia="DejaVu Sans" w:cs="Arial" w:ascii="Arial" w:hAnsi="Arial"/>
          <w:sz w:val="20"/>
          <w:szCs w:val="20"/>
          <w:lang w:val="es-ES" w:eastAsia="zh-CN" w:bidi="hi-IN"/>
        </w:rPr>
        <w:t>La Concejalía de participación y regeneración institucional ha emitido memoria que consta incorporada en el expediente donde se propone aprobar la convocatoria y las bases específicas para la concesión de subvenciones a entidades para el año 2023. Se mantiene, según se indica en la memoria, el mismo procedimiento empleado la próxima anualidad dada la buena respuesta</w:t>
      </w:r>
      <w:r>
        <w:rPr>
          <w:rFonts w:eastAsia="DejaVu Sans" w:cs="Arial" w:ascii="Arial" w:hAnsi="Arial"/>
          <w:i/>
          <w:sz w:val="20"/>
          <w:szCs w:val="20"/>
          <w:lang w:val="es-ES" w:eastAsia="zh-CN" w:bidi="hi-IN"/>
        </w:rPr>
        <w:t xml:space="preserve"> </w:t>
      </w:r>
      <w:r>
        <w:rPr>
          <w:rFonts w:eastAsia="DejaVu Sans" w:cs="Arial" w:ascii="Arial" w:hAnsi="Arial"/>
          <w:sz w:val="20"/>
          <w:szCs w:val="20"/>
          <w:lang w:val="es-ES" w:eastAsia="zh-CN" w:bidi="hi-IN"/>
        </w:rPr>
        <w:t>que se recibió por parte de las entidades.</w:t>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t>FUNDAMENTOS DE DERECHO</w:t>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b/>
          <w:sz w:val="20"/>
          <w:szCs w:val="20"/>
          <w:lang w:val="es-ES" w:eastAsia="zh-CN" w:bidi="hi-IN"/>
        </w:rPr>
        <w:t xml:space="preserve">1- </w:t>
      </w:r>
      <w:r>
        <w:rPr>
          <w:rFonts w:eastAsia="DejaVu Sans" w:cs="Arial" w:ascii="Arial" w:hAnsi="Arial"/>
          <w:sz w:val="20"/>
          <w:szCs w:val="20"/>
          <w:lang w:val="es-ES" w:eastAsia="zh-CN" w:bidi="hi-IN"/>
        </w:rPr>
        <w:t>Las bases reguladoras de las subvenciones de las Corporaciones Locales se aprueban en el marco, entre otros, de una ordenanza general de subvenciones como se dispone en el artículo 17.2 de la Ley 38/2003, de 17 de noviembre , General de Subvenciones ( en adelante LGS). En esta tesitura, el Pleno del Ayuntamiento de Cabrils en sesión ordinaria de 25 de marzo de 2010 acordó aprobar la ordenanza general de subvenciones que regula y fija los criterios y procedimiento a seguir para su solicitud, concesión, justificación y pago de suvenciones del Ayuntamiento.</w:t>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b/>
          <w:sz w:val="20"/>
          <w:szCs w:val="20"/>
          <w:lang w:val="es-ES" w:eastAsia="zh-CN" w:bidi="hi-IN"/>
        </w:rPr>
        <w:t xml:space="preserve">2- </w:t>
      </w:r>
      <w:r>
        <w:rPr>
          <w:rFonts w:eastAsia="DejaVu Sans" w:cs="Arial" w:ascii="Arial" w:hAnsi="Arial"/>
          <w:sz w:val="20"/>
          <w:szCs w:val="20"/>
          <w:lang w:val="es-ES" w:eastAsia="zh-CN" w:bidi="hi-IN"/>
        </w:rPr>
        <w:t>A diferencia de las bases reguladoras de las subvenciones que tienen una naturaleza reglamentaria como puede desprenderse del artículo 17.2 de la LGS, la convocatoria es un acto administrativo plúrimo puesto que va dirigido a una pluralidad indeterminada de sujetos y puede incluir, de acuerdo con el artículo 23.2ª) LGS, las bases específicas de la convocatoria, como es el caso. El hecho de que no comparta la naturaleza de norma reglamentaria con vocación de generalidad y permanencia determina que la convocatoria, a la que puede incorporarse las bases específicas, no deba seguir el procedimiento de aprobación bifásico propio de las normas de naturaleza reglamentaria.</w:t>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b/>
          <w:sz w:val="20"/>
          <w:szCs w:val="20"/>
          <w:lang w:val="es-ES" w:eastAsia="zh-CN" w:bidi="hi-IN"/>
        </w:rPr>
        <w:t xml:space="preserve">3- </w:t>
      </w:r>
      <w:r>
        <w:rPr>
          <w:rFonts w:eastAsia="DejaVu Sans" w:cs="Arial" w:ascii="Arial" w:hAnsi="Arial"/>
          <w:sz w:val="20"/>
          <w:szCs w:val="20"/>
          <w:lang w:val="es-ES" w:eastAsia="zh-CN" w:bidi="hi-IN"/>
        </w:rPr>
        <w:t>La competencia por la adopción de este acuerdo corresponde a la Junta de Gobierno Local por delegación efectuada por la Alcaldesa de esta Alcaldía, mediante el Decreto de Alcaldía núm 757/2019, de fecha 19 de junio de 2019 ( BOP CVE2019022852 de fecha 28 de junio de 2019).</w:t>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t>CONCLUSIONES</w:t>
      </w:r>
    </w:p>
    <w:p>
      <w:pPr>
        <w:pStyle w:val="Normal"/>
        <w:widowControl w:val="false"/>
        <w:suppressAutoHyphens w:val="true"/>
        <w:jc w:val="both"/>
        <w:rPr>
          <w:rFonts w:ascii="Arial" w:hAnsi="Arial" w:eastAsia="DejaVu Sans" w:cs="Arial"/>
          <w:b/>
          <w:b/>
          <w:sz w:val="20"/>
          <w:szCs w:val="20"/>
          <w:lang w:val="es-ES" w:eastAsia="zh-CN" w:bidi="hi-IN"/>
        </w:rPr>
      </w:pPr>
      <w:r>
        <w:rPr>
          <w:rFonts w:eastAsia="DejaVu Sans" w:cs="Arial" w:ascii="Arial" w:hAnsi="Arial"/>
          <w:b/>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t>Por todo lo expuesto, se propone a la Junta de Gobierno Local la adopción de los siguientes:</w:t>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b/>
          <w:sz w:val="20"/>
          <w:szCs w:val="20"/>
          <w:lang w:val="es-ES" w:eastAsia="zh-CN" w:bidi="hi-IN"/>
        </w:rPr>
        <w:t>ACUERDO</w:t>
      </w:r>
    </w:p>
    <w:p>
      <w:pPr>
        <w:pStyle w:val="Normal"/>
        <w:widowControl w:val="false"/>
        <w:suppressAutoHyphens w:val="true"/>
        <w:jc w:val="both"/>
        <w:rPr>
          <w:rFonts w:ascii="Arial" w:hAnsi="Arial" w:eastAsia="DejaVu Sans" w:cs="Arial"/>
          <w:sz w:val="20"/>
          <w:szCs w:val="20"/>
          <w:lang w:val="es-ES" w:eastAsia="zh-CN" w:bidi="hi-IN"/>
        </w:rPr>
      </w:pPr>
      <w:r>
        <w:rPr>
          <w:rFonts w:eastAsia="DejaVu Sans" w:cs="Arial" w:ascii="Arial" w:hAnsi="Arial"/>
          <w:sz w:val="20"/>
          <w:szCs w:val="20"/>
          <w:lang w:val="es-ES" w:eastAsia="zh-CN" w:bidi="hi-IN"/>
        </w:rPr>
      </w:r>
    </w:p>
    <w:p>
      <w:pPr>
        <w:pStyle w:val="Normal"/>
        <w:suppressAutoHyphens w:val="true"/>
        <w:jc w:val="both"/>
        <w:rPr>
          <w:rFonts w:ascii="Arial" w:hAnsi="Arial" w:eastAsia="NSimSun" w:cs="Arial"/>
          <w:color w:val="000000"/>
          <w:sz w:val="20"/>
          <w:szCs w:val="20"/>
          <w:lang w:eastAsia="zh-CN" w:bidi="hi-IN"/>
        </w:rPr>
      </w:pPr>
      <w:r>
        <w:rPr>
          <w:rFonts w:eastAsia="NSimSun" w:cs="Arial" w:ascii="Arial" w:hAnsi="Arial"/>
          <w:b/>
          <w:color w:val="000000"/>
          <w:sz w:val="20"/>
          <w:szCs w:val="20"/>
          <w:lang w:eastAsia="zh-CN" w:bidi="hi-IN"/>
        </w:rPr>
        <w:t xml:space="preserve">Primero.- </w:t>
      </w:r>
      <w:r>
        <w:rPr>
          <w:rFonts w:eastAsia="NSimSun" w:cs="Arial" w:ascii="Arial" w:hAnsi="Arial"/>
          <w:color w:val="000000"/>
          <w:sz w:val="20"/>
          <w:szCs w:val="20"/>
          <w:lang w:eastAsia="zh-CN" w:bidi="hi-IN"/>
        </w:rPr>
        <w:t>APROBAR la convocatoria y las bases específicas para el otorgamiento de subvenciones mediante el procedimiento de concurrencia competitiva cuyo literal es el siguiente:</w:t>
      </w:r>
    </w:p>
    <w:p>
      <w:pPr>
        <w:pStyle w:val="Normal"/>
        <w:suppressAutoHyphens w:val="true"/>
        <w:jc w:val="both"/>
        <w:rPr>
          <w:rFonts w:ascii="Arial" w:hAnsi="Arial" w:eastAsia="NSimSun" w:cs="Arial"/>
          <w:color w:val="000000"/>
          <w:sz w:val="20"/>
          <w:szCs w:val="20"/>
          <w:lang w:eastAsia="zh-CN" w:bidi="hi-IN"/>
        </w:rPr>
      </w:pPr>
      <w:r>
        <w:rPr>
          <w:rFonts w:eastAsia="NSimSun" w:cs="Arial" w:ascii="Arial" w:hAnsi="Arial"/>
          <w:color w:val="000000"/>
          <w:sz w:val="20"/>
          <w:szCs w:val="20"/>
          <w:lang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sz w:val="20"/>
          <w:szCs w:val="20"/>
          <w:lang w:val="es-ES" w:eastAsia="zh-CN" w:bidi="hi-IN"/>
        </w:rPr>
        <w:t xml:space="preserve">CONVOCATORIA </w:t>
      </w:r>
      <w:r>
        <w:rPr>
          <w:rFonts w:eastAsia="Arial" w:cs="Arial" w:ascii="Arial" w:hAnsi="Arial"/>
          <w:b/>
          <w:i/>
          <w:sz w:val="20"/>
          <w:szCs w:val="20"/>
          <w:lang w:val="es-ES" w:eastAsia="zh-CN" w:bidi="hi-IN"/>
        </w:rPr>
        <w:t>Y BASES ESPECÍFICAS PARA LA CONCESIÓN DE SUBVENCIONES A ENTIDADES – año 2023</w:t>
      </w:r>
    </w:p>
    <w:p>
      <w:pPr>
        <w:pStyle w:val="Normal"/>
        <w:widowControl w:val="false"/>
        <w:suppressAutoHyphens w:val="true"/>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suppressAutoHyphens w:val="true"/>
        <w:spacing w:before="208"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Disposiciones generales</w:t>
      </w:r>
    </w:p>
    <w:p>
      <w:pPr>
        <w:pStyle w:val="Normal"/>
        <w:widowControl w:val="false"/>
        <w:suppressAutoHyphens w:val="true"/>
        <w:spacing w:before="8"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suppressAutoHyphens w:val="true"/>
        <w:ind w:right="156"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Ayuntamiento de Cabrils desarrolla diversas acciones en materia de apoyo a las actividades generadas por la sociedad y para el fomento y mejora de los intereses de los vecinos y vecinas de Cabrils, entre las que se encuentran las subvenciones a entidades y asociaciones del municipio.</w:t>
      </w:r>
    </w:p>
    <w:p>
      <w:pPr>
        <w:pStyle w:val="Normal"/>
        <w:widowControl w:val="false"/>
        <w:suppressAutoHyphens w:val="true"/>
        <w:spacing w:before="9"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1" w:after="0"/>
        <w:ind w:right="162"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Serán de aplicación a esta convocatoria y bases específicas la Ley 38/2003, de 17 de noviembre, general de subvenciones, el Real decreto 887/2006, de 21 de julio, por el que se aprueba el Reglamento de la indicada Ley y 'Ordenanza general de subvenciones del Ayuntamiento de Cabrils, y las Bases de ejecución del Presupuesto 2023, entre otros.</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1" w:after="0"/>
        <w:ind w:right="162"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Índice</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1. Objeto</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2. Finalidad</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3. Actividades y gastos subvencionables</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4. Régimen jurídico</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5.Procedimiento de concesión de la subvención.</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6. Beneficiarios</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7. Solicitudes</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8. Criterios de valoración</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9. Comisión Técnica de valoración</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10. Dotación económica de la convocatoria</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11. Pago</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12. Justificación</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13. Publicidad de la colaboración municipal</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Artículo 14. Aceptación de las bases.</w:t>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Disposición final</w:t>
      </w:r>
    </w:p>
    <w:p>
      <w:pPr>
        <w:pStyle w:val="Normal"/>
        <w:widowControl w:val="false"/>
        <w:suppressAutoHyphens w:val="true"/>
        <w:spacing w:before="1" w:after="0"/>
        <w:ind w:left="119"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6"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1. Objeto</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ind w:right="151"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El objeto de esta convocatoria y bases específicas es la regulación del régimen jurídico, del procedimiento a seguir y de la convocatoria para la solicitud, concesión, pago y justificación de las subvenciones que el Ayuntamiento de Cabrils concede , en régimen de concurrencia competitiva, a asociaciones y entidades sin ánimo de lucro del municipio que lleven a cabo proyectos (que puede incluir diferentes actos articulados en torno a un objetivo común)</w:t>
      </w:r>
      <w:r>
        <w:rPr>
          <w:rFonts w:eastAsia="Arial" w:cs="Arial" w:ascii="Arial" w:hAnsi="Arial"/>
          <w:i/>
          <w:iCs/>
          <w:color w:val="000000"/>
          <w:sz w:val="20"/>
          <w:szCs w:val="20"/>
          <w:lang w:val="es-ES" w:eastAsia="zh-CN" w:bidi="hi-IN"/>
        </w:rPr>
        <w:t xml:space="preserve"> </w:t>
      </w:r>
      <w:r>
        <w:rPr>
          <w:rFonts w:eastAsia="Arial" w:cs="Arial" w:ascii="Arial" w:hAnsi="Arial"/>
          <w:i/>
          <w:color w:val="000000"/>
          <w:sz w:val="20"/>
          <w:szCs w:val="20"/>
          <w:lang w:val="es-ES" w:eastAsia="zh-CN" w:bidi="hi-IN"/>
        </w:rPr>
        <w:t>o actividades subvencionables, dentro de los límites establecidos en el presupuesto municipal del año en curso y que no dispongan de previsión singular en el presupuesto municipal.</w:t>
      </w:r>
    </w:p>
    <w:p>
      <w:pPr>
        <w:pStyle w:val="Normal"/>
        <w:widowControl w:val="false"/>
        <w:tabs>
          <w:tab w:val="clear" w:pos="708"/>
          <w:tab w:val="left" w:pos="1373" w:leader="none"/>
        </w:tabs>
        <w:suppressAutoHyphens w:val="true"/>
        <w:ind w:right="15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Las subvenciones podrán otorgarse en el marco de un convenio de colaboración.</w:t>
      </w:r>
    </w:p>
    <w:p>
      <w:pPr>
        <w:pStyle w:val="Normal"/>
        <w:widowControl w:val="false"/>
        <w:tabs>
          <w:tab w:val="clear" w:pos="708"/>
          <w:tab w:val="left" w:pos="1373" w:leader="none"/>
        </w:tabs>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Estas bases regulan el régimen de subvenciones de las áreas de Cooperación y Solidaridad, Educación, Cultura, Juventud, Deportes, Comercio y Hostelería, y Turismo.</w:t>
      </w:r>
    </w:p>
    <w:p>
      <w:pPr>
        <w:pStyle w:val="Normal"/>
        <w:widowControl w:val="false"/>
        <w:tabs>
          <w:tab w:val="clear" w:pos="708"/>
          <w:tab w:val="left" w:pos="1373" w:leader="none"/>
        </w:tabs>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2. Finalidad</w:t>
      </w:r>
    </w:p>
    <w:p>
      <w:pPr>
        <w:pStyle w:val="Normal"/>
        <w:widowControl w:val="false"/>
        <w:suppressAutoHyphens w:val="true"/>
        <w:spacing w:before="8"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spacing w:before="1" w:after="0"/>
        <w:ind w:right="16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Los proyectos o actividades subvencionables deben fomentar la participación de las personas y las actividades de interés público que tengan como finalidades generales:</w:t>
      </w:r>
    </w:p>
    <w:p>
      <w:pPr>
        <w:pStyle w:val="Normal"/>
        <w:widowControl w:val="false"/>
        <w:tabs>
          <w:tab w:val="clear" w:pos="708"/>
          <w:tab w:val="left" w:pos="1373" w:leader="none"/>
        </w:tabs>
        <w:suppressAutoHyphens w:val="true"/>
        <w:spacing w:before="1" w:after="0"/>
        <w:ind w:left="547" w:right="16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2"/>
          <w:numId w:val="17"/>
        </w:numPr>
        <w:tabs>
          <w:tab w:val="clear" w:pos="708"/>
          <w:tab w:val="left" w:pos="1650" w:leader="none"/>
          <w:tab w:val="left" w:pos="1651" w:leader="none"/>
        </w:tabs>
        <w:suppressAutoHyphens w:val="true"/>
        <w:overflowPunct w:val="true"/>
        <w:spacing w:before="1" w:after="0"/>
        <w:ind w:left="840" w:right="163"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el asociacionismo y el voluntariado a la vez que potencie la riqueza de actos de interés general en el municipio.</w:t>
      </w:r>
    </w:p>
    <w:p>
      <w:pPr>
        <w:pStyle w:val="Normal"/>
        <w:widowControl w:val="false"/>
        <w:numPr>
          <w:ilvl w:val="2"/>
          <w:numId w:val="17"/>
        </w:numPr>
        <w:tabs>
          <w:tab w:val="clear" w:pos="708"/>
          <w:tab w:val="left" w:pos="1650" w:leader="none"/>
          <w:tab w:val="left" w:pos="1651" w:leader="none"/>
        </w:tabs>
        <w:suppressAutoHyphens w:val="true"/>
        <w:overflowPunct w:val="true"/>
        <w:spacing w:before="1" w:after="0"/>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la participación del vecindario y fortalecer el tejido social.</w:t>
      </w:r>
    </w:p>
    <w:p>
      <w:pPr>
        <w:pStyle w:val="Normal"/>
        <w:widowControl w:val="false"/>
        <w:numPr>
          <w:ilvl w:val="2"/>
          <w:numId w:val="17"/>
        </w:numPr>
        <w:tabs>
          <w:tab w:val="clear" w:pos="708"/>
          <w:tab w:val="left" w:pos="1650" w:leader="none"/>
          <w:tab w:val="left" w:pos="1651" w:leader="none"/>
        </w:tabs>
        <w:suppressAutoHyphens w:val="true"/>
        <w:overflowPunct w:val="true"/>
        <w:spacing w:before="1" w:after="0"/>
        <w:ind w:left="825" w:hanging="346"/>
        <w:jc w:val="both"/>
        <w:rPr>
          <w:rFonts w:ascii="Arial" w:hAnsi="Arial" w:eastAsia="Arial" w:cs="Arial"/>
          <w:i/>
          <w:i/>
          <w:color w:val="000000"/>
          <w:sz w:val="20"/>
          <w:szCs w:val="20"/>
          <w:highlight w:val="white"/>
          <w:lang w:val="es-ES" w:eastAsia="zh-CN" w:bidi="hi-IN"/>
        </w:rPr>
      </w:pPr>
      <w:r>
        <w:rPr>
          <w:rFonts w:eastAsia="Arial" w:cs="Arial" w:ascii="Arial" w:hAnsi="Arial"/>
          <w:i/>
          <w:color w:val="000000"/>
          <w:sz w:val="20"/>
          <w:szCs w:val="20"/>
          <w:highlight w:val="white"/>
          <w:lang w:val="es-ES" w:eastAsia="zh-CN" w:bidi="hi-IN"/>
        </w:rPr>
        <w:t>Consolidar la entidad, la participación de las personas asociadas y/o simpatizantes para mejorar el desarrollo de su actividad.</w:t>
      </w:r>
    </w:p>
    <w:p>
      <w:pPr>
        <w:pStyle w:val="Normal"/>
        <w:widowControl w:val="false"/>
        <w:numPr>
          <w:ilvl w:val="2"/>
          <w:numId w:val="17"/>
        </w:numPr>
        <w:tabs>
          <w:tab w:val="clear" w:pos="708"/>
          <w:tab w:val="left" w:pos="1650" w:leader="none"/>
          <w:tab w:val="left" w:pos="1651" w:leader="none"/>
        </w:tabs>
        <w:suppressAutoHyphens w:val="true"/>
        <w:overflowPunct w:val="true"/>
        <w:spacing w:before="1" w:after="0"/>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Mejorar la cohesión social del municipio y el enriquecimiento social.</w:t>
      </w:r>
    </w:p>
    <w:p>
      <w:pPr>
        <w:pStyle w:val="Normal"/>
        <w:widowControl w:val="false"/>
        <w:numPr>
          <w:ilvl w:val="2"/>
          <w:numId w:val="17"/>
        </w:numPr>
        <w:tabs>
          <w:tab w:val="clear" w:pos="708"/>
          <w:tab w:val="left" w:pos="1650" w:leader="none"/>
          <w:tab w:val="left" w:pos="1651" w:leader="none"/>
        </w:tabs>
        <w:suppressAutoHyphens w:val="true"/>
        <w:overflowPunct w:val="true"/>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Desarrollar programas estables y continuados de interés general por el municipio.</w:t>
      </w:r>
    </w:p>
    <w:p>
      <w:pPr>
        <w:pStyle w:val="Normal"/>
        <w:widowControl w:val="false"/>
        <w:numPr>
          <w:ilvl w:val="2"/>
          <w:numId w:val="17"/>
        </w:numPr>
        <w:tabs>
          <w:tab w:val="clear" w:pos="708"/>
          <w:tab w:val="left" w:pos="1650" w:leader="none"/>
          <w:tab w:val="left" w:pos="1651" w:leader="none"/>
        </w:tabs>
        <w:suppressAutoHyphens w:val="true"/>
        <w:overflowPunct w:val="true"/>
        <w:spacing w:before="2" w:after="0"/>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proyectos y actos que complementen a la competencia local.</w:t>
      </w:r>
    </w:p>
    <w:p>
      <w:pPr>
        <w:pStyle w:val="Normal"/>
        <w:widowControl w:val="false"/>
        <w:numPr>
          <w:ilvl w:val="2"/>
          <w:numId w:val="17"/>
        </w:numPr>
        <w:tabs>
          <w:tab w:val="clear" w:pos="708"/>
          <w:tab w:val="left" w:pos="1650" w:leader="none"/>
          <w:tab w:val="left" w:pos="1651" w:leader="none"/>
        </w:tabs>
        <w:suppressAutoHyphens w:val="true"/>
        <w:overflowPunct w:val="true"/>
        <w:spacing w:before="1" w:after="0"/>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un desarrollo más sostenible del municipio.</w:t>
      </w:r>
    </w:p>
    <w:p>
      <w:pPr>
        <w:pStyle w:val="Normal"/>
        <w:widowControl w:val="false"/>
        <w:numPr>
          <w:ilvl w:val="2"/>
          <w:numId w:val="17"/>
        </w:numPr>
        <w:tabs>
          <w:tab w:val="clear" w:pos="708"/>
          <w:tab w:val="left" w:pos="1650" w:leader="none"/>
          <w:tab w:val="left" w:pos="1651" w:leader="none"/>
        </w:tabs>
        <w:suppressAutoHyphens w:val="true"/>
        <w:overflowPunct w:val="true"/>
        <w:ind w:left="840" w:right="170"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Favorecer la cooperación entre el sector público, el sector no lucrativo y el sector privado.</w:t>
      </w:r>
    </w:p>
    <w:p>
      <w:pPr>
        <w:pStyle w:val="Normal"/>
        <w:widowControl w:val="false"/>
        <w:numPr>
          <w:ilvl w:val="2"/>
          <w:numId w:val="17"/>
        </w:numPr>
        <w:tabs>
          <w:tab w:val="clear" w:pos="708"/>
          <w:tab w:val="left" w:pos="1650" w:leader="none"/>
          <w:tab w:val="left" w:pos="1651" w:leader="none"/>
        </w:tabs>
        <w:suppressAutoHyphens w:val="true"/>
        <w:overflowPunct w:val="true"/>
        <w:spacing w:before="2" w:after="0"/>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Fomentar la solidaridad y favorecer la convivencia ciudadana.</w:t>
      </w:r>
    </w:p>
    <w:p>
      <w:pPr>
        <w:pStyle w:val="Normal"/>
        <w:widowControl w:val="false"/>
        <w:numPr>
          <w:ilvl w:val="2"/>
          <w:numId w:val="17"/>
        </w:numPr>
        <w:tabs>
          <w:tab w:val="clear" w:pos="708"/>
          <w:tab w:val="left" w:pos="1650" w:leader="none"/>
          <w:tab w:val="left" w:pos="1651" w:leader="none"/>
        </w:tabs>
        <w:suppressAutoHyphens w:val="true"/>
        <w:overflowPunct w:val="true"/>
        <w:spacing w:before="1" w:after="0"/>
        <w:ind w:left="825" w:hanging="346"/>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Potenciar el conocimiento externo y la imagen del municipio.</w:t>
      </w:r>
    </w:p>
    <w:p>
      <w:pPr>
        <w:pStyle w:val="Normal"/>
        <w:widowControl w:val="false"/>
        <w:suppressAutoHyphens w:val="true"/>
        <w:spacing w:before="10"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6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Además de las finalidades generales, con el otorgamiento de las subvenciones se pretende fomentar proyectos o actividades de interés público y social que tengan los siguientes objetivos específicos para cada área subvencionable:</w:t>
      </w:r>
    </w:p>
    <w:p>
      <w:pPr>
        <w:pStyle w:val="Normal"/>
        <w:widowControl w:val="false"/>
        <w:suppressAutoHyphens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9"/>
        </w:numPr>
        <w:tabs>
          <w:tab w:val="clear" w:pos="708"/>
          <w:tab w:val="left" w:pos="1306" w:leader="none"/>
        </w:tabs>
        <w:suppressAutoHyphens w:val="true"/>
        <w:overflowPunct w:val="true"/>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Cooperación y Solidaridad</w:t>
      </w:r>
    </w:p>
    <w:p>
      <w:pPr>
        <w:pStyle w:val="Normal"/>
        <w:widowControl w:val="false"/>
        <w:numPr>
          <w:ilvl w:val="0"/>
          <w:numId w:val="12"/>
        </w:numPr>
        <w:tabs>
          <w:tab w:val="clear" w:pos="708"/>
          <w:tab w:val="left" w:pos="1650" w:leader="none"/>
          <w:tab w:val="left" w:pos="1651"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Desarrollar acciones de apoyo a las personas en situación de vulnerabilidad del territorio o en colaboración con otras entidades y agentes del municipio.</w:t>
      </w:r>
    </w:p>
    <w:p>
      <w:pPr>
        <w:pStyle w:val="Normal"/>
        <w:widowControl w:val="false"/>
        <w:numPr>
          <w:ilvl w:val="0"/>
          <w:numId w:val="12"/>
        </w:numPr>
        <w:tabs>
          <w:tab w:val="clear" w:pos="708"/>
          <w:tab w:val="left" w:pos="1650" w:leader="none"/>
          <w:tab w:val="left" w:pos="1651" w:leader="none"/>
        </w:tabs>
        <w:suppressAutoHyphens w:val="true"/>
        <w:overflowPunct w:val="true"/>
        <w:ind w:left="720" w:right="164"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Fortalecer y desarrollar acciones de cooperación y/o solidaridad en el ámbito catalán, estatal e internacional para reducir las desigualdades.</w:t>
      </w:r>
    </w:p>
    <w:p>
      <w:pPr>
        <w:pStyle w:val="Normal"/>
        <w:widowControl w:val="false"/>
        <w:numPr>
          <w:ilvl w:val="0"/>
          <w:numId w:val="12"/>
        </w:numPr>
        <w:tabs>
          <w:tab w:val="clear" w:pos="708"/>
          <w:tab w:val="left" w:pos="1650" w:leader="none"/>
          <w:tab w:val="left" w:pos="1651" w:leader="none"/>
        </w:tabs>
        <w:suppressAutoHyphens w:val="true"/>
        <w:overflowPunct w:val="true"/>
        <w:ind w:left="720" w:right="164"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Fomentar la solidaridad ciudadana con países más empobrecidos y sectores de la población más desfavorecidos.</w:t>
      </w:r>
    </w:p>
    <w:p>
      <w:pPr>
        <w:pStyle w:val="Normal"/>
        <w:widowControl w:val="false"/>
        <w:tabs>
          <w:tab w:val="clear" w:pos="708"/>
          <w:tab w:val="left" w:pos="1665" w:leader="none"/>
          <w:tab w:val="left" w:pos="1666" w:leader="none"/>
        </w:tabs>
        <w:suppressAutoHyphens w:val="true"/>
        <w:spacing w:before="1" w:after="0"/>
        <w:ind w:right="16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r>
    </w:p>
    <w:p>
      <w:pPr>
        <w:pStyle w:val="Normal"/>
        <w:widowControl w:val="false"/>
        <w:numPr>
          <w:ilvl w:val="0"/>
          <w:numId w:val="19"/>
        </w:numPr>
        <w:tabs>
          <w:tab w:val="clear" w:pos="708"/>
          <w:tab w:val="left" w:pos="1306" w:leader="none"/>
        </w:tabs>
        <w:suppressAutoHyphens w:val="true"/>
        <w:overflowPunct w:val="true"/>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Educación</w:t>
      </w:r>
    </w:p>
    <w:p>
      <w:pPr>
        <w:pStyle w:val="Normal"/>
        <w:widowControl w:val="false"/>
        <w:numPr>
          <w:ilvl w:val="0"/>
          <w:numId w:val="13"/>
        </w:numPr>
        <w:tabs>
          <w:tab w:val="clear" w:pos="708"/>
          <w:tab w:val="left" w:pos="1651" w:leader="none"/>
        </w:tabs>
        <w:suppressAutoHyphens w:val="true"/>
        <w:overflowPunct w:val="true"/>
        <w:ind w:left="720" w:right="166"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Incentivar las iniciativas de las asociaciones de familias de alumnos que den un valor añadido al proyecto educativo de cada centro y creen complicidades entre los centros.</w:t>
      </w:r>
    </w:p>
    <w:p>
      <w:pPr>
        <w:pStyle w:val="Normal"/>
        <w:widowControl w:val="false"/>
        <w:numPr>
          <w:ilvl w:val="0"/>
          <w:numId w:val="13"/>
        </w:numPr>
        <w:tabs>
          <w:tab w:val="clear" w:pos="708"/>
          <w:tab w:val="left" w:pos="1651"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actividades educativas en el ocio de forma estable así como a las entidades que las impulsan.</w:t>
      </w:r>
    </w:p>
    <w:p>
      <w:pPr>
        <w:pStyle w:val="Normal"/>
        <w:widowControl w:val="false"/>
        <w:numPr>
          <w:ilvl w:val="0"/>
          <w:numId w:val="13"/>
        </w:numPr>
        <w:tabs>
          <w:tab w:val="clear" w:pos="708"/>
          <w:tab w:val="left" w:pos="1651"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la atención a la infancia ya la adolescencia mediante la educación en el ocio</w:t>
      </w:r>
    </w:p>
    <w:p>
      <w:pPr>
        <w:pStyle w:val="Normal"/>
        <w:widowControl w:val="false"/>
        <w:numPr>
          <w:ilvl w:val="0"/>
          <w:numId w:val="13"/>
        </w:numPr>
        <w:tabs>
          <w:tab w:val="clear" w:pos="708"/>
          <w:tab w:val="left" w:pos="1651"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Fomentar la participación de la comunidad educativa en las políticas municipales.</w:t>
      </w:r>
    </w:p>
    <w:p>
      <w:pPr>
        <w:pStyle w:val="Normal"/>
        <w:widowControl w:val="false"/>
        <w:numPr>
          <w:ilvl w:val="0"/>
          <w:numId w:val="13"/>
        </w:numPr>
        <w:suppressAutoHyphens w:val="true"/>
        <w:overflowPunct w:val="true"/>
        <w:spacing w:before="7" w:after="0"/>
        <w:ind w:left="720" w:right="165"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Organizar actividades extraescolares que engloben a niños, jóvenes y familias.</w:t>
      </w:r>
    </w:p>
    <w:p>
      <w:pPr>
        <w:pStyle w:val="Normal"/>
        <w:widowControl w:val="false"/>
        <w:suppressAutoHyphens w:val="true"/>
        <w:spacing w:before="4"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9"/>
        </w:numPr>
        <w:tabs>
          <w:tab w:val="clear" w:pos="708"/>
          <w:tab w:val="left" w:pos="1306" w:leader="none"/>
        </w:tabs>
        <w:suppressAutoHyphens w:val="true"/>
        <w:overflowPunct w:val="true"/>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Cultura</w:t>
      </w:r>
    </w:p>
    <w:p>
      <w:pPr>
        <w:pStyle w:val="Normal"/>
        <w:widowControl w:val="false"/>
        <w:numPr>
          <w:ilvl w:val="0"/>
          <w:numId w:val="15"/>
        </w:numPr>
        <w:tabs>
          <w:tab w:val="clear" w:pos="708"/>
          <w:tab w:val="left" w:pos="1650" w:leader="none"/>
          <w:tab w:val="left" w:pos="1651" w:leader="none"/>
        </w:tabs>
        <w:suppressAutoHyphens w:val="true"/>
        <w:overflowPunct w:val="true"/>
        <w:ind w:left="720" w:right="170"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Promocionar las manifestaciones y la práctica de cultura popular y tradicional.</w:t>
      </w:r>
    </w:p>
    <w:p>
      <w:pPr>
        <w:pStyle w:val="Normal"/>
        <w:widowControl w:val="false"/>
        <w:numPr>
          <w:ilvl w:val="0"/>
          <w:numId w:val="15"/>
        </w:numPr>
        <w:tabs>
          <w:tab w:val="clear" w:pos="708"/>
          <w:tab w:val="left" w:pos="1650" w:leader="none"/>
          <w:tab w:val="left" w:pos="1651" w:leader="none"/>
        </w:tabs>
        <w:suppressAutoHyphens w:val="true"/>
        <w:overflowPunct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Difundir el patrimonio cultural material e inmaterial del Municipio.</w:t>
      </w:r>
    </w:p>
    <w:p>
      <w:pPr>
        <w:pStyle w:val="Normal"/>
        <w:widowControl w:val="false"/>
        <w:numPr>
          <w:ilvl w:val="0"/>
          <w:numId w:val="15"/>
        </w:numPr>
        <w:tabs>
          <w:tab w:val="clear" w:pos="708"/>
          <w:tab w:val="left" w:pos="1650" w:leader="none"/>
          <w:tab w:val="left" w:pos="1651" w:leader="none"/>
        </w:tabs>
        <w:suppressAutoHyphens w:val="true"/>
        <w:overflowPunct w:val="true"/>
        <w:spacing w:before="1" w:after="0"/>
        <w:ind w:left="720" w:right="170"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Favorecer aquellas actividades que proyecten y singularicen al municipio de Cabrils en alguna manifestación artística.</w:t>
      </w:r>
    </w:p>
    <w:p>
      <w:pPr>
        <w:pStyle w:val="Normal"/>
        <w:widowControl w:val="false"/>
        <w:numPr>
          <w:ilvl w:val="0"/>
          <w:numId w:val="15"/>
        </w:numPr>
        <w:tabs>
          <w:tab w:val="clear" w:pos="708"/>
          <w:tab w:val="left" w:pos="1650" w:leader="none"/>
          <w:tab w:val="left" w:pos="1651" w:leader="none"/>
        </w:tabs>
        <w:suppressAutoHyphens w:val="true"/>
        <w:overflowPunct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Desarrollar actividades que complementen la programación cultural estable de Cabrils</w:t>
      </w:r>
    </w:p>
    <w:p>
      <w:pPr>
        <w:pStyle w:val="Normal"/>
        <w:widowControl w:val="false"/>
        <w:numPr>
          <w:ilvl w:val="0"/>
          <w:numId w:val="15"/>
        </w:numPr>
        <w:tabs>
          <w:tab w:val="clear" w:pos="708"/>
          <w:tab w:val="left" w:pos="1650" w:leader="none"/>
          <w:tab w:val="left" w:pos="1651" w:leader="none"/>
        </w:tabs>
        <w:suppressAutoHyphens w:val="true"/>
        <w:overflowPunct w:val="true"/>
        <w:ind w:left="720" w:right="168"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Estimular las propuestas que fomenten la integración de nuevos agentes en las entidades culturales del municipio y en las actividades que desarrollan durante el año en Cabrils.</w:t>
      </w:r>
    </w:p>
    <w:p>
      <w:pPr>
        <w:pStyle w:val="Normal"/>
        <w:widowControl w:val="false"/>
        <w:numPr>
          <w:ilvl w:val="0"/>
          <w:numId w:val="15"/>
        </w:numPr>
        <w:tabs>
          <w:tab w:val="clear" w:pos="708"/>
          <w:tab w:val="left" w:pos="1650" w:leader="none"/>
          <w:tab w:val="left" w:pos="1651" w:leader="none"/>
        </w:tabs>
        <w:suppressAutoHyphens w:val="true"/>
        <w:overflowPunct w:val="true"/>
        <w:ind w:left="720" w:right="168"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la lengua y la cultura catalanas.</w:t>
      </w:r>
    </w:p>
    <w:p>
      <w:pPr>
        <w:pStyle w:val="Normal"/>
        <w:widowControl w:val="false"/>
        <w:suppressAutoHyphens w:val="true"/>
        <w:spacing w:before="10"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9"/>
        </w:numPr>
        <w:tabs>
          <w:tab w:val="clear" w:pos="708"/>
          <w:tab w:val="left" w:pos="1305" w:leader="none"/>
          <w:tab w:val="left" w:pos="1306" w:leader="none"/>
        </w:tabs>
        <w:suppressAutoHyphens w:val="true"/>
        <w:overflowPunct w:val="true"/>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Juventud</w:t>
      </w:r>
    </w:p>
    <w:p>
      <w:pPr>
        <w:pStyle w:val="Normal"/>
        <w:widowControl w:val="false"/>
        <w:numPr>
          <w:ilvl w:val="0"/>
          <w:numId w:val="3"/>
        </w:numPr>
        <w:tabs>
          <w:tab w:val="clear" w:pos="708"/>
          <w:tab w:val="left" w:pos="1650" w:leader="none"/>
          <w:tab w:val="left" w:pos="1651" w:leader="none"/>
        </w:tabs>
        <w:suppressAutoHyphens w:val="true"/>
        <w:overflowPunct w:val="true"/>
        <w:ind w:left="720" w:right="170"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Fomentar valores sociales y nuevas formas de participación entre los jóvenes.</w:t>
      </w:r>
    </w:p>
    <w:p>
      <w:pPr>
        <w:pStyle w:val="Normal"/>
        <w:widowControl w:val="false"/>
        <w:numPr>
          <w:ilvl w:val="0"/>
          <w:numId w:val="3"/>
        </w:numPr>
        <w:tabs>
          <w:tab w:val="clear" w:pos="708"/>
          <w:tab w:val="left" w:pos="1650" w:leader="none"/>
          <w:tab w:val="left" w:pos="1651" w:leader="none"/>
        </w:tabs>
        <w:suppressAutoHyphens w:val="true"/>
        <w:overflowPunct w:val="true"/>
        <w:ind w:left="720" w:right="166"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Fomentar la participación juvenil y el asociacionismo juvenil como difusor de servicios de interés general para la población joven del municipio.</w:t>
      </w:r>
    </w:p>
    <w:p>
      <w:pPr>
        <w:pStyle w:val="Normal"/>
        <w:widowControl w:val="false"/>
        <w:numPr>
          <w:ilvl w:val="0"/>
          <w:numId w:val="3"/>
        </w:numPr>
        <w:tabs>
          <w:tab w:val="clear" w:pos="708"/>
          <w:tab w:val="left" w:pos="1650" w:leader="none"/>
          <w:tab w:val="left" w:pos="1651" w:leader="none"/>
        </w:tabs>
        <w:suppressAutoHyphens w:val="true"/>
        <w:overflowPunct w:val="true"/>
        <w:ind w:left="720" w:right="170"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el trabajo en red con otras entidades y con el ayuntamiento por la participación en proyectos/actividades municipales.</w:t>
      </w:r>
    </w:p>
    <w:p>
      <w:pPr>
        <w:pStyle w:val="Normal"/>
        <w:widowControl w:val="false"/>
        <w:numPr>
          <w:ilvl w:val="0"/>
          <w:numId w:val="3"/>
        </w:numPr>
        <w:tabs>
          <w:tab w:val="clear" w:pos="708"/>
          <w:tab w:val="left" w:pos="1650" w:leader="none"/>
          <w:tab w:val="left" w:pos="1651" w:leader="none"/>
        </w:tabs>
        <w:suppressAutoHyphens w:val="true"/>
        <w:overflowPunct w:val="true"/>
        <w:ind w:left="720" w:right="170"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Crear y difundir las iniciativas juveniles.</w:t>
      </w:r>
    </w:p>
    <w:p>
      <w:pPr>
        <w:pStyle w:val="Normal"/>
        <w:widowControl w:val="false"/>
        <w:numPr>
          <w:ilvl w:val="0"/>
          <w:numId w:val="3"/>
        </w:numPr>
        <w:tabs>
          <w:tab w:val="clear" w:pos="708"/>
          <w:tab w:val="left" w:pos="1651" w:leader="none"/>
        </w:tabs>
        <w:suppressAutoHyphens w:val="true"/>
        <w:overflowPunct w:val="true"/>
        <w:ind w:left="720" w:right="165"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Colaborar en el impulso y el mantenimiento de los proyectos de las entidades juveniles que tienen por objeto proporcionar espacios de ocio y ocio saludable y sostenible para jóvenes.</w:t>
      </w:r>
    </w:p>
    <w:p>
      <w:pPr>
        <w:pStyle w:val="Normal"/>
        <w:widowControl w:val="false"/>
        <w:numPr>
          <w:ilvl w:val="0"/>
          <w:numId w:val="3"/>
        </w:numPr>
        <w:tabs>
          <w:tab w:val="clear" w:pos="708"/>
          <w:tab w:val="left" w:pos="1651" w:leader="none"/>
        </w:tabs>
        <w:suppressAutoHyphens w:val="true"/>
        <w:overflowPunct w:val="true"/>
        <w:ind w:left="720" w:right="166"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Premiar, potenciar y colaborar en los proyectos salientes de los jóvenes del municipio.</w:t>
      </w:r>
    </w:p>
    <w:p>
      <w:pPr>
        <w:pStyle w:val="Normal"/>
        <w:widowControl w:val="false"/>
        <w:suppressAutoHyphens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9"/>
        </w:numPr>
        <w:tabs>
          <w:tab w:val="clear" w:pos="708"/>
          <w:tab w:val="left" w:pos="1306" w:leader="none"/>
        </w:tabs>
        <w:suppressAutoHyphens w:val="true"/>
        <w:overflowPunct w:val="true"/>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Deportes</w:t>
      </w:r>
    </w:p>
    <w:p>
      <w:pPr>
        <w:pStyle w:val="Normal"/>
        <w:widowControl w:val="false"/>
        <w:numPr>
          <w:ilvl w:val="0"/>
          <w:numId w:val="4"/>
        </w:numPr>
        <w:tabs>
          <w:tab w:val="clear" w:pos="708"/>
          <w:tab w:val="left" w:pos="1651" w:leader="none"/>
        </w:tabs>
        <w:suppressAutoHyphens w:val="true"/>
        <w:overflowPunct w:val="true"/>
        <w:ind w:left="720" w:right="167"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Facilitar el acceso a la práctica deportiva de aquellos colectivos que, por razones socioculturales y/o económicas, no accedan de forma habitual.</w:t>
      </w:r>
    </w:p>
    <w:p>
      <w:pPr>
        <w:pStyle w:val="Normal"/>
        <w:widowControl w:val="false"/>
        <w:numPr>
          <w:ilvl w:val="0"/>
          <w:numId w:val="4"/>
        </w:numPr>
        <w:tabs>
          <w:tab w:val="clear" w:pos="708"/>
          <w:tab w:val="left" w:pos="1651" w:leader="none"/>
        </w:tabs>
        <w:suppressAutoHyphens w:val="true"/>
        <w:overflowPunct w:val="true"/>
        <w:ind w:left="720" w:right="16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Posibilitar el crecimiento deportivo, cuantitativo y cualitativo del municipio.</w:t>
      </w:r>
    </w:p>
    <w:p>
      <w:pPr>
        <w:pStyle w:val="Normal"/>
        <w:widowControl w:val="false"/>
        <w:numPr>
          <w:ilvl w:val="0"/>
          <w:numId w:val="4"/>
        </w:numPr>
        <w:tabs>
          <w:tab w:val="clear" w:pos="708"/>
          <w:tab w:val="left" w:pos="1651" w:leader="none"/>
        </w:tabs>
        <w:suppressAutoHyphens w:val="true"/>
        <w:overflowPunct w:val="true"/>
        <w:ind w:left="720" w:right="16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Ofrecer servicios y actividades deportivas en las vertientes educativa, recreativa, lúdica y competitiva, a todos los sectores de la población con especial atención a la infancia y la juventud.</w:t>
      </w:r>
    </w:p>
    <w:p>
      <w:pPr>
        <w:pStyle w:val="Normal"/>
        <w:widowControl w:val="false"/>
        <w:numPr>
          <w:ilvl w:val="0"/>
          <w:numId w:val="4"/>
        </w:numPr>
        <w:tabs>
          <w:tab w:val="clear" w:pos="708"/>
          <w:tab w:val="left" w:pos="1651" w:leader="none"/>
        </w:tabs>
        <w:suppressAutoHyphens w:val="true"/>
        <w:overflowPunct w:val="true"/>
        <w:ind w:left="720" w:right="166"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Promocionar el asociacionismo como agente dinamizador de la actividad deportiva, apoyando a los grupos de vecinos y vecinas que realizan una labor de promoción del deporte.</w:t>
      </w:r>
    </w:p>
    <w:p>
      <w:pPr>
        <w:pStyle w:val="Normal"/>
        <w:widowControl w:val="false"/>
        <w:suppressAutoHyphens w:val="true"/>
        <w:spacing w:before="6"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9"/>
        </w:numPr>
        <w:tabs>
          <w:tab w:val="clear" w:pos="708"/>
          <w:tab w:val="left" w:pos="1306" w:leader="none"/>
        </w:tabs>
        <w:suppressAutoHyphens w:val="true"/>
        <w:overflowPunct w:val="true"/>
        <w:spacing w:before="1" w:after="0"/>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Comercio y hostelería</w:t>
      </w:r>
    </w:p>
    <w:p>
      <w:pPr>
        <w:pStyle w:val="Normal"/>
        <w:widowControl w:val="false"/>
        <w:numPr>
          <w:ilvl w:val="0"/>
          <w:numId w:val="5"/>
        </w:numPr>
        <w:tabs>
          <w:tab w:val="clear" w:pos="708"/>
          <w:tab w:val="left" w:pos="1650" w:leader="none"/>
          <w:tab w:val="left" w:pos="1651"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Apoyar a las asociaciones de promoción del tejido comercial y hostelero local</w:t>
      </w:r>
    </w:p>
    <w:p>
      <w:pPr>
        <w:pStyle w:val="Normal"/>
        <w:widowControl w:val="false"/>
        <w:numPr>
          <w:ilvl w:val="0"/>
          <w:numId w:val="5"/>
        </w:numPr>
        <w:tabs>
          <w:tab w:val="clear" w:pos="708"/>
          <w:tab w:val="left" w:pos="1650" w:leader="none"/>
          <w:tab w:val="left" w:pos="1651"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Fomentar las actuaciones de promoción y animación de tejido comercial y hostelero local.</w:t>
      </w:r>
    </w:p>
    <w:p>
      <w:pPr>
        <w:pStyle w:val="Normal"/>
        <w:widowControl w:val="false"/>
        <w:numPr>
          <w:ilvl w:val="0"/>
          <w:numId w:val="5"/>
        </w:numPr>
        <w:tabs>
          <w:tab w:val="clear" w:pos="708"/>
          <w:tab w:val="left" w:pos="1650" w:leader="none"/>
          <w:tab w:val="left" w:pos="1651" w:leader="none"/>
        </w:tabs>
        <w:suppressAutoHyphens w:val="true"/>
        <w:overflowPunct w:val="true"/>
        <w:spacing w:before="1" w:after="0"/>
        <w:ind w:left="720" w:right="166"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Promover la dinamización del comercio y restauración en el municipio y, en especial, las actuaciones promovidas por el tejido asociativo del comercio y hostelería.</w:t>
      </w:r>
    </w:p>
    <w:p>
      <w:pPr>
        <w:pStyle w:val="Normal"/>
        <w:widowControl w:val="false"/>
        <w:numPr>
          <w:ilvl w:val="0"/>
          <w:numId w:val="5"/>
        </w:numPr>
        <w:tabs>
          <w:tab w:val="clear" w:pos="708"/>
          <w:tab w:val="left" w:pos="1650" w:leader="none"/>
          <w:tab w:val="left" w:pos="1651" w:leader="none"/>
        </w:tabs>
        <w:suppressAutoHyphens w:val="true"/>
        <w:overflowPunct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Consolidar el funcionamiento ordinario de la entidad para mejorar el desarrollo de actividades anuales.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9"/>
        </w:numPr>
        <w:tabs>
          <w:tab w:val="clear" w:pos="708"/>
          <w:tab w:val="left" w:pos="1306" w:leader="none"/>
        </w:tabs>
        <w:suppressAutoHyphens w:val="true"/>
        <w:overflowPunct w:val="true"/>
        <w:ind w:left="480" w:hanging="362"/>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Turismo</w:t>
      </w:r>
    </w:p>
    <w:p>
      <w:pPr>
        <w:pStyle w:val="Normal"/>
        <w:widowControl w:val="false"/>
        <w:numPr>
          <w:ilvl w:val="0"/>
          <w:numId w:val="6"/>
        </w:numPr>
        <w:tabs>
          <w:tab w:val="clear" w:pos="708"/>
          <w:tab w:val="left" w:pos="1650" w:leader="none"/>
          <w:tab w:val="left" w:pos="1651" w:leader="none"/>
        </w:tabs>
        <w:suppressAutoHyphens w:val="true"/>
        <w:overflowPunct w:val="true"/>
        <w:spacing w:before="97"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Apoyar a las asociaciones de promoción turística local.</w:t>
      </w:r>
    </w:p>
    <w:p>
      <w:pPr>
        <w:pStyle w:val="Normal"/>
        <w:widowControl w:val="false"/>
        <w:numPr>
          <w:ilvl w:val="0"/>
          <w:numId w:val="6"/>
        </w:numPr>
        <w:tabs>
          <w:tab w:val="clear" w:pos="708"/>
          <w:tab w:val="left" w:pos="1650" w:leader="none"/>
          <w:tab w:val="left" w:pos="1651" w:leader="none"/>
        </w:tabs>
        <w:suppressAutoHyphens w:val="true"/>
        <w:overflowPunct w:val="true"/>
        <w:spacing w:before="8" w:after="0"/>
        <w:ind w:left="720" w:right="168"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Difundir a nivel supramunicipal, el valor del municipio como destino turístico, así como la promoción de los elementos turísticos del municipio (tejido social, comercial, cultural y patrimonial).</w:t>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3. Actividades y gastos subvencionables</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Podrán ser subvencionados aquellos proyectos y actividades que actúen en los siguientes campos:</w:t>
      </w:r>
    </w:p>
    <w:p>
      <w:pPr>
        <w:pStyle w:val="Normal"/>
        <w:widowControl w:val="false"/>
        <w:suppressAutoHyphens w:val="true"/>
        <w:spacing w:before="5"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9"/>
        </w:numPr>
        <w:tabs>
          <w:tab w:val="clear" w:pos="708"/>
          <w:tab w:val="left" w:pos="1306" w:leader="none"/>
        </w:tabs>
        <w:suppressAutoHyphens w:val="true"/>
        <w:overflowPunct w:val="true"/>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Cooperación y Solidaridad</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Desarrollo de acciones de cooperación y/o solidaridad en el ámbito catalán, estatal e internacional.</w:t>
      </w:r>
    </w:p>
    <w:p>
      <w:pPr>
        <w:pStyle w:val="Normal"/>
        <w:widowControl w:val="false"/>
        <w:tabs>
          <w:tab w:val="clear" w:pos="708"/>
          <w:tab w:val="left" w:pos="1666" w:leader="none"/>
        </w:tabs>
        <w:suppressAutoHyphens w:val="true"/>
        <w:spacing w:before="1" w:after="0"/>
        <w:ind w:left="850"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y participación en iniciativas solidarias con los sectores de la población más desfavorecidos y con países en situación de emergencia social, económica, ambiental o sanitaria.</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Atención a las minorías y/o colectivos en riesgo de exclusión social y/o en situación de vulnerabilidad social, económica o sanitaria.</w:t>
      </w:r>
    </w:p>
    <w:p>
      <w:pPr>
        <w:pStyle w:val="Normal"/>
        <w:widowControl w:val="false"/>
        <w:suppressAutoHyphens w:val="true"/>
        <w:spacing w:before="9" w:after="0"/>
        <w:ind w:left="3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05" w:leader="none"/>
          <w:tab w:val="left" w:pos="1306" w:leader="none"/>
        </w:tabs>
        <w:suppressAutoHyphens w:val="true"/>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B. Educación</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de la educación en el ocio.</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Apoyo a las actividades extraescolares organizadas por las asociaciones de familias de alumnos.</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Apoyo a actividades fuera del calendario escolar.</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Apoyo al desarrollo de actividades formativas no regladas.</w:t>
      </w:r>
    </w:p>
    <w:p>
      <w:pPr>
        <w:pStyle w:val="Normal"/>
        <w:widowControl w:val="false"/>
        <w:suppressAutoHyphens w:val="true"/>
        <w:spacing w:before="2" w:after="0"/>
        <w:ind w:left="3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06" w:leader="none"/>
        </w:tabs>
        <w:suppressAutoHyphens w:val="true"/>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 Cultura</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Difusión del patrimonio cultural material e inmaterial del municipio.</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Dinamización sociocultural.</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y difusión de expresiones de la cultura popular y tradicional</w:t>
      </w:r>
    </w:p>
    <w:p>
      <w:pPr>
        <w:pStyle w:val="Normal"/>
        <w:widowControl w:val="false"/>
        <w:tabs>
          <w:tab w:val="clear" w:pos="708"/>
          <w:tab w:val="left" w:pos="1651" w:leader="none"/>
        </w:tabs>
        <w:suppressAutoHyphens w:val="true"/>
        <w:spacing w:before="4" w:after="0"/>
        <w:ind w:left="907"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con carácter no profesional, de alguna expresión artística (teatro, música, danza, pintura, etc.)</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 la lengua y la cultura catalana.</w:t>
      </w:r>
    </w:p>
    <w:p>
      <w:pPr>
        <w:pStyle w:val="Normal"/>
        <w:widowControl w:val="false"/>
        <w:suppressAutoHyphens w:val="true"/>
        <w:spacing w:before="2" w:after="0"/>
        <w:ind w:left="3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05" w:leader="none"/>
          <w:tab w:val="left" w:pos="1306" w:leader="none"/>
        </w:tabs>
        <w:suppressAutoHyphens w:val="true"/>
        <w:spacing w:before="1" w:after="0"/>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 Juventud</w:t>
      </w:r>
    </w:p>
    <w:p>
      <w:pPr>
        <w:pStyle w:val="Normal"/>
        <w:widowControl w:val="false"/>
        <w:tabs>
          <w:tab w:val="clear" w:pos="708"/>
          <w:tab w:val="left" w:pos="1666" w:leader="none"/>
        </w:tabs>
        <w:suppressAutoHyphens w:val="true"/>
        <w:spacing w:before="5" w:after="0"/>
        <w:ind w:left="850"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 la creación de proyectos/actividades promovidos por asociaciones y colectivos jóvenes</w:t>
      </w:r>
    </w:p>
    <w:p>
      <w:pPr>
        <w:pStyle w:val="Normal"/>
        <w:widowControl w:val="false"/>
        <w:tabs>
          <w:tab w:val="clear" w:pos="708"/>
          <w:tab w:val="left" w:pos="1651" w:leader="none"/>
        </w:tabs>
        <w:suppressAutoHyphens w:val="true"/>
        <w:spacing w:before="3" w:after="0"/>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de proyectos/actividades juveniles y de difusión y divulgación cultural</w:t>
      </w:r>
    </w:p>
    <w:p>
      <w:pPr>
        <w:pStyle w:val="Normal"/>
        <w:widowControl w:val="false"/>
        <w:tabs>
          <w:tab w:val="clear" w:pos="708"/>
          <w:tab w:val="left" w:pos="1666" w:leader="none"/>
        </w:tabs>
        <w:suppressAutoHyphens w:val="true"/>
        <w:spacing w:before="5" w:after="0"/>
        <w:ind w:left="1201" w:right="16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 proyectos/actividades de dinamización (creatividad juvenil, ocio alternativo, de ocio...)</w:t>
      </w:r>
    </w:p>
    <w:p>
      <w:pPr>
        <w:pStyle w:val="Normal"/>
        <w:widowControl w:val="false"/>
        <w:suppressAutoHyphens w:val="true"/>
        <w:spacing w:before="5" w:after="0"/>
        <w:ind w:left="3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05" w:leader="none"/>
          <w:tab w:val="left" w:pos="1306" w:leader="none"/>
        </w:tabs>
        <w:suppressAutoHyphens w:val="true"/>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 Deportes</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Acciones orientadas a reforzar la consolidación y crecimiento de las entidades y asociaciones deportivas, así como su capacidad de acción</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de la práctica deportiva en la infancia y adolescencia (hasta 18 años)</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Eventos y/o actividades puntuales y relevantes de promoción del deporte y su práctica abiertas al conjunto de la población que se realicen fuera de la programación habitual de la temporada.</w:t>
      </w:r>
    </w:p>
    <w:p>
      <w:pPr>
        <w:pStyle w:val="Normal"/>
        <w:widowControl w:val="false"/>
        <w:suppressAutoHyphens w:val="true"/>
        <w:spacing w:before="7" w:after="0"/>
        <w:ind w:left="3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06" w:leader="none"/>
        </w:tabs>
        <w:suppressAutoHyphens w:val="true"/>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 Comercio y hostelería</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Acciones orientadas a reforzar la consolidación y crecimiento de las entidades y asociaciones de comerciantes, hosteleros y profesionales en el municipio así como su capacidad de acción</w:t>
      </w:r>
    </w:p>
    <w:p>
      <w:pPr>
        <w:pStyle w:val="Normal"/>
        <w:widowControl w:val="false"/>
        <w:tabs>
          <w:tab w:val="clear" w:pos="708"/>
          <w:tab w:val="left" w:pos="1651" w:leader="none"/>
        </w:tabs>
        <w:suppressAutoHyphens w:val="true"/>
        <w:ind w:left="85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y mejora del desarrollo del tejido económico, comercial y restauración.</w:t>
      </w:r>
    </w:p>
    <w:p>
      <w:pPr>
        <w:pStyle w:val="Normal"/>
        <w:widowControl w:val="false"/>
        <w:tabs>
          <w:tab w:val="clear" w:pos="708"/>
          <w:tab w:val="left" w:pos="1651" w:leader="none"/>
        </w:tabs>
        <w:suppressAutoHyphens w:val="true"/>
        <w:ind w:left="850"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Dinamización de las iniciativas presentadas por el tejido asociativo y participativo del comercio </w:t>
      </w:r>
      <w:r>
        <w:rPr>
          <w:rFonts w:eastAsia="Arial" w:cs="Arial" w:ascii="Arial" w:hAnsi="Arial"/>
          <w:i/>
          <w:sz w:val="20"/>
          <w:szCs w:val="20"/>
          <w:lang w:val="es-ES" w:eastAsia="zh-CN" w:bidi="hi-IN"/>
        </w:rPr>
        <w:t xml:space="preserve">y </w:t>
      </w:r>
      <w:r>
        <w:rPr>
          <w:rFonts w:eastAsia="Arial" w:cs="Arial" w:ascii="Arial" w:hAnsi="Arial"/>
          <w:i/>
          <w:color w:val="000000"/>
          <w:sz w:val="20"/>
          <w:szCs w:val="20"/>
          <w:lang w:val="es-ES" w:eastAsia="zh-CN" w:bidi="hi-IN"/>
        </w:rPr>
        <w:t>la hostelería de Cabrils y que estén destinadas a la promoción del comercio y la restauración local.</w:t>
      </w:r>
    </w:p>
    <w:p>
      <w:pPr>
        <w:pStyle w:val="Normal"/>
        <w:widowControl w:val="false"/>
        <w:suppressAutoHyphens w:val="true"/>
        <w:spacing w:before="8" w:after="0"/>
        <w:ind w:left="3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06" w:leader="none"/>
        </w:tabs>
        <w:suppressAutoHyphens w:val="true"/>
        <w:spacing w:before="1" w:after="0"/>
        <w:ind w:left="841" w:hanging="362"/>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G. Turismo</w:t>
      </w:r>
    </w:p>
    <w:p>
      <w:pPr>
        <w:pStyle w:val="Normal"/>
        <w:widowControl w:val="false"/>
        <w:tabs>
          <w:tab w:val="clear" w:pos="708"/>
          <w:tab w:val="left" w:pos="1651" w:leader="none"/>
        </w:tabs>
        <w:suppressAutoHyphens w:val="true"/>
        <w:ind w:left="1186"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Activación del turismo y de la economía local basada en el turismo.</w:t>
      </w:r>
    </w:p>
    <w:p>
      <w:pPr>
        <w:pStyle w:val="Normal"/>
        <w:widowControl w:val="false"/>
        <w:tabs>
          <w:tab w:val="clear" w:pos="708"/>
          <w:tab w:val="left" w:pos="1666" w:leader="none"/>
        </w:tabs>
        <w:suppressAutoHyphens w:val="true"/>
        <w:ind w:left="1201" w:right="167"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 actuaciones destinadas a situar a Cabrils como destino turístico.</w:t>
      </w:r>
    </w:p>
    <w:p>
      <w:pPr>
        <w:pStyle w:val="Normal"/>
        <w:widowControl w:val="false"/>
        <w:tabs>
          <w:tab w:val="clear" w:pos="708"/>
          <w:tab w:val="left" w:pos="1666" w:leader="none"/>
        </w:tabs>
        <w:suppressAutoHyphens w:val="true"/>
        <w:spacing w:before="4" w:after="0"/>
        <w:ind w:left="850"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 actividades en otros pueblos con el fin de dar a conocer la riqueza turística de Cabrils en el exterior.</w:t>
      </w:r>
    </w:p>
    <w:p>
      <w:pPr>
        <w:pStyle w:val="Normal"/>
        <w:widowControl w:val="false"/>
        <w:tabs>
          <w:tab w:val="clear" w:pos="708"/>
          <w:tab w:val="left" w:pos="1666" w:leader="none"/>
        </w:tabs>
        <w:suppressAutoHyphens w:val="true"/>
        <w:spacing w:before="1" w:after="0"/>
        <w:ind w:left="850"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Dinamización del turismo cultural, gastronómico, deportivo, natural y familiar de Cabrils.</w:t>
      </w:r>
    </w:p>
    <w:p>
      <w:pPr>
        <w:pStyle w:val="Normal"/>
        <w:widowControl w:val="false"/>
        <w:tabs>
          <w:tab w:val="clear" w:pos="708"/>
          <w:tab w:val="left" w:pos="1666" w:leader="none"/>
        </w:tabs>
        <w:suppressAutoHyphens w:val="true"/>
        <w:spacing w:before="1" w:after="0"/>
        <w:ind w:left="850"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Ampliación del abanico de actividades dirigidas a los visitantes y que conforman la oferta turística.</w:t>
      </w:r>
    </w:p>
    <w:p>
      <w:pPr>
        <w:pStyle w:val="Normal"/>
        <w:widowControl w:val="false"/>
        <w:suppressAutoHyphens w:val="true"/>
        <w:spacing w:before="1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Los gastos subvencionables serán aquellos que supongan un coste directo, es decir, que estén directamente vinculados a la ejecución del proyecto y de las actividades recogidas en la solicitud y que hacen posible la consecución de los objetivos y las finalidades que fundamentan otorgamiento de la subvención. En ningún caso, se considerará gasto subvencionable las actividades realizadas por los miembros de la junta de esta asociación y/o familiares.</w:t>
      </w:r>
    </w:p>
    <w:p>
      <w:pPr>
        <w:pStyle w:val="Normal"/>
        <w:widowControl w:val="false"/>
        <w:tabs>
          <w:tab w:val="clear" w:pos="708"/>
          <w:tab w:val="left" w:pos="1373" w:leader="none"/>
        </w:tabs>
        <w:suppressAutoHyphens w:val="true"/>
        <w:ind w:left="547" w:right="15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10"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4. Régimen jurídico</w:t>
      </w:r>
    </w:p>
    <w:p>
      <w:pPr>
        <w:pStyle w:val="Normal"/>
        <w:widowControl w:val="false"/>
        <w:suppressAutoHyphens w:val="true"/>
        <w:spacing w:before="2"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Las subvenciones que conciernen a estas bases se regulan por las normas que se indican a continuación y por el siguiente orden: Estas bases y la convocatoria subsiguiente.</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La ordenanza general de subvenciones aprobada por el Ayuntamiento de Cabrils y publicada en el Boletín Oficial de la Provincia de Barcelona el 15 de junio de 2010</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El Reglamento de subvenciones aprobado por Real Decreto 887/2006, de 21 de julio, por el que se aprueba el reglamento de la Ley 38/2003, de 17 de noviembre, general de subvenciones en todo lo que sea considerado desarrollo de la normativa básica indicada en la disposición final primera de la indicada Ley de subvenciones.</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El Decreto 179/1995, de 16 de junio, por el que se aprueba el reglamento de obras, actividades y servicios de los entes locales.</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La Ley 38/2003, de 17 de noviembre, general de subvenciones antes indicada en lo que se refiere a los artículos considerados como norma básica.</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El Decreto legislativo 2/2003, de 28 de abril, por el que se aprueba el texto refundido de la Ley municipal de régimen local de Cataluña.</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La Ley 7/1985, de 2 de abril, reguladora de las bases del régimen local en todo lo considerado como norma básica.</w:t>
      </w:r>
    </w:p>
    <w:p>
      <w:pPr>
        <w:pStyle w:val="Normal"/>
        <w:widowControl w:val="false"/>
        <w:numPr>
          <w:ilvl w:val="0"/>
          <w:numId w:val="20"/>
        </w:numPr>
        <w:suppressAutoHyphens w:val="true"/>
        <w:overflowPunct w:val="true"/>
        <w:spacing w:before="57" w:after="57"/>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El Real decreto legislativo 2/2004, de 5 de marzo, por el que se aprueba el texto refundido de la Ley reguladora de las haciendas locales.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94" w:after="0"/>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Sin perjuicio de lo que se establece en los artículos 47 y 48 de la Ley 39/2015, de 1 de octubre, del procedimiento administrativo común de las administraciones públicas, el otorgamiento de las subvenciones a las que se hace referencia estas bases tiene carácter voluntario y eventual, es modificable en los supuestos previstos por la normativa indicada, no genera ningún derecho a la obtención de otras subvenciones en años posteriores y no puede alegarse como precedente.</w:t>
      </w:r>
    </w:p>
    <w:p>
      <w:pPr>
        <w:pStyle w:val="Normal"/>
        <w:widowControl w:val="false"/>
        <w:suppressAutoHyphens w:val="true"/>
        <w:spacing w:before="2"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1" w:after="0"/>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otorgamiento de las subvenciones se condiciona, en cualquier caso, a la realización futura o ya ejecutada del proyecto y/o actividad y tiene carácter devolutivo.</w:t>
      </w:r>
    </w:p>
    <w:p>
      <w:pPr>
        <w:pStyle w:val="Normal"/>
        <w:widowControl w:val="false"/>
        <w:tabs>
          <w:tab w:val="clear" w:pos="708"/>
          <w:tab w:val="left" w:pos="1373" w:leader="none"/>
        </w:tabs>
        <w:suppressAutoHyphens w:val="true"/>
        <w:spacing w:before="1" w:after="0"/>
        <w:ind w:right="165"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Todo lo no regulado en las presentes bases se entenderá sujeto a las disposiciones estatales y autonómicas reguladoras del otorgamiento de subvenciones por parte de los entes locales, la Ordenanza General de Subvenciones y las bases generales reguladoras del otorgamiento de subvenciones.</w:t>
      </w:r>
    </w:p>
    <w:p>
      <w:pPr>
        <w:pStyle w:val="Normal"/>
        <w:widowControl w:val="false"/>
        <w:tabs>
          <w:tab w:val="clear" w:pos="708"/>
          <w:tab w:val="left" w:pos="1373" w:leader="none"/>
        </w:tabs>
        <w:suppressAutoHyphens w:val="true"/>
        <w:ind w:right="154"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Las entidades y asociaciones beneficiarias de subvenciones tendrán que cumplir con lo recogido en el Código Ético de cargos electos, personal funcionario y laboral y de otros actores que interactúan con el Ayuntamiento aprobado en el Pleno de 29 de marzo de 2018.</w:t>
      </w:r>
    </w:p>
    <w:p>
      <w:pPr>
        <w:pStyle w:val="Normal"/>
        <w:widowControl w:val="false"/>
        <w:tabs>
          <w:tab w:val="clear" w:pos="708"/>
          <w:tab w:val="left" w:pos="1373" w:leader="none"/>
        </w:tabs>
        <w:suppressAutoHyphens w:val="true"/>
        <w:ind w:right="154"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54"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highlight w:val="white"/>
          <w:lang w:val="es-ES" w:eastAsia="zh-CN" w:bidi="hi-IN"/>
        </w:rPr>
      </w:pPr>
      <w:r>
        <w:rPr>
          <w:rFonts w:eastAsia="Arial" w:cs="Arial" w:ascii="Arial" w:hAnsi="Arial"/>
          <w:b/>
          <w:i/>
          <w:sz w:val="20"/>
          <w:szCs w:val="20"/>
          <w:highlight w:val="white"/>
          <w:lang w:val="es-ES" w:eastAsia="zh-CN" w:bidi="hi-IN"/>
        </w:rPr>
        <w:t>Artículo 5. Procedimiento de concesión de la subvención</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procedimiento para la concesión de las subvenciones se tramitará en régimen de concurrencia competitiva, mediante la aprobación y publicación de esta convocatoria y las bases específicas de acuerdo con los principios de publicidad, transparencia, concurrencia, objetividad, igualdad, no -discriminación, eficacia y eficiencia.</w:t>
      </w:r>
    </w:p>
    <w:p>
      <w:pPr>
        <w:pStyle w:val="Normal"/>
        <w:widowControl w:val="false"/>
        <w:suppressAutoHyphens w:val="true"/>
        <w:spacing w:before="6"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Esta convocatoria y las bases específicas se publicarán en el Boletín Oficial de la Provincia, en el tablón de edictos y en la web municipal.</w:t>
      </w:r>
    </w:p>
    <w:p>
      <w:pPr>
        <w:pStyle w:val="Normal"/>
        <w:widowControl w:val="false"/>
        <w:suppressAutoHyphens w:val="true"/>
        <w:spacing w:before="5"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63"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plazo de presentación de solicitudes empezará a contar al día siguiente de la publicación de la resolución de la convocatoria en el Boletín Oficial de la Provincia.</w:t>
      </w:r>
    </w:p>
    <w:p>
      <w:pPr>
        <w:pStyle w:val="Normal"/>
        <w:widowControl w:val="false"/>
        <w:suppressAutoHyphens w:val="true"/>
        <w:spacing w:before="2"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Una vez publicada la convocatoria, los interesados tendrán que presentar, dentro del plazo indicado, la solicitud de subvención acompañada de la documentación requerida en estas bases.</w:t>
      </w:r>
    </w:p>
    <w:p>
      <w:pPr>
        <w:pStyle w:val="Normal"/>
        <w:widowControl w:val="false"/>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60"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La convocatoria, salvo que se establezca expresamente lo contrario, debe respetar las siguientes fases y plazos:</w:t>
      </w:r>
    </w:p>
    <w:p>
      <w:pPr>
        <w:pStyle w:val="Normal"/>
        <w:widowControl w:val="false"/>
        <w:tabs>
          <w:tab w:val="clear" w:pos="708"/>
          <w:tab w:val="left" w:pos="1373" w:leader="none"/>
        </w:tabs>
        <w:suppressAutoHyphens w:val="true"/>
        <w:ind w:left="547"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651" w:leader="none"/>
        </w:tabs>
        <w:suppressAutoHyphens w:val="true"/>
        <w:spacing w:before="1" w:after="0"/>
        <w:ind w:right="152" w:hanging="36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ab/>
        <w:t>Admisión de solicitudes: una vez presentadas la solicitud y la documentación necesarias, se comprobará que se ajustan a los requisitos. En caso de que el interesado no haya aportado los documentos indicados, se le requerirá mediante notificación para que los aporte de acuerdo con lo que prevé el artículo 68 de la Ley 39/2015, de 1 de octubre, del procedimiento administrativo común de las administraciones públicas. En ningún caso se admitirá la modificación o sustitución de aquellos proyectos ya presentados.</w:t>
      </w:r>
    </w:p>
    <w:p>
      <w:pPr>
        <w:pStyle w:val="Normal"/>
        <w:widowControl w:val="false"/>
        <w:tabs>
          <w:tab w:val="clear" w:pos="708"/>
          <w:tab w:val="left" w:pos="1651" w:leader="none"/>
        </w:tabs>
        <w:suppressAutoHyphens w:val="true"/>
        <w:spacing w:before="1" w:after="0"/>
        <w:ind w:left="830" w:right="15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651" w:leader="none"/>
        </w:tabs>
        <w:suppressAutoHyphens w:val="true"/>
        <w:spacing w:before="1" w:after="0"/>
        <w:ind w:right="152" w:hanging="36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ab/>
        <w:t>Valoración del proyecto o actividad: una vez admitida la solicitud, se valorará el proyecto o la actividad de acuerdo con los criterios establecidos en estas bases, a fin de que la comisión técnica de valoración, como órgano competente, emita el informe preceptivo para la propuesta de resolución del órgano competente.</w:t>
      </w:r>
    </w:p>
    <w:p>
      <w:pPr>
        <w:pStyle w:val="Normal"/>
        <w:widowControl w:val="false"/>
        <w:tabs>
          <w:tab w:val="clear" w:pos="708"/>
          <w:tab w:val="left" w:pos="1651" w:leader="none"/>
        </w:tabs>
        <w:suppressAutoHyphens w:val="true"/>
        <w:spacing w:before="1" w:after="0"/>
        <w:ind w:right="15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p>
      <w:pPr>
        <w:pStyle w:val="Normal"/>
        <w:widowControl w:val="false"/>
        <w:tabs>
          <w:tab w:val="clear" w:pos="708"/>
          <w:tab w:val="left" w:pos="1651" w:leader="none"/>
        </w:tabs>
        <w:suppressAutoHyphens w:val="true"/>
        <w:spacing w:before="1" w:after="0"/>
        <w:ind w:right="164"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Resolución definitiva: la competencia para la resolución de otorgamiento y denegación de las subvenciones corresponde a la Junta de Gobierno Local. La notificación de las resoluciones se efectuará con arreglo al artículo 40 de la Ley 39/2015, de 1 de octubre, del procedimiento administrativo común de las administraciones públicas.</w:t>
      </w:r>
    </w:p>
    <w:p>
      <w:pPr>
        <w:pStyle w:val="Normal"/>
        <w:widowControl w:val="false"/>
        <w:tabs>
          <w:tab w:val="clear" w:pos="708"/>
          <w:tab w:val="left" w:pos="1651" w:leader="none"/>
        </w:tabs>
        <w:suppressAutoHyphens w:val="true"/>
        <w:spacing w:before="1" w:after="0"/>
        <w:ind w:right="164"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p>
      <w:pPr>
        <w:pStyle w:val="Normal"/>
        <w:widowControl w:val="false"/>
        <w:suppressAutoHyphens w:val="true"/>
        <w:spacing w:before="1" w:after="0"/>
        <w:ind w:right="157"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 resolución definitiva pone fin a la vía administrativa, contra la que los interesados podrán interponer, con carácter potestativo, recurso de reposición en el plazo de un mes o recurso contencioso-administrativo o cualquier otro recurso que consideren conveniente para defender sus intereses.</w:t>
      </w:r>
    </w:p>
    <w:p>
      <w:pPr>
        <w:pStyle w:val="Normal"/>
        <w:widowControl w:val="false"/>
        <w:tabs>
          <w:tab w:val="clear" w:pos="708"/>
          <w:tab w:val="left" w:pos="1373" w:leader="none"/>
        </w:tabs>
        <w:suppressAutoHyphens w:val="true"/>
        <w:ind w:right="160"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p>
      <w:pPr>
        <w:pStyle w:val="Normal"/>
        <w:widowControl w:val="false"/>
        <w:tabs>
          <w:tab w:val="clear" w:pos="708"/>
          <w:tab w:val="left" w:pos="1373" w:leader="none"/>
        </w:tabs>
        <w:suppressAutoHyphens w:val="true"/>
        <w:ind w:right="160"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De acuerdo con lo que establece la 39/2015, de 1 de octubre, de procedimiento común de las administraciones públicas, las entidades jurídicas deben relacionarse electrónicamente con la Administración.</w:t>
      </w:r>
    </w:p>
    <w:p>
      <w:pPr>
        <w:pStyle w:val="Normal"/>
        <w:widowControl w:val="false"/>
        <w:tabs>
          <w:tab w:val="clear" w:pos="708"/>
          <w:tab w:val="left" w:pos="1825" w:leader="none"/>
        </w:tabs>
        <w:suppressAutoHyphens w:val="true"/>
        <w:spacing w:before="1" w:after="0"/>
        <w:ind w:left="547" w:right="156"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825" w:leader="none"/>
        </w:tabs>
        <w:suppressAutoHyphens w:val="true"/>
        <w:spacing w:before="1" w:after="0"/>
        <w:ind w:right="156"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Las entidades y asociaciones podrán nombrar vía acuerdo de Junta Directiva o de Asamblea, una persona responsable de la entidad, que será la persona válida para representar a la entidad ante la Administración, previa presentación del certificado al Ayuntamiento. Esta persona, en nombre de la entidad, deberá realizar todos los trámites por vía electrónica, por lo que esta persona deberá disponer de cualquier tipo de certificado digital emitido por una autoridad de certificación y admitido por el Consorcio de Administración Abierta de Cataluña para la identificación ante las administraciones públicas catalanas.</w:t>
      </w:r>
    </w:p>
    <w:p>
      <w:pPr>
        <w:pStyle w:val="Normal"/>
        <w:widowControl w:val="false"/>
        <w:tabs>
          <w:tab w:val="clear" w:pos="708"/>
          <w:tab w:val="left" w:pos="1373" w:leader="none"/>
        </w:tabs>
        <w:suppressAutoHyphens w:val="true"/>
        <w:ind w:left="547"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6"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6. Entidades Beneficiarias</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ind w:right="160"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Se pueden beneficiar de las subvenciones que se regulan en estas bases las asociaciones y entidades, que reúnan los requisitos que se especifican:</w:t>
      </w:r>
    </w:p>
    <w:p>
      <w:pPr>
        <w:pStyle w:val="Normal"/>
        <w:widowControl w:val="false"/>
        <w:tabs>
          <w:tab w:val="clear" w:pos="708"/>
          <w:tab w:val="left" w:pos="1373" w:leader="none"/>
        </w:tabs>
        <w:suppressAutoHyphens w:val="true"/>
        <w:ind w:left="547"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21"/>
        </w:numPr>
        <w:tabs>
          <w:tab w:val="clear" w:pos="708"/>
          <w:tab w:val="left" w:pos="1651" w:leader="none"/>
        </w:tabs>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Tener sede social o domicilio en el término municipal de Cabrils.</w:t>
      </w:r>
    </w:p>
    <w:p>
      <w:pPr>
        <w:pStyle w:val="Normal"/>
        <w:widowControl w:val="false"/>
        <w:numPr>
          <w:ilvl w:val="0"/>
          <w:numId w:val="21"/>
        </w:numPr>
        <w:tabs>
          <w:tab w:val="clear" w:pos="708"/>
          <w:tab w:val="left" w:pos="1651" w:leader="none"/>
        </w:tabs>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Estar debidamente constituidas e inscritas en el Fichero Municipal de Entidades del Ayuntamiento de Cabrils con una antigüedad mínima de 6 meses.</w:t>
      </w:r>
    </w:p>
    <w:p>
      <w:pPr>
        <w:pStyle w:val="Normal"/>
        <w:widowControl w:val="false"/>
        <w:numPr>
          <w:ilvl w:val="0"/>
          <w:numId w:val="21"/>
        </w:numPr>
        <w:tabs>
          <w:tab w:val="clear" w:pos="708"/>
          <w:tab w:val="left" w:pos="1666" w:leader="none"/>
        </w:tabs>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Tener programados proyectos o actividades englobadas en los campos anteriores para realizar en el período comprendido entre el 1 de enero y el 31 de diciembre del año en curso.</w:t>
      </w:r>
    </w:p>
    <w:p>
      <w:pPr>
        <w:pStyle w:val="Normal"/>
        <w:widowControl w:val="false"/>
        <w:numPr>
          <w:ilvl w:val="0"/>
          <w:numId w:val="21"/>
        </w:numPr>
        <w:tabs>
          <w:tab w:val="clear" w:pos="708"/>
          <w:tab w:val="left" w:pos="1666" w:leader="none"/>
        </w:tabs>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Estar al corriente de las obligaciones fiscales con la hacienda local, y, en su caso, haber justificado adecuadamente las subvenciones municipales concedidas anteriormente.</w:t>
      </w:r>
    </w:p>
    <w:p>
      <w:pPr>
        <w:pStyle w:val="Normal"/>
        <w:widowControl w:val="false"/>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59"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No serán beneficiarias de las subvenciones que se regulan en estas bases las asociaciones y entidades, personas físicas y otras personas jurídicas que concurran en alguna de las circunstancias recogidas en el artículo 7 de la Ordenanza General de Subvenciones.</w:t>
      </w:r>
    </w:p>
    <w:p>
      <w:pPr>
        <w:pStyle w:val="Normal"/>
        <w:widowControl w:val="false"/>
        <w:suppressAutoHyphens w:val="true"/>
        <w:spacing w:before="9"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56" w:hanging="433"/>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ab/>
        <w:t>Las entidades y asociaciones que durante el año vigente firmen o tengan firmado con el Ayuntamiento de Cabrils y/o un Organismo Autónomo un convenio que comporte una compensación económica para desarrollar los proyectos o actividades propias, no podrán concurrir en esta convocatoria de subvenciones con el proyecto, actividad o actos incluidos en el convenio.</w:t>
      </w:r>
    </w:p>
    <w:p>
      <w:pPr>
        <w:pStyle w:val="Normal"/>
        <w:widowControl w:val="false"/>
        <w:suppressAutoHyphens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55"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Las entidades y asociaciones tendrán que dar cumplimiento de lo establecido en el “Código Ético de cargos electos, personal funcionario y laboral y de otros actores que interactúan con el Ayuntamiento”, que en el caso de las entidades y asociaciones serán los miembros de los sus órganos.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7. Solicitudes</w:t>
      </w:r>
    </w:p>
    <w:p>
      <w:pPr>
        <w:pStyle w:val="Normal"/>
        <w:widowControl w:val="false"/>
        <w:tabs>
          <w:tab w:val="clear" w:pos="708"/>
          <w:tab w:val="left" w:pos="1373" w:leader="none"/>
        </w:tabs>
        <w:suppressAutoHyphens w:val="true"/>
        <w:ind w:right="163"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Las entidades y asociaciones sólo podrán solicitar subvención por el mismo proyecto o actividad en una única línea de ayudas.</w:t>
      </w:r>
    </w:p>
    <w:p>
      <w:pPr>
        <w:pStyle w:val="Normal"/>
        <w:widowControl w:val="false"/>
        <w:tabs>
          <w:tab w:val="clear" w:pos="708"/>
          <w:tab w:val="left" w:pos="1373" w:leader="none"/>
        </w:tabs>
        <w:suppressAutoHyphens w:val="true"/>
        <w:ind w:right="163"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63"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Las solicitudes deben formularse mediante los impresos normalizados que figurarán en la web municipal ( </w:t>
      </w:r>
      <w:hyperlink r:id="rId2">
        <w:r>
          <w:rPr>
            <w:rFonts w:eastAsia="Arial" w:cs="Arial" w:ascii="Arial" w:hAnsi="Arial"/>
            <w:i/>
            <w:color w:val="000000"/>
            <w:sz w:val="20"/>
            <w:szCs w:val="20"/>
            <w:u w:val="single"/>
            <w:lang w:val="es-ES" w:eastAsia="zh-CN" w:bidi="hi-IN"/>
          </w:rPr>
          <w:t xml:space="preserve">www.cabrils.cat </w:t>
        </w:r>
      </w:hyperlink>
      <w:r>
        <w:rPr>
          <w:rFonts w:eastAsia="Arial" w:cs="Arial" w:ascii="Arial" w:hAnsi="Arial"/>
          <w:i/>
          <w:color w:val="000000"/>
          <w:sz w:val="20"/>
          <w:szCs w:val="20"/>
          <w:lang w:val="es-ES" w:eastAsia="zh-CN" w:bidi="hi-IN"/>
        </w:rPr>
        <w:t>).</w:t>
      </w:r>
    </w:p>
    <w:p>
      <w:pPr>
        <w:pStyle w:val="Normal"/>
        <w:widowControl w:val="false"/>
        <w:tabs>
          <w:tab w:val="clear" w:pos="708"/>
          <w:tab w:val="left" w:pos="1373" w:leader="none"/>
        </w:tabs>
        <w:suppressAutoHyphens w:val="true"/>
        <w:ind w:right="163"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63"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La solicitud debe presentarse en el Registro de Entradas del Ayuntamiento de Cabrils, por la persona designada y por vía electrónica, (tal y como se especifica en el punto 5.4), en un plazo de 20 días </w:t>
      </w:r>
      <w:r>
        <w:rPr>
          <w:rFonts w:eastAsia="Arial" w:cs="Arial" w:ascii="Arial" w:hAnsi="Arial"/>
          <w:b/>
          <w:bCs/>
          <w:i/>
          <w:color w:val="000000"/>
          <w:sz w:val="20"/>
          <w:szCs w:val="20"/>
          <w:u w:val="single"/>
          <w:lang w:val="es-ES" w:eastAsia="zh-CN" w:bidi="hi-IN"/>
        </w:rPr>
        <w:t xml:space="preserve">hábiles </w:t>
      </w:r>
      <w:r>
        <w:rPr>
          <w:rFonts w:eastAsia="Arial" w:cs="Arial" w:ascii="Arial" w:hAnsi="Arial"/>
          <w:i/>
          <w:color w:val="000000"/>
          <w:sz w:val="20"/>
          <w:szCs w:val="20"/>
          <w:lang w:val="es-ES" w:eastAsia="zh-CN" w:bidi="hi-IN"/>
        </w:rPr>
        <w:t>a contar desde el día siguiente de la publicación del anuncio en el Boletín Oficial de la Provincia, con los modelos normalizados que se determinen.</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 documentación a presentar consta de:</w:t>
      </w:r>
    </w:p>
    <w:p>
      <w:pPr>
        <w:pStyle w:val="Normal"/>
        <w:widowControl w:val="false"/>
        <w:numPr>
          <w:ilvl w:val="0"/>
          <w:numId w:val="22"/>
        </w:numPr>
        <w:suppressAutoHyphens w:val="true"/>
        <w:overflowPunct w:val="true"/>
        <w:spacing w:before="208" w:after="0"/>
        <w:jc w:val="both"/>
        <w:rPr>
          <w:rFonts w:ascii="Arial" w:hAnsi="Arial" w:eastAsia="DejaVu Sans" w:cs="Arial"/>
          <w:i/>
          <w:i/>
          <w:sz w:val="20"/>
          <w:szCs w:val="20"/>
          <w:lang w:val="es-ES" w:eastAsia="zh-CN" w:bidi="hi-IN"/>
        </w:rPr>
      </w:pPr>
      <w:r>
        <w:rPr>
          <w:rFonts w:eastAsia="Arial" w:cs="Arial" w:ascii="Arial" w:hAnsi="Arial"/>
          <w:i/>
          <w:color w:val="000000"/>
          <w:sz w:val="20"/>
          <w:szCs w:val="20"/>
          <w:u w:val="single"/>
          <w:lang w:val="es-ES" w:eastAsia="zh-CN" w:bidi="hi-IN"/>
        </w:rPr>
        <w:t xml:space="preserve">Formulario de la solicitud del proyecto y/o actividad, </w:t>
      </w:r>
      <w:r>
        <w:rPr>
          <w:rFonts w:eastAsia="Arial" w:cs="Arial" w:ascii="Arial" w:hAnsi="Arial"/>
          <w:i/>
          <w:color w:val="000000"/>
          <w:sz w:val="20"/>
          <w:szCs w:val="20"/>
          <w:lang w:val="es-ES" w:eastAsia="zh-CN" w:bidi="hi-IN"/>
        </w:rPr>
        <w:t>acompañado de la documentación especificada</w:t>
      </w:r>
    </w:p>
    <w:p>
      <w:pPr>
        <w:pStyle w:val="Normal"/>
        <w:widowControl w:val="false"/>
        <w:numPr>
          <w:ilvl w:val="0"/>
          <w:numId w:val="22"/>
        </w:numPr>
        <w:suppressAutoHyphens w:val="true"/>
        <w:overflowPunct w:val="true"/>
        <w:spacing w:before="1" w:after="0"/>
        <w:jc w:val="both"/>
        <w:rPr>
          <w:rFonts w:ascii="Arial" w:hAnsi="Arial" w:eastAsia="DejaVu Sans" w:cs="Arial"/>
          <w:i/>
          <w:i/>
          <w:sz w:val="20"/>
          <w:szCs w:val="20"/>
          <w:lang w:val="es-ES" w:eastAsia="zh-CN" w:bidi="hi-IN"/>
        </w:rPr>
      </w:pPr>
      <w:r>
        <w:rPr>
          <w:rFonts w:eastAsia="Arial" w:cs="Arial" w:ascii="Arial" w:hAnsi="Arial"/>
          <w:i/>
          <w:sz w:val="20"/>
          <w:szCs w:val="20"/>
          <w:u w:val="single"/>
          <w:lang w:val="es-ES" w:eastAsia="zh-CN" w:bidi="hi-IN"/>
        </w:rPr>
        <w:t>Declaración responsable</w:t>
      </w:r>
    </w:p>
    <w:p>
      <w:pPr>
        <w:pStyle w:val="Normal"/>
        <w:widowControl w:val="false"/>
        <w:numPr>
          <w:ilvl w:val="0"/>
          <w:numId w:val="22"/>
        </w:numPr>
        <w:suppressAutoHyphens w:val="true"/>
        <w:overflowPunct w:val="true"/>
        <w:spacing w:before="2" w:after="0"/>
        <w:jc w:val="both"/>
        <w:rPr>
          <w:rFonts w:ascii="Arial" w:hAnsi="Arial" w:eastAsia="Arial" w:cs="Arial"/>
          <w:i/>
          <w:i/>
          <w:color w:val="000000"/>
          <w:sz w:val="20"/>
          <w:szCs w:val="20"/>
          <w:u w:val="single"/>
          <w:lang w:val="es-ES" w:eastAsia="zh-CN" w:bidi="hi-IN"/>
        </w:rPr>
      </w:pPr>
      <w:r>
        <w:rPr>
          <w:rFonts w:eastAsia="Arial" w:cs="Arial" w:ascii="Arial" w:hAnsi="Arial"/>
          <w:i/>
          <w:color w:val="000000"/>
          <w:sz w:val="20"/>
          <w:szCs w:val="20"/>
          <w:u w:val="single"/>
          <w:lang w:val="es-ES" w:eastAsia="zh-CN" w:bidi="hi-IN"/>
        </w:rPr>
        <w:t>Comunicación de datos bancarios</w:t>
      </w:r>
    </w:p>
    <w:p>
      <w:pPr>
        <w:pStyle w:val="Normal"/>
        <w:widowControl w:val="false"/>
        <w:tabs>
          <w:tab w:val="clear" w:pos="708"/>
          <w:tab w:val="left" w:pos="2025" w:leader="none"/>
          <w:tab w:val="left" w:pos="2026" w:leader="none"/>
        </w:tabs>
        <w:suppressAutoHyphens w:val="true"/>
        <w:spacing w:before="5" w:after="0"/>
        <w:ind w:right="156"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r>
    </w:p>
    <w:p>
      <w:pPr>
        <w:pStyle w:val="Normal"/>
        <w:widowControl w:val="false"/>
        <w:tabs>
          <w:tab w:val="clear" w:pos="708"/>
          <w:tab w:val="left" w:pos="1373" w:leader="none"/>
        </w:tabs>
        <w:suppressAutoHyphens w:val="true"/>
        <w:ind w:right="16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Ayuntamiento puede requerir a la entidad solicitante la documentación complementaria que se considere conveniente.</w:t>
      </w:r>
    </w:p>
    <w:p>
      <w:pPr>
        <w:pStyle w:val="Normal"/>
        <w:widowControl w:val="false"/>
        <w:suppressAutoHyphens w:val="true"/>
        <w:spacing w:before="11" w:after="0"/>
        <w:ind w:left="567" w:hanging="28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57"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En caso de que la documentación de la solicitud sea incumplida o incorrecta, el Ayuntamiento lo notificará a la entidad solicitante requiriendo la complementación o rectificación necesaria en el plazo de diez días hábiles a contar desde el día de la notificación . Vencido este plazo sin la presentación de ninguna enmienda se entenderá como un desistimiento e implicará previa resolución de archivo del expediente.</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4"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8. Criterios de valoración</w:t>
      </w:r>
    </w:p>
    <w:p>
      <w:pPr>
        <w:pStyle w:val="Normal"/>
        <w:widowControl w:val="false"/>
        <w:suppressAutoHyphens w:val="true"/>
        <w:spacing w:before="10"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3" w:leader="none"/>
        </w:tabs>
        <w:suppressAutoHyphens w:val="true"/>
        <w:ind w:right="157"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La valoración de las solicitudes se realizará de acuerdo a unos criterios generales y unos criterios específicos por cada área. Los criterios generales, que se valorarán cuando sean efectivamente evaluables según las características de los proyectos y la naturaleza de las actividades de cada concejalía, son los siguientes: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223" w:type="dxa"/>
        <w:jc w:val="left"/>
        <w:tblInd w:w="87" w:type="dxa"/>
        <w:tblLayout w:type="fixed"/>
        <w:tblCellMar>
          <w:top w:w="0" w:type="dxa"/>
          <w:left w:w="88" w:type="dxa"/>
          <w:bottom w:w="0" w:type="dxa"/>
          <w:right w:w="108" w:type="dxa"/>
        </w:tblCellMar>
        <w:tblLook w:firstRow="0" w:noVBand="0" w:lastRow="0" w:firstColumn="0" w:lastColumn="0" w:noHBand="0" w:val="0000"/>
      </w:tblPr>
      <w:tblGrid>
        <w:gridCol w:w="6802"/>
        <w:gridCol w:w="1420"/>
      </w:tblGrid>
      <w:tr>
        <w:trPr>
          <w:trHeight w:val="508" w:hRule="atLeast"/>
        </w:trPr>
        <w:tc>
          <w:tcPr>
            <w:tcW w:w="6802"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220" w:right="221"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generales</w:t>
            </w:r>
          </w:p>
        </w:tc>
        <w:tc>
          <w:tcPr>
            <w:tcW w:w="1420"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220" w:right="221"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 máxima</w:t>
            </w:r>
          </w:p>
        </w:tc>
      </w:tr>
      <w:tr>
        <w:trPr>
          <w:trHeight w:val="503" w:hRule="atLeast"/>
        </w:trPr>
        <w:tc>
          <w:tcPr>
            <w:tcW w:w="8222" w:type="dxa"/>
            <w:gridSpan w:val="2"/>
            <w:tcBorders>
              <w:top w:val="single" w:sz="4" w:space="0" w:color="000001"/>
              <w:left w:val="single" w:sz="4" w:space="0" w:color="000001"/>
              <w:bottom w:val="single" w:sz="4" w:space="0" w:color="000001"/>
              <w:right w:val="single" w:sz="4" w:space="0" w:color="000001"/>
            </w:tcBorders>
            <w:shd w:color="auto" w:fill="D6E6F4" w:val="clear"/>
            <w:vAlign w:val="center"/>
          </w:tcPr>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En relación con la entidad solicitante del proyecto (máximo 20 puntos)</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Experiencia en el ámbito de actuación</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 punto por año)</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5</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Base social</w:t>
            </w:r>
          </w:p>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(hasta 15 personas socias </w:t>
            </w:r>
            <w:r>
              <w:rPr>
                <w:rFonts w:eastAsia="Arial" w:cs="Arial" w:ascii="Arial" w:hAnsi="Arial"/>
                <w:i/>
                <w:sz w:val="20"/>
                <w:szCs w:val="20"/>
                <w:lang w:val="es-ES" w:eastAsia="zh-CN" w:bidi="hi-IN"/>
              </w:rPr>
              <w:t xml:space="preserve">2 </w:t>
            </w:r>
            <w:r>
              <w:rPr>
                <w:rFonts w:eastAsia="Arial" w:cs="Arial" w:ascii="Arial" w:hAnsi="Arial"/>
                <w:i/>
                <w:color w:val="000000"/>
                <w:sz w:val="20"/>
                <w:szCs w:val="20"/>
                <w:lang w:val="es-ES" w:eastAsia="zh-CN" w:bidi="hi-IN"/>
              </w:rPr>
              <w:t xml:space="preserve">puntos, más de 15 personas socias </w:t>
            </w:r>
            <w:r>
              <w:rPr>
                <w:rFonts w:eastAsia="Arial" w:cs="Arial" w:ascii="Arial" w:hAnsi="Arial"/>
                <w:i/>
                <w:sz w:val="20"/>
                <w:szCs w:val="20"/>
                <w:lang w:val="es-ES" w:eastAsia="zh-CN" w:bidi="hi-IN"/>
              </w:rPr>
              <w:t xml:space="preserve">4 </w:t>
            </w:r>
            <w:r>
              <w:rPr>
                <w:rFonts w:eastAsia="Arial" w:cs="Arial" w:ascii="Arial" w:hAnsi="Arial"/>
                <w:i/>
                <w:color w:val="000000"/>
                <w:sz w:val="20"/>
                <w:szCs w:val="20"/>
                <w:lang w:val="es-ES" w:eastAsia="zh-CN" w:bidi="hi-IN"/>
              </w:rPr>
              <w:t>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4</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Impacto social en el municipio</w:t>
            </w:r>
          </w:p>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(&gt;75% de la base social es de Cabrils 3 puntos, &gt;65% 2 puntos, &gt;55% 1 punto)</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3</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Crecimiento de la base social respecto al año anterior</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1</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Participación acreditada en eventos y actividades impulsados desde el Ayuntamiento de Cabrils el año anterior a la solicitud</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 punto por actividad)</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4</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Participación activa en eventos y actividades impulsadas en el municipio por otras entidades el año anterior</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(0,5 puntos por actividad)</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Acciones en relación al fomento del asociacionismo y la participación ciudadana, de promoción de la entidad y sus actividades, de fomento del tejido asociativo... durante el año anterior</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(0,5 puntos por acto o campaña)</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1</w:t>
            </w:r>
          </w:p>
        </w:tc>
      </w:tr>
      <w:tr>
        <w:trPr>
          <w:trHeight w:val="503" w:hRule="atLeast"/>
        </w:trPr>
        <w:tc>
          <w:tcPr>
            <w:tcW w:w="8222" w:type="dxa"/>
            <w:gridSpan w:val="2"/>
            <w:tcBorders>
              <w:top w:val="single" w:sz="4" w:space="0" w:color="000001"/>
              <w:left w:val="single" w:sz="4" w:space="0" w:color="000001"/>
              <w:bottom w:val="single" w:sz="4" w:space="0" w:color="000001"/>
              <w:right w:val="single" w:sz="4" w:space="0" w:color="000001"/>
            </w:tcBorders>
            <w:shd w:color="auto" w:fill="D6E6F4"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Descripción del proyecto: (máximo 25 puntos)</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Objetivos (interés general de acuerdo con el artículo 2 de las bases)</w:t>
            </w:r>
          </w:p>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(hasta 9 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9</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b/>
                <w:b/>
                <w:i/>
                <w:i/>
                <w:sz w:val="20"/>
                <w:szCs w:val="20"/>
                <w:lang w:val="es-ES" w:eastAsia="zh-CN" w:bidi="hi-IN"/>
              </w:rPr>
            </w:pPr>
            <w:r>
              <w:rPr>
                <w:rFonts w:eastAsia="Arial" w:cs="Arial" w:ascii="Arial" w:hAnsi="Arial"/>
                <w:i/>
                <w:sz w:val="20"/>
                <w:szCs w:val="20"/>
                <w:lang w:val="es-ES" w:eastAsia="zh-CN" w:bidi="hi-IN"/>
              </w:rPr>
              <w:t>Participantes reales</w:t>
            </w:r>
          </w:p>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(1 punto &lt;20 personas, 2 puntos &gt;21 personas)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Número de actos/actuaciones, descripción y duración</w:t>
            </w:r>
          </w:p>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(hasta 8 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8</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Calendario</w:t>
            </w:r>
          </w:p>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(hasta 2 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Organización y metodología</w:t>
            </w:r>
          </w:p>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(hasta 2 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503"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Difusión y comunicación</w:t>
            </w:r>
          </w:p>
          <w:p>
            <w:pPr>
              <w:pStyle w:val="Normal"/>
              <w:widowControl w:val="false"/>
              <w:tabs>
                <w:tab w:val="clear" w:pos="708"/>
                <w:tab w:val="left" w:pos="402" w:leader="none"/>
                <w:tab w:val="left" w:pos="910" w:leader="none"/>
                <w:tab w:val="left" w:pos="2819" w:leader="none"/>
                <w:tab w:val="left" w:pos="3279" w:leader="none"/>
                <w:tab w:val="left" w:pos="4041" w:leader="none"/>
                <w:tab w:val="left" w:pos="4377" w:leader="none"/>
              </w:tabs>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(1 punto por campaña o actuación)</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4" w:after="0"/>
              <w:ind w:left="220" w:right="212"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c>
          <w:tcPr>
            <w:tcW w:w="8222" w:type="dxa"/>
            <w:gridSpan w:val="2"/>
            <w:tcBorders>
              <w:top w:val="single" w:sz="4" w:space="0" w:color="000001"/>
              <w:left w:val="single" w:sz="4" w:space="0" w:color="000001"/>
              <w:bottom w:val="single" w:sz="4" w:space="0" w:color="000001"/>
              <w:right w:val="single" w:sz="4" w:space="0" w:color="000001"/>
            </w:tcBorders>
            <w:shd w:color="auto" w:fill="D6E6F4" w:val="clear"/>
            <w:vAlign w:val="center"/>
          </w:tcPr>
          <w:p>
            <w:pPr>
              <w:pStyle w:val="Normal"/>
              <w:widowControl w:val="false"/>
              <w:tabs>
                <w:tab w:val="clear" w:pos="708"/>
                <w:tab w:val="left" w:pos="2417" w:leader="none"/>
                <w:tab w:val="left" w:pos="2906" w:leader="none"/>
                <w:tab w:val="left" w:pos="3313" w:leader="none"/>
                <w:tab w:val="left" w:pos="4795" w:leader="none"/>
                <w:tab w:val="left" w:pos="5279" w:leader="none"/>
                <w:tab w:val="left" w:pos="6798" w:leader="none"/>
              </w:tabs>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Encaje del proyecto en el municipio (máximo 7 puntos)</w:t>
            </w:r>
          </w:p>
          <w:p>
            <w:pPr>
              <w:pStyle w:val="Normal"/>
              <w:widowControl w:val="false"/>
              <w:tabs>
                <w:tab w:val="clear" w:pos="708"/>
                <w:tab w:val="left" w:pos="2417" w:leader="none"/>
                <w:tab w:val="left" w:pos="2906" w:leader="none"/>
                <w:tab w:val="left" w:pos="3313" w:leader="none"/>
                <w:tab w:val="left" w:pos="4795" w:leader="none"/>
                <w:tab w:val="left" w:pos="5279" w:leader="none"/>
                <w:tab w:val="left" w:pos="6798" w:leader="none"/>
              </w:tabs>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tc>
      </w:tr>
      <w:tr>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417" w:leader="none"/>
                <w:tab w:val="left" w:pos="2906" w:leader="none"/>
                <w:tab w:val="left" w:pos="3313" w:leader="none"/>
                <w:tab w:val="left" w:pos="4795" w:leader="none"/>
                <w:tab w:val="left" w:pos="5279" w:leader="none"/>
                <w:tab w:val="left" w:pos="6798" w:leader="none"/>
              </w:tabs>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Proyecto de nueva implantación (antigüedad &lt; de 2 años)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417" w:leader="none"/>
                <w:tab w:val="left" w:pos="2906" w:leader="none"/>
                <w:tab w:val="left" w:pos="3313" w:leader="none"/>
                <w:tab w:val="left" w:pos="4795" w:leader="none"/>
                <w:tab w:val="left" w:pos="5279" w:leader="none"/>
                <w:tab w:val="left" w:pos="6798" w:leader="none"/>
              </w:tabs>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Déficit de actas/actuaciones similares en el municipio</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3</w:t>
            </w:r>
          </w:p>
        </w:tc>
      </w:tr>
      <w:tr>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417" w:leader="none"/>
                <w:tab w:val="left" w:pos="2906" w:leader="none"/>
                <w:tab w:val="left" w:pos="3313" w:leader="none"/>
                <w:tab w:val="left" w:pos="4795" w:leader="none"/>
                <w:tab w:val="left" w:pos="5279" w:leader="none"/>
                <w:tab w:val="left" w:pos="6798" w:leader="none"/>
              </w:tabs>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Actas/actuaciones que complementan la acción de las políticas locales recogidas en los planes de acción municipales aprobados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 w:after="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507" w:hRule="atLeast"/>
        </w:trPr>
        <w:tc>
          <w:tcPr>
            <w:tcW w:w="8222" w:type="dxa"/>
            <w:gridSpan w:val="2"/>
            <w:tcBorders>
              <w:top w:val="single" w:sz="4" w:space="0" w:color="000001"/>
              <w:left w:val="single" w:sz="4" w:space="0" w:color="000001"/>
              <w:bottom w:val="single" w:sz="4" w:space="0" w:color="000001"/>
              <w:right w:val="single" w:sz="4" w:space="0" w:color="000001"/>
            </w:tcBorders>
            <w:shd w:color="auto" w:fill="D6E6F4" w:val="clear"/>
            <w:vAlign w:val="center"/>
          </w:tcPr>
          <w:p>
            <w:pPr>
              <w:pStyle w:val="Normal"/>
              <w:widowControl w:val="false"/>
              <w:tabs>
                <w:tab w:val="clear" w:pos="708"/>
                <w:tab w:val="left" w:pos="2023" w:leader="none"/>
                <w:tab w:val="left" w:pos="2531" w:leader="none"/>
                <w:tab w:val="left" w:pos="4003" w:leader="none"/>
                <w:tab w:val="left" w:pos="5245" w:leader="none"/>
                <w:tab w:val="left" w:pos="6184" w:leader="none"/>
              </w:tabs>
              <w:suppressAutoHyphens w:val="true"/>
              <w:spacing w:before="4" w:after="0"/>
              <w:ind w:right="161"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Plan de financiación (máximo 6 </w:t>
            </w:r>
            <w:r>
              <w:rPr>
                <w:rFonts w:eastAsia="Arial" w:cs="Arial" w:ascii="Arial" w:hAnsi="Arial"/>
                <w:i/>
                <w:sz w:val="20"/>
                <w:szCs w:val="20"/>
                <w:lang w:val="es-ES" w:eastAsia="zh-CN" w:bidi="hi-IN"/>
              </w:rPr>
              <w:t>puntos)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c>
      </w:tr>
      <w:tr>
        <w:trPr>
          <w:trHeight w:val="506"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023" w:leader="none"/>
                <w:tab w:val="left" w:pos="2531" w:leader="none"/>
                <w:tab w:val="left" w:pos="4003" w:leader="none"/>
                <w:tab w:val="left" w:pos="5245" w:leader="none"/>
                <w:tab w:val="left" w:pos="6184" w:leader="none"/>
              </w:tabs>
              <w:suppressAutoHyphens w:val="true"/>
              <w:ind w:right="161" w:hanging="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 xml:space="preserve">Dependencia financiera, aportación ayuntamiento respecto total presupuesto </w:t>
            </w:r>
            <w:r>
              <w:rPr>
                <w:rFonts w:eastAsia="Arial" w:cs="Arial" w:ascii="Arial" w:hAnsi="Arial"/>
                <w:i/>
                <w:color w:val="000000"/>
                <w:sz w:val="20"/>
                <w:szCs w:val="20"/>
                <w:lang w:val="es-ES" w:eastAsia="zh-CN" w:bidi="hi-IN"/>
              </w:rPr>
              <w:t>(50%</w:t>
            </w:r>
            <w:r>
              <w:rPr>
                <w:rFonts w:eastAsia="Arial" w:cs="Arial" w:ascii="Arial" w:hAnsi="Arial"/>
                <w:i/>
                <w:sz w:val="20"/>
                <w:szCs w:val="20"/>
                <w:lang w:val="es-ES" w:eastAsia="zh-CN" w:bidi="hi-IN"/>
              </w:rPr>
              <w:t xml:space="preserve"> </w:t>
            </w:r>
            <w:r>
              <w:rPr>
                <w:rFonts w:eastAsia="Arial" w:cs="Arial" w:ascii="Arial" w:hAnsi="Arial"/>
                <w:i/>
                <w:color w:val="000000"/>
                <w:sz w:val="20"/>
                <w:szCs w:val="20"/>
                <w:lang w:val="es-ES" w:eastAsia="zh-CN" w:bidi="hi-IN"/>
              </w:rPr>
              <w:t xml:space="preserve">1 punto // </w:t>
            </w:r>
            <w:r>
              <w:rPr>
                <w:rFonts w:eastAsia="Arial" w:cs="Arial" w:ascii="Arial" w:hAnsi="Arial"/>
                <w:i/>
                <w:sz w:val="20"/>
                <w:szCs w:val="20"/>
                <w:lang w:val="es-ES" w:eastAsia="zh-CN" w:bidi="hi-IN"/>
              </w:rPr>
              <w:t xml:space="preserve">49 </w:t>
            </w:r>
            <w:r>
              <w:rPr>
                <w:rFonts w:eastAsia="Arial" w:cs="Arial" w:ascii="Arial" w:hAnsi="Arial"/>
                <w:i/>
                <w:color w:val="000000"/>
                <w:sz w:val="20"/>
                <w:szCs w:val="20"/>
                <w:lang w:val="es-ES" w:eastAsia="zh-CN" w:bidi="hi-IN"/>
              </w:rPr>
              <w:t xml:space="preserve">- </w:t>
            </w:r>
            <w:r>
              <w:rPr>
                <w:rFonts w:eastAsia="Arial" w:cs="Arial" w:ascii="Arial" w:hAnsi="Arial"/>
                <w:i/>
                <w:sz w:val="20"/>
                <w:szCs w:val="20"/>
                <w:lang w:val="es-ES" w:eastAsia="zh-CN" w:bidi="hi-IN"/>
              </w:rPr>
              <w:t xml:space="preserve">25 </w:t>
            </w:r>
            <w:r>
              <w:rPr>
                <w:rFonts w:eastAsia="Arial" w:cs="Arial" w:ascii="Arial" w:hAnsi="Arial"/>
                <w:i/>
                <w:color w:val="000000"/>
                <w:sz w:val="20"/>
                <w:szCs w:val="20"/>
                <w:lang w:val="es-ES" w:eastAsia="zh-CN" w:bidi="hi-IN"/>
              </w:rPr>
              <w:t xml:space="preserve">% 2 puntos // </w:t>
            </w:r>
            <w:r>
              <w:rPr>
                <w:rFonts w:eastAsia="Arial" w:cs="Arial" w:ascii="Arial" w:hAnsi="Arial"/>
                <w:i/>
                <w:sz w:val="20"/>
                <w:szCs w:val="20"/>
                <w:lang w:val="es-ES" w:eastAsia="zh-CN" w:bidi="hi-IN"/>
              </w:rPr>
              <w:t xml:space="preserve">&lt;2 </w:t>
            </w:r>
            <w:r>
              <w:rPr>
                <w:rFonts w:eastAsia="Arial" w:cs="Arial" w:ascii="Arial" w:hAnsi="Arial"/>
                <w:i/>
                <w:color w:val="000000"/>
                <w:sz w:val="20"/>
                <w:szCs w:val="20"/>
                <w:lang w:val="es-ES" w:eastAsia="zh-CN" w:bidi="hi-IN"/>
              </w:rPr>
              <w:t>5% 3 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3</w:t>
            </w:r>
          </w:p>
        </w:tc>
      </w:tr>
      <w:tr>
        <w:trPr>
          <w:trHeight w:val="506"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023" w:leader="none"/>
                <w:tab w:val="left" w:pos="2531" w:leader="none"/>
                <w:tab w:val="left" w:pos="4003" w:leader="none"/>
                <w:tab w:val="left" w:pos="5245" w:leader="none"/>
                <w:tab w:val="left" w:pos="6184" w:leader="none"/>
              </w:tabs>
              <w:suppressAutoHyphens w:val="true"/>
              <w:spacing w:before="4" w:after="0"/>
              <w:ind w:right="1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Otras fuentes de financiación públicas y/o privadas acreditadas</w:t>
            </w:r>
          </w:p>
          <w:p>
            <w:pPr>
              <w:pStyle w:val="Normal"/>
              <w:widowControl w:val="false"/>
              <w:tabs>
                <w:tab w:val="clear" w:pos="708"/>
                <w:tab w:val="left" w:pos="2023" w:leader="none"/>
                <w:tab w:val="left" w:pos="2531" w:leader="none"/>
                <w:tab w:val="left" w:pos="4003" w:leader="none"/>
                <w:tab w:val="left" w:pos="5245" w:leader="none"/>
                <w:tab w:val="left" w:pos="6184" w:leader="none"/>
              </w:tabs>
              <w:suppressAutoHyphens w:val="true"/>
              <w:spacing w:before="4" w:after="0"/>
              <w:ind w:right="1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 punto por cada fuente conseguida, máximo 2 puntos)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506"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023" w:leader="none"/>
                <w:tab w:val="left" w:pos="2531" w:leader="none"/>
                <w:tab w:val="left" w:pos="4003" w:leader="none"/>
                <w:tab w:val="left" w:pos="5245" w:leader="none"/>
                <w:tab w:val="left" w:pos="6184" w:leader="none"/>
              </w:tabs>
              <w:suppressAutoHyphens w:val="true"/>
              <w:spacing w:before="4" w:after="0"/>
              <w:ind w:right="16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Acreditación reducción de gastos respecto a proyectos/actividades similares anteriores</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1</w:t>
            </w:r>
          </w:p>
        </w:tc>
      </w:tr>
      <w:tr>
        <w:trPr>
          <w:trHeight w:val="246" w:hRule="atLeast"/>
        </w:trPr>
        <w:tc>
          <w:tcPr>
            <w:tcW w:w="8222" w:type="dxa"/>
            <w:gridSpan w:val="2"/>
            <w:tcBorders>
              <w:top w:val="single" w:sz="4" w:space="0" w:color="000001"/>
              <w:left w:val="single" w:sz="4" w:space="0" w:color="000001"/>
              <w:bottom w:val="single" w:sz="4" w:space="0" w:color="000001"/>
              <w:right w:val="single" w:sz="4" w:space="0" w:color="000001"/>
            </w:tcBorders>
            <w:shd w:color="auto" w:fill="D6E6F4" w:val="clear"/>
            <w:vAlign w:val="center"/>
          </w:tcPr>
          <w:p>
            <w:pPr>
              <w:pStyle w:val="Normal"/>
              <w:widowControl w:val="false"/>
              <w:tabs>
                <w:tab w:val="clear" w:pos="708"/>
                <w:tab w:val="left" w:pos="2589" w:leader="none"/>
                <w:tab w:val="left" w:pos="3088" w:leader="none"/>
                <w:tab w:val="left" w:pos="4059" w:leader="none"/>
                <w:tab w:val="left" w:pos="5324" w:leader="none"/>
                <w:tab w:val="left" w:pos="5621" w:leader="none"/>
                <w:tab w:val="left" w:pos="6796" w:leader="none"/>
              </w:tabs>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Control y seguimiento (máximo 2 puntos)</w:t>
            </w:r>
          </w:p>
        </w:tc>
      </w:tr>
      <w:tr>
        <w:trPr>
          <w:trHeight w:val="246"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tabs>
                <w:tab w:val="clear" w:pos="708"/>
                <w:tab w:val="left" w:pos="2589" w:leader="none"/>
                <w:tab w:val="left" w:pos="3088" w:leader="none"/>
                <w:tab w:val="left" w:pos="4059" w:leader="none"/>
                <w:tab w:val="left" w:pos="5324" w:leader="none"/>
                <w:tab w:val="left" w:pos="5621" w:leader="none"/>
                <w:tab w:val="left" w:pos="6796" w:leader="none"/>
              </w:tabs>
              <w:suppressAutoHyphens w:val="true"/>
              <w:spacing w:before="1" w:after="0"/>
              <w:ind w:right="162" w:hanging="0"/>
              <w:jc w:val="both"/>
              <w:rPr>
                <w:rFonts w:ascii="Arial" w:hAnsi="Arial" w:eastAsia="Arial" w:cs="Arial"/>
                <w:i/>
                <w:i/>
                <w:color w:val="000000"/>
                <w:sz w:val="20"/>
                <w:szCs w:val="20"/>
                <w:lang w:val="es-ES" w:eastAsia="zh-CN" w:bidi="hi-IN"/>
              </w:rPr>
            </w:pPr>
            <w:r>
              <w:rPr>
                <w:rFonts w:eastAsia="Arial" w:cs="Arial" w:ascii="Arial" w:hAnsi="Arial"/>
                <w:i/>
                <w:sz w:val="20"/>
                <w:szCs w:val="20"/>
                <w:lang w:val="es-ES" w:eastAsia="zh-CN" w:bidi="hi-IN"/>
              </w:rPr>
              <w:t xml:space="preserve">Existencia de </w:t>
            </w:r>
            <w:r>
              <w:rPr>
                <w:rFonts w:eastAsia="Arial" w:cs="Arial" w:ascii="Arial" w:hAnsi="Arial"/>
                <w:i/>
                <w:color w:val="000000"/>
                <w:sz w:val="20"/>
                <w:szCs w:val="20"/>
                <w:lang w:val="es-ES" w:eastAsia="zh-CN" w:bidi="hi-IN"/>
              </w:rPr>
              <w:t xml:space="preserve">sistemas de control </w:t>
            </w:r>
            <w:r>
              <w:rPr>
                <w:rFonts w:eastAsia="Arial" w:cs="Arial" w:ascii="Arial" w:hAnsi="Arial"/>
                <w:i/>
                <w:sz w:val="20"/>
                <w:szCs w:val="20"/>
                <w:lang w:val="es-ES" w:eastAsia="zh-CN" w:bidi="hi-IN"/>
              </w:rPr>
              <w:t xml:space="preserve">y </w:t>
            </w:r>
            <w:r>
              <w:rPr>
                <w:rFonts w:eastAsia="Arial" w:cs="Arial" w:ascii="Arial" w:hAnsi="Arial"/>
                <w:i/>
                <w:color w:val="000000"/>
                <w:sz w:val="20"/>
                <w:szCs w:val="20"/>
                <w:lang w:val="es-ES" w:eastAsia="zh-CN" w:bidi="hi-IN"/>
              </w:rPr>
              <w:t xml:space="preserve">seguimiento de </w:t>
            </w:r>
            <w:r>
              <w:rPr>
                <w:rFonts w:eastAsia="Arial" w:cs="Arial" w:ascii="Arial" w:hAnsi="Arial"/>
                <w:i/>
                <w:sz w:val="20"/>
                <w:szCs w:val="20"/>
                <w:lang w:val="es-ES" w:eastAsia="zh-CN" w:bidi="hi-IN"/>
              </w:rPr>
              <w:t xml:space="preserve">evaluación </w:t>
            </w:r>
            <w:r>
              <w:rPr>
                <w:rFonts w:eastAsia="Arial" w:cs="Arial" w:ascii="Arial" w:hAnsi="Arial"/>
                <w:i/>
                <w:color w:val="000000"/>
                <w:sz w:val="20"/>
                <w:szCs w:val="20"/>
                <w:lang w:val="es-ES" w:eastAsia="zh-CN" w:bidi="hi-IN"/>
              </w:rPr>
              <w:t xml:space="preserve">del proyecto (como juntas </w:t>
            </w:r>
            <w:r>
              <w:rPr>
                <w:rFonts w:eastAsia="Arial" w:cs="Arial" w:ascii="Arial" w:hAnsi="Arial"/>
                <w:i/>
                <w:sz w:val="20"/>
                <w:szCs w:val="20"/>
                <w:lang w:val="es-ES" w:eastAsia="zh-CN" w:bidi="hi-IN"/>
              </w:rPr>
              <w:t>, asambleas, comisiones específicas o control técnico y/o económico externo por parte de profesionales)</w:t>
            </w:r>
          </w:p>
          <w:p>
            <w:pPr>
              <w:pStyle w:val="Normal"/>
              <w:widowControl w:val="false"/>
              <w:tabs>
                <w:tab w:val="clear" w:pos="708"/>
                <w:tab w:val="left" w:pos="2589" w:leader="none"/>
                <w:tab w:val="left" w:pos="3088" w:leader="none"/>
                <w:tab w:val="left" w:pos="4059" w:leader="none"/>
                <w:tab w:val="left" w:pos="5324" w:leader="none"/>
                <w:tab w:val="left" w:pos="5621" w:leader="none"/>
                <w:tab w:val="left" w:pos="6796" w:leader="none"/>
              </w:tabs>
              <w:suppressAutoHyphens w:val="true"/>
              <w:spacing w:before="1" w:after="0"/>
              <w:ind w:right="162"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(hasta </w:t>
            </w:r>
            <w:r>
              <w:rPr>
                <w:rFonts w:eastAsia="Arial" w:cs="Arial" w:ascii="Arial" w:hAnsi="Arial"/>
                <w:i/>
                <w:sz w:val="20"/>
                <w:szCs w:val="20"/>
                <w:lang w:val="es-ES" w:eastAsia="zh-CN" w:bidi="hi-IN"/>
              </w:rPr>
              <w:t xml:space="preserve">2 </w:t>
            </w:r>
            <w:r>
              <w:rPr>
                <w:rFonts w:eastAsia="Arial" w:cs="Arial" w:ascii="Arial" w:hAnsi="Arial"/>
                <w:i/>
                <w:color w:val="000000"/>
                <w:sz w:val="20"/>
                <w:szCs w:val="20"/>
                <w:lang w:val="es-ES" w:eastAsia="zh-CN" w:bidi="hi-IN"/>
              </w:rPr>
              <w:t xml:space="preserve">puntos </w:t>
            </w:r>
            <w:r>
              <w:rPr>
                <w:rFonts w:eastAsia="Arial" w:cs="Arial" w:ascii="Arial" w:hAnsi="Arial"/>
                <w:i/>
                <w:sz w:val="20"/>
                <w:szCs w:val="20"/>
                <w:lang w:val="es-ES" w:eastAsia="zh-CN" w:bidi="hi-IN"/>
              </w:rPr>
              <w:t>)</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122" w:after="0"/>
              <w:ind w:left="6"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w:t>
            </w:r>
          </w:p>
        </w:tc>
      </w:tr>
      <w:tr>
        <w:trPr>
          <w:trHeight w:val="246" w:hRule="atLeast"/>
        </w:trPr>
        <w:tc>
          <w:tcPr>
            <w:tcW w:w="680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287"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42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220" w:right="212"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60</w:t>
            </w:r>
          </w:p>
        </w:tc>
      </w:tr>
    </w:tbl>
    <w:p>
      <w:pPr>
        <w:pStyle w:val="Normal"/>
        <w:widowControl w:val="false"/>
        <w:suppressAutoHyphens w:val="true"/>
        <w:spacing w:before="1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98" w:after="0"/>
        <w:ind w:right="163" w:hanging="433"/>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ab/>
        <w:t>En cuanto a los criterios específicos para cada campo de actuación, se valorarán de la siguiente forma:</w:t>
      </w:r>
    </w:p>
    <w:p>
      <w:pPr>
        <w:pStyle w:val="Normal"/>
        <w:widowControl w:val="false"/>
        <w:tabs>
          <w:tab w:val="clear" w:pos="708"/>
          <w:tab w:val="left" w:pos="1095" w:leader="none"/>
        </w:tabs>
        <w:suppressAutoHyphens w:val="true"/>
        <w:spacing w:before="98" w:after="0"/>
        <w:ind w:left="547" w:right="163"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168" w:type="dxa"/>
        <w:jc w:val="left"/>
        <w:tblInd w:w="99" w:type="dxa"/>
        <w:tblLayout w:type="fixed"/>
        <w:tblCellMar>
          <w:top w:w="0" w:type="dxa"/>
          <w:left w:w="88" w:type="dxa"/>
          <w:bottom w:w="0" w:type="dxa"/>
          <w:right w:w="108" w:type="dxa"/>
        </w:tblCellMar>
        <w:tblLook w:firstRow="0" w:noVBand="0" w:lastRow="0" w:firstColumn="0" w:lastColumn="0" w:noHBand="0" w:val="0000"/>
      </w:tblPr>
      <w:tblGrid>
        <w:gridCol w:w="6545"/>
        <w:gridCol w:w="1622"/>
      </w:tblGrid>
      <w:tr>
        <w:trPr>
          <w:trHeight w:val="508" w:hRule="atLeast"/>
        </w:trPr>
        <w:tc>
          <w:tcPr>
            <w:tcW w:w="6545"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220" w:right="221"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específicos del área de Cooperación y Solidaridad</w:t>
            </w:r>
          </w:p>
        </w:tc>
        <w:tc>
          <w:tcPr>
            <w:tcW w:w="1622" w:type="dxa"/>
            <w:tcBorders>
              <w:top w:val="single" w:sz="4" w:space="0" w:color="000001"/>
              <w:left w:val="single" w:sz="4" w:space="0" w:color="000001"/>
              <w:bottom w:val="single" w:sz="4" w:space="0" w:color="000001"/>
              <w:right w:val="single" w:sz="4" w:space="0" w:color="000001"/>
            </w:tcBorders>
            <w:shd w:color="auto" w:fill="BEBEBE" w:val="clear"/>
          </w:tcPr>
          <w:p>
            <w:pPr>
              <w:pStyle w:val="Normal"/>
              <w:widowControl w:val="false"/>
              <w:suppressAutoHyphens w:val="true"/>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w:t>
            </w:r>
          </w:p>
          <w:p>
            <w:pPr>
              <w:pStyle w:val="Normal"/>
              <w:widowControl w:val="false"/>
              <w:suppressAutoHyphens w:val="true"/>
              <w:spacing w:before="1" w:after="0"/>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máxima</w:t>
            </w:r>
          </w:p>
        </w:tc>
      </w:tr>
      <w:tr>
        <w:trPr>
          <w:trHeight w:val="254" w:hRule="atLeast"/>
        </w:trPr>
        <w:tc>
          <w:tcPr>
            <w:tcW w:w="6545"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Objetivos/finalidades del proyecto y/o actividad</w:t>
            </w:r>
          </w:p>
          <w:p>
            <w:pPr>
              <w:pStyle w:val="Normal"/>
              <w:widowControl w:val="false"/>
              <w:suppressAutoHyphens w:val="true"/>
              <w:ind w:left="72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(hasta 10 puntos)</w:t>
            </w:r>
          </w:p>
        </w:tc>
        <w:tc>
          <w:tcPr>
            <w:tcW w:w="162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w:t>
            </w:r>
          </w:p>
        </w:tc>
      </w:tr>
      <w:tr>
        <w:trPr>
          <w:trHeight w:val="254" w:hRule="atLeast"/>
        </w:trPr>
        <w:tc>
          <w:tcPr>
            <w:tcW w:w="6545" w:type="dxa"/>
            <w:tcBorders>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Descripción de las actuaciones/acciones específicas</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iCs/>
                <w:color w:val="000000"/>
                <w:sz w:val="20"/>
                <w:szCs w:val="20"/>
                <w:lang w:val="es-ES" w:eastAsia="zh-CN" w:bidi="hi-IN"/>
              </w:rPr>
              <w:t>(hasta 10 puntos)</w:t>
            </w:r>
          </w:p>
        </w:tc>
        <w:tc>
          <w:tcPr>
            <w:tcW w:w="1622" w:type="dxa"/>
            <w:tcBorders>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10</w:t>
            </w:r>
          </w:p>
        </w:tc>
      </w:tr>
      <w:tr>
        <w:trPr>
          <w:trHeight w:val="254" w:hRule="atLeast"/>
        </w:trPr>
        <w:tc>
          <w:tcPr>
            <w:tcW w:w="6545"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Desarrollo y derechos fundamentales (relación de derechos </w:t>
            </w:r>
            <w:r>
              <w:rPr>
                <w:rFonts w:eastAsia="Arial" w:cs="Arial" w:ascii="Arial" w:hAnsi="Arial"/>
                <w:i/>
                <w:sz w:val="20"/>
                <w:szCs w:val="20"/>
                <w:lang w:val="es-ES" w:eastAsia="zh-CN" w:bidi="hi-IN"/>
              </w:rPr>
              <w:t>que se ven reforzados con el proyecto)</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2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5</w:t>
            </w:r>
          </w:p>
        </w:tc>
      </w:tr>
      <w:tr>
        <w:trPr>
          <w:trHeight w:val="253" w:hRule="atLeast"/>
        </w:trPr>
        <w:tc>
          <w:tcPr>
            <w:tcW w:w="6545"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Atención a los grupos de población más desfavorecidos y/o en situación de vulnerabilidad</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2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3" w:hRule="atLeast"/>
        </w:trPr>
        <w:tc>
          <w:tcPr>
            <w:tcW w:w="6545"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Participación Social</w:t>
            </w:r>
          </w:p>
          <w:p>
            <w:pPr>
              <w:pStyle w:val="Normal"/>
              <w:widowControl w:val="false"/>
              <w:numPr>
                <w:ilvl w:val="0"/>
                <w:numId w:val="16"/>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participación en el proyecto de voluntariado del municipio</w:t>
            </w:r>
          </w:p>
          <w:p>
            <w:pPr>
              <w:pStyle w:val="Normal"/>
              <w:widowControl w:val="false"/>
              <w:suppressAutoHyphens w:val="true"/>
              <w:ind w:left="1440" w:hanging="0"/>
              <w:jc w:val="both"/>
              <w:rPr>
                <w:rFonts w:ascii="Arial" w:hAnsi="Arial" w:eastAsia="Arial" w:cs="Arial"/>
                <w:i/>
                <w:i/>
                <w:sz w:val="20"/>
                <w:szCs w:val="20"/>
                <w:lang w:val="es-ES" w:eastAsia="zh-CN" w:bidi="hi-IN"/>
              </w:rPr>
            </w:pPr>
            <w:r>
              <w:rPr>
                <w:rFonts w:eastAsia="Arial" w:cs="Arial" w:ascii="Arial" w:hAnsi="Arial"/>
                <w:i/>
                <w:iCs/>
                <w:sz w:val="20"/>
                <w:szCs w:val="20"/>
                <w:lang w:val="es-ES" w:eastAsia="zh-CN" w:bidi="hi-IN"/>
              </w:rPr>
              <w:t>(2 puntos)</w:t>
            </w:r>
          </w:p>
          <w:p>
            <w:pPr>
              <w:pStyle w:val="Normal"/>
              <w:widowControl w:val="false"/>
              <w:numPr>
                <w:ilvl w:val="0"/>
                <w:numId w:val="16"/>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mecanismos de participación de la propia comunidad destinataria</w:t>
            </w:r>
          </w:p>
          <w:p>
            <w:pPr>
              <w:pStyle w:val="Normal"/>
              <w:widowControl w:val="false"/>
              <w:suppressAutoHyphens w:val="true"/>
              <w:ind w:left="1440" w:hanging="0"/>
              <w:jc w:val="both"/>
              <w:rPr>
                <w:rFonts w:ascii="Arial" w:hAnsi="Arial" w:eastAsia="Arial" w:cs="Arial"/>
                <w:i/>
                <w:i/>
                <w:sz w:val="20"/>
                <w:szCs w:val="20"/>
                <w:lang w:val="es-ES" w:eastAsia="zh-CN" w:bidi="hi-IN"/>
              </w:rPr>
            </w:pPr>
            <w:r>
              <w:rPr>
                <w:rFonts w:eastAsia="Arial" w:cs="Arial" w:ascii="Arial" w:hAnsi="Arial"/>
                <w:i/>
                <w:iCs/>
                <w:sz w:val="20"/>
                <w:szCs w:val="20"/>
                <w:lang w:val="es-ES" w:eastAsia="zh-CN" w:bidi="hi-IN"/>
              </w:rPr>
              <w:t>(3 puntos)</w:t>
            </w:r>
          </w:p>
        </w:tc>
        <w:tc>
          <w:tcPr>
            <w:tcW w:w="162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3" w:hRule="atLeast"/>
        </w:trPr>
        <w:tc>
          <w:tcPr>
            <w:tcW w:w="6545"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Realización de actividades y sensibilización social</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iCs/>
                <w:sz w:val="20"/>
                <w:szCs w:val="20"/>
                <w:lang w:val="es-ES" w:eastAsia="zh-CN" w:bidi="hi-IN"/>
              </w:rPr>
              <w:t>(1`5 puntos por acción, máximo 5 puntos)</w:t>
            </w:r>
          </w:p>
        </w:tc>
        <w:tc>
          <w:tcPr>
            <w:tcW w:w="162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3" w:hRule="atLeast"/>
        </w:trPr>
        <w:tc>
          <w:tcPr>
            <w:tcW w:w="6545"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287"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62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40</w:t>
            </w:r>
          </w:p>
        </w:tc>
      </w:tr>
    </w:tbl>
    <w:p>
      <w:pPr>
        <w:pStyle w:val="Normal"/>
        <w:widowControl w:val="false"/>
        <w:suppressAutoHyphens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212" w:type="dxa"/>
        <w:jc w:val="left"/>
        <w:tblInd w:w="85" w:type="dxa"/>
        <w:tblLayout w:type="fixed"/>
        <w:tblCellMar>
          <w:top w:w="0" w:type="dxa"/>
          <w:left w:w="88" w:type="dxa"/>
          <w:bottom w:w="0" w:type="dxa"/>
          <w:right w:w="108" w:type="dxa"/>
        </w:tblCellMar>
        <w:tblLook w:firstRow="0" w:noVBand="0" w:lastRow="0" w:firstColumn="0" w:lastColumn="0" w:noHBand="0" w:val="0000"/>
      </w:tblPr>
      <w:tblGrid>
        <w:gridCol w:w="6558"/>
        <w:gridCol w:w="1653"/>
      </w:tblGrid>
      <w:tr>
        <w:trPr>
          <w:trHeight w:val="508" w:hRule="atLeast"/>
        </w:trPr>
        <w:tc>
          <w:tcPr>
            <w:tcW w:w="6558"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220" w:right="221"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específicos del área de Educación</w:t>
            </w:r>
          </w:p>
        </w:tc>
        <w:tc>
          <w:tcPr>
            <w:tcW w:w="1653"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95" w:right="93"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w:t>
            </w:r>
          </w:p>
          <w:p>
            <w:pPr>
              <w:pStyle w:val="Normal"/>
              <w:widowControl w:val="false"/>
              <w:suppressAutoHyphens w:val="true"/>
              <w:spacing w:before="1" w:after="0"/>
              <w:ind w:left="93" w:right="93"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máxima</w:t>
            </w:r>
          </w:p>
        </w:tc>
      </w:tr>
      <w:tr>
        <w:trPr>
          <w:trHeight w:val="504"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7"/>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Objetivos/finalidades del proyecto y/o actividad</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(hasta 10 puntos)</w:t>
            </w:r>
          </w:p>
        </w:tc>
        <w:tc>
          <w:tcPr>
            <w:tcW w:w="165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10</w:t>
            </w:r>
          </w:p>
        </w:tc>
      </w:tr>
      <w:tr>
        <w:trPr>
          <w:trHeight w:val="504" w:hRule="atLeast"/>
        </w:trPr>
        <w:tc>
          <w:tcPr>
            <w:tcW w:w="6558" w:type="dxa"/>
            <w:tcBorders>
              <w:left w:val="single" w:sz="4" w:space="0" w:color="000001"/>
              <w:bottom w:val="single" w:sz="4" w:space="0" w:color="000001"/>
              <w:right w:val="single" w:sz="4" w:space="0" w:color="000001"/>
            </w:tcBorders>
            <w:shd w:color="auto" w:fill="FFFFFF" w:val="clear"/>
          </w:tcPr>
          <w:p>
            <w:pPr>
              <w:pStyle w:val="Normal"/>
              <w:widowControl w:val="false"/>
              <w:numPr>
                <w:ilvl w:val="0"/>
                <w:numId w:val="7"/>
              </w:numPr>
              <w:suppressAutoHyphens w:val="true"/>
              <w:overflowPunct w:val="true"/>
              <w:spacing w:before="6" w:after="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Descripción de las actuaciones/acciones específicas</w:t>
            </w:r>
          </w:p>
          <w:p>
            <w:pPr>
              <w:pStyle w:val="Normal"/>
              <w:widowControl w:val="false"/>
              <w:suppressAutoHyphens w:val="true"/>
              <w:spacing w:before="6" w:after="0"/>
              <w:ind w:left="720" w:hanging="0"/>
              <w:jc w:val="both"/>
              <w:rPr>
                <w:rFonts w:ascii="Arial" w:hAnsi="Arial" w:eastAsia="DejaVu Sans" w:cs="Arial"/>
                <w:i/>
                <w:i/>
                <w:sz w:val="20"/>
                <w:szCs w:val="20"/>
                <w:lang w:val="es-ES" w:eastAsia="zh-CN" w:bidi="hi-IN"/>
              </w:rPr>
            </w:pPr>
            <w:r>
              <w:rPr>
                <w:rFonts w:eastAsia="Arial" w:cs="Arial" w:ascii="Arial" w:hAnsi="Arial"/>
                <w:i/>
                <w:iCs/>
                <w:color w:val="000000"/>
                <w:sz w:val="20"/>
                <w:szCs w:val="20"/>
                <w:lang w:val="es-ES" w:eastAsia="zh-CN" w:bidi="hi-IN"/>
              </w:rPr>
              <w:t>(hasta 10 puntos)</w:t>
            </w:r>
          </w:p>
        </w:tc>
        <w:tc>
          <w:tcPr>
            <w:tcW w:w="1653"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10</w:t>
            </w:r>
          </w:p>
        </w:tc>
      </w:tr>
      <w:tr>
        <w:trPr>
          <w:trHeight w:val="504" w:hRule="atLeast"/>
        </w:trPr>
        <w:tc>
          <w:tcPr>
            <w:tcW w:w="6558" w:type="dxa"/>
            <w:tcBorders>
              <w:left w:val="single" w:sz="4" w:space="0" w:color="000001"/>
              <w:bottom w:val="single" w:sz="4" w:space="0" w:color="000001"/>
              <w:right w:val="single" w:sz="4" w:space="0" w:color="000001"/>
            </w:tcBorders>
            <w:shd w:color="auto" w:fill="FFFFFF" w:val="clear"/>
          </w:tcPr>
          <w:p>
            <w:pPr>
              <w:pStyle w:val="Normal"/>
              <w:widowControl w:val="false"/>
              <w:numPr>
                <w:ilvl w:val="0"/>
                <w:numId w:val="7"/>
              </w:numPr>
              <w:suppressAutoHyphens w:val="true"/>
              <w:overflowPunct w:val="true"/>
              <w:spacing w:before="6"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Proyecto/actividades que impulsen la formación extracurricular de niños y jóvenes del municipio.</w:t>
            </w:r>
          </w:p>
        </w:tc>
        <w:tc>
          <w:tcPr>
            <w:tcW w:w="1653"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3"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7"/>
              </w:numPr>
              <w:suppressAutoHyphens w:val="true"/>
              <w:overflowPunct w:val="true"/>
              <w:spacing w:before="6" w:after="0"/>
              <w:ind w:left="720" w:right="20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Adecuación del proyecto/actividades a las prioridades establecidas en el Plan Educativo de Cabrils.</w:t>
            </w:r>
          </w:p>
        </w:tc>
        <w:tc>
          <w:tcPr>
            <w:tcW w:w="165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8"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7"/>
              </w:numPr>
              <w:suppressAutoHyphens w:val="true"/>
              <w:overflowPunct w:val="true"/>
              <w:spacing w:before="6" w:after="0"/>
              <w:ind w:left="720" w:right="20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Proyecto/actividades que impulsen la relación familia-centros educativos favoreciendo la implicación del conjunto de la comunidad educativa</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0"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7"/>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 la participación de la comunidad educativa en el tejido social y actividades del municipio.</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3"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292"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65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40</w:t>
            </w:r>
          </w:p>
        </w:tc>
      </w:tr>
    </w:tbl>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266" w:type="dxa"/>
        <w:jc w:val="left"/>
        <w:tblInd w:w="30" w:type="dxa"/>
        <w:tblLayout w:type="fixed"/>
        <w:tblCellMar>
          <w:top w:w="0" w:type="dxa"/>
          <w:left w:w="88" w:type="dxa"/>
          <w:bottom w:w="0" w:type="dxa"/>
          <w:right w:w="108" w:type="dxa"/>
        </w:tblCellMar>
        <w:tblLook w:firstRow="0" w:noVBand="0" w:lastRow="0" w:firstColumn="0" w:lastColumn="0" w:noHBand="0" w:val="0000"/>
      </w:tblPr>
      <w:tblGrid>
        <w:gridCol w:w="6613"/>
        <w:gridCol w:w="1652"/>
      </w:tblGrid>
      <w:tr>
        <w:trPr>
          <w:trHeight w:val="508" w:hRule="atLeast"/>
        </w:trPr>
        <w:tc>
          <w:tcPr>
            <w:tcW w:w="6613"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específicos del área de Cultura</w:t>
            </w:r>
          </w:p>
        </w:tc>
        <w:tc>
          <w:tcPr>
            <w:tcW w:w="1652"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w:t>
            </w:r>
          </w:p>
          <w:p>
            <w:pPr>
              <w:pStyle w:val="Normal"/>
              <w:widowControl w:val="false"/>
              <w:suppressAutoHyphens w:val="true"/>
              <w:spacing w:before="1" w:after="0"/>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máxima</w:t>
            </w:r>
          </w:p>
        </w:tc>
      </w:tr>
      <w:tr>
        <w:trPr>
          <w:trHeight w:val="253"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3"/>
              </w:numPr>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Objetivos/finalidades del proyecto y/o actividad</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(hasta 10 puntos)</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w:t>
            </w:r>
          </w:p>
        </w:tc>
      </w:tr>
      <w:tr>
        <w:trPr>
          <w:trHeight w:val="249"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3"/>
              </w:numPr>
              <w:suppressAutoHyphens w:val="true"/>
              <w:spacing w:before="6" w:after="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Descripción de las actuaciones/acciones específicas</w:t>
            </w:r>
          </w:p>
          <w:p>
            <w:pPr>
              <w:pStyle w:val="Normal"/>
              <w:widowControl w:val="false"/>
              <w:suppressAutoHyphens w:val="true"/>
              <w:spacing w:before="6" w:after="0"/>
              <w:ind w:left="720" w:hanging="0"/>
              <w:jc w:val="both"/>
              <w:rPr>
                <w:rFonts w:ascii="Arial" w:hAnsi="Arial" w:eastAsia="DejaVu Sans" w:cs="Arial"/>
                <w:i/>
                <w:i/>
                <w:sz w:val="20"/>
                <w:szCs w:val="20"/>
                <w:lang w:val="es-ES" w:eastAsia="zh-CN" w:bidi="hi-IN"/>
              </w:rPr>
            </w:pPr>
            <w:r>
              <w:rPr>
                <w:rFonts w:eastAsia="Arial" w:cs="Arial" w:ascii="Arial" w:hAnsi="Arial"/>
                <w:i/>
                <w:iCs/>
                <w:color w:val="000000"/>
                <w:sz w:val="20"/>
                <w:szCs w:val="20"/>
                <w:lang w:val="es-ES" w:eastAsia="zh-CN" w:bidi="hi-IN"/>
              </w:rPr>
              <w:t>(hasta 10 puntos)</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w:t>
            </w:r>
          </w:p>
        </w:tc>
      </w:tr>
      <w:tr>
        <w:trPr>
          <w:trHeight w:val="253"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3"/>
              </w:numPr>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Difusión del patrimonio cultural material e inmaterial del municipio</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4"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3"/>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y difusión de expresiones de la cultura popular y tradicional</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4"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3"/>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color w:val="000000"/>
                <w:sz w:val="20"/>
                <w:szCs w:val="20"/>
                <w:lang w:val="es-ES" w:eastAsia="zh-CN" w:bidi="hi-IN"/>
              </w:rPr>
              <w:t>Promoción de expresiones artísticas de carácter no profesionales (teatro, música, danza, pintura, etc.)</w:t>
            </w:r>
          </w:p>
          <w:p>
            <w:pPr>
              <w:pStyle w:val="Normal"/>
              <w:widowControl w:val="false"/>
              <w:suppressAutoHyphens w:val="true"/>
              <w:ind w:left="1440"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(1 punto por acto divulgativo; 2 puntos por jornada, taller o seminario)</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5</w:t>
            </w:r>
          </w:p>
        </w:tc>
      </w:tr>
      <w:tr>
        <w:trPr>
          <w:trHeight w:val="254"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3"/>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Grado de implicación y participación en la programación cultural municipal</w:t>
            </w:r>
          </w:p>
          <w:p>
            <w:pPr>
              <w:pStyle w:val="Normal"/>
              <w:widowControl w:val="false"/>
              <w:suppressAutoHyphens w:val="true"/>
              <w:ind w:left="720" w:hanging="0"/>
              <w:jc w:val="both"/>
              <w:rPr>
                <w:rFonts w:ascii="Arial" w:hAnsi="Arial" w:eastAsia="Arial" w:cs="Arial"/>
                <w:i/>
                <w:i/>
                <w:sz w:val="20"/>
                <w:szCs w:val="20"/>
                <w:lang w:val="es-ES" w:eastAsia="zh-CN" w:bidi="hi-IN"/>
              </w:rPr>
            </w:pPr>
            <w:r>
              <w:rPr>
                <w:rFonts w:eastAsia="Arial" w:cs="Arial" w:ascii="Arial" w:hAnsi="Arial"/>
                <w:i/>
                <w:iCs/>
                <w:sz w:val="20"/>
                <w:szCs w:val="20"/>
                <w:lang w:val="es-ES" w:eastAsia="zh-CN" w:bidi="hi-IN"/>
              </w:rPr>
              <w:t>(1'5 punto por evento, acto, etc., máximo 5 puntos)</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8" w:hRule="atLeast"/>
        </w:trPr>
        <w:tc>
          <w:tcPr>
            <w:tcW w:w="661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3" w:after="0"/>
              <w:ind w:left="729" w:right="161" w:hanging="36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652"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40</w:t>
            </w:r>
          </w:p>
        </w:tc>
      </w:tr>
    </w:tbl>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222" w:type="dxa"/>
        <w:jc w:val="left"/>
        <w:tblInd w:w="85" w:type="dxa"/>
        <w:tblLayout w:type="fixed"/>
        <w:tblCellMar>
          <w:top w:w="0" w:type="dxa"/>
          <w:left w:w="88" w:type="dxa"/>
          <w:bottom w:w="0" w:type="dxa"/>
          <w:right w:w="108" w:type="dxa"/>
        </w:tblCellMar>
        <w:tblLook w:firstRow="0" w:noVBand="0" w:lastRow="0" w:firstColumn="0" w:lastColumn="0" w:noHBand="0" w:val="0000"/>
      </w:tblPr>
      <w:tblGrid>
        <w:gridCol w:w="6558"/>
        <w:gridCol w:w="1663"/>
      </w:tblGrid>
      <w:tr>
        <w:trPr>
          <w:trHeight w:val="508" w:hRule="atLeast"/>
        </w:trPr>
        <w:tc>
          <w:tcPr>
            <w:tcW w:w="6558"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83" w:righ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específicos del área de Juventud</w:t>
            </w:r>
          </w:p>
        </w:tc>
        <w:tc>
          <w:tcPr>
            <w:tcW w:w="1663"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108" w:right="76"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w:t>
            </w:r>
          </w:p>
          <w:p>
            <w:pPr>
              <w:pStyle w:val="Normal"/>
              <w:widowControl w:val="false"/>
              <w:suppressAutoHyphens w:val="true"/>
              <w:spacing w:before="1" w:after="0"/>
              <w:ind w:left="-108" w:right="76"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máxima</w:t>
            </w:r>
          </w:p>
        </w:tc>
      </w:tr>
      <w:tr>
        <w:trPr>
          <w:trHeight w:val="254"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26"/>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Objetivos/finalidades del proyecto y/o actividad</w:t>
            </w:r>
          </w:p>
          <w:p>
            <w:pPr>
              <w:pStyle w:val="Normal"/>
              <w:widowControl w:val="false"/>
              <w:suppressAutoHyphens w:val="true"/>
              <w:ind w:left="72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(hasta 10 puntos)</w:t>
            </w:r>
          </w:p>
        </w:tc>
        <w:tc>
          <w:tcPr>
            <w:tcW w:w="166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w:t>
            </w:r>
          </w:p>
        </w:tc>
      </w:tr>
      <w:tr>
        <w:trPr>
          <w:trHeight w:val="254" w:hRule="atLeast"/>
        </w:trPr>
        <w:tc>
          <w:tcPr>
            <w:tcW w:w="6558" w:type="dxa"/>
            <w:tcBorders>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Descripción de las actuaciones/acciones específicas</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iCs/>
                <w:color w:val="000000"/>
                <w:sz w:val="20"/>
                <w:szCs w:val="20"/>
                <w:lang w:val="es-ES" w:eastAsia="zh-CN" w:bidi="hi-IN"/>
              </w:rPr>
              <w:t>(hasta 10 puntos)</w:t>
            </w:r>
          </w:p>
        </w:tc>
        <w:tc>
          <w:tcPr>
            <w:tcW w:w="1663"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10</w:t>
            </w:r>
          </w:p>
        </w:tc>
      </w:tr>
      <w:tr>
        <w:trPr>
          <w:trHeight w:val="254"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Capacidad de autogestión para la realización del proyecto/actividades </w:t>
            </w:r>
            <w:r>
              <w:rPr>
                <w:rFonts w:eastAsia="Arial" w:cs="Arial" w:ascii="Arial" w:hAnsi="Arial"/>
                <w:i/>
                <w:sz w:val="20"/>
                <w:szCs w:val="20"/>
                <w:lang w:val="es-ES" w:eastAsia="zh-CN" w:bidi="hi-IN"/>
              </w:rPr>
              <w:t>y empoderamiento de los jóvenes</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6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3"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Carácter participativo del proyecto y fomento de la cultura participativa</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6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7"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Adecuación del proyecto/actividades a las prioridades establecidas en los objetivos del Plan Local de Juventud</w:t>
            </w:r>
          </w:p>
        </w:tc>
        <w:tc>
          <w:tcPr>
            <w:tcW w:w="166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49"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Fomento del ocio participativo, sostenible y saludable</w:t>
            </w:r>
          </w:p>
        </w:tc>
        <w:tc>
          <w:tcPr>
            <w:tcW w:w="166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4" w:hRule="atLeast"/>
        </w:trPr>
        <w:tc>
          <w:tcPr>
            <w:tcW w:w="6558"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287"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663"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right="65"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40</w:t>
            </w:r>
          </w:p>
        </w:tc>
      </w:tr>
    </w:tbl>
    <w:p>
      <w:pPr>
        <w:pStyle w:val="Normal"/>
        <w:widowControl w:val="false"/>
        <w:suppressAutoHyphens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1"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197" w:type="dxa"/>
        <w:jc w:val="left"/>
        <w:tblInd w:w="99" w:type="dxa"/>
        <w:tblLayout w:type="fixed"/>
        <w:tblCellMar>
          <w:top w:w="0" w:type="dxa"/>
          <w:left w:w="88" w:type="dxa"/>
          <w:bottom w:w="0" w:type="dxa"/>
          <w:right w:w="108" w:type="dxa"/>
        </w:tblCellMar>
        <w:tblLook w:firstRow="0" w:noVBand="0" w:lastRow="0" w:firstColumn="0" w:lastColumn="0" w:noHBand="0" w:val="0000"/>
      </w:tblPr>
      <w:tblGrid>
        <w:gridCol w:w="6546"/>
        <w:gridCol w:w="1650"/>
      </w:tblGrid>
      <w:tr>
        <w:trPr>
          <w:trHeight w:val="504" w:hRule="atLeast"/>
        </w:trPr>
        <w:tc>
          <w:tcPr>
            <w:tcW w:w="6546"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tabs>
                <w:tab w:val="clear" w:pos="708"/>
                <w:tab w:val="left" w:pos="5596" w:leader="none"/>
              </w:tabs>
              <w:suppressAutoHyphens w:val="true"/>
              <w:ind w:righ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específicos del área de Deportes</w:t>
            </w:r>
          </w:p>
        </w:tc>
        <w:tc>
          <w:tcPr>
            <w:tcW w:w="1650"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71" w:right="67"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w:t>
            </w:r>
          </w:p>
          <w:p>
            <w:pPr>
              <w:pStyle w:val="Normal"/>
              <w:widowControl w:val="false"/>
              <w:suppressAutoHyphens w:val="true"/>
              <w:spacing w:before="1" w:after="0"/>
              <w:ind w:left="69" w:right="67"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máxima</w:t>
            </w:r>
          </w:p>
        </w:tc>
      </w:tr>
      <w:tr>
        <w:trPr>
          <w:trHeight w:val="504" w:hRule="atLeast"/>
        </w:trPr>
        <w:tc>
          <w:tcPr>
            <w:tcW w:w="8196" w:type="dxa"/>
            <w:gridSpan w:val="2"/>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Normal"/>
              <w:widowControl w:val="false"/>
              <w:suppressAutoHyphens w:val="true"/>
              <w:ind w:left="71" w:right="67" w:hanging="0"/>
              <w:jc w:val="both"/>
              <w:rPr>
                <w:rFonts w:ascii="Arial" w:hAnsi="Arial" w:eastAsia="DejaVu Sans" w:cs="Arial"/>
                <w:i/>
                <w:i/>
                <w:sz w:val="20"/>
                <w:szCs w:val="20"/>
                <w:lang w:val="es-ES" w:eastAsia="zh-CN" w:bidi="hi-IN"/>
              </w:rPr>
            </w:pPr>
            <w:r>
              <w:rPr>
                <w:rFonts w:eastAsia="Arial" w:cs="Arial" w:ascii="Arial" w:hAnsi="Arial"/>
                <w:b/>
                <w:i/>
                <w:color w:val="000000"/>
                <w:sz w:val="20"/>
                <w:szCs w:val="20"/>
                <w:lang w:val="es-ES" w:eastAsia="zh-CN" w:bidi="hi-IN"/>
              </w:rPr>
              <w:t xml:space="preserve">Apartado A </w:t>
            </w:r>
            <w:r>
              <w:rPr>
                <w:rFonts w:eastAsia="Arial" w:cs="Arial" w:ascii="Arial" w:hAnsi="Arial"/>
                <w:i/>
                <w:color w:val="000000"/>
                <w:sz w:val="20"/>
                <w:szCs w:val="20"/>
                <w:lang w:val="es-ES" w:eastAsia="zh-CN" w:bidi="hi-IN"/>
              </w:rPr>
              <w:t>(valoración del funcionamiento ordinario de la entidad)</w:t>
            </w:r>
          </w:p>
        </w:tc>
      </w:tr>
      <w:tr>
        <w:trPr>
          <w:trHeight w:val="362" w:hRule="atLeast"/>
        </w:trPr>
        <w:tc>
          <w:tcPr>
            <w:tcW w:w="8196" w:type="dxa"/>
            <w:gridSpan w:val="2"/>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 Dimensión del club</w:t>
            </w:r>
          </w:p>
        </w:tc>
      </w:tr>
      <w:tr>
        <w:trPr>
          <w:trHeight w:val="254"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1"/>
                <w:numId w:val="8"/>
              </w:numPr>
              <w:suppressAutoHyphens w:val="true"/>
              <w:overflowPunct w:val="true"/>
              <w:ind w:left="454" w:hanging="454"/>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Número total de deportistas federados</w:t>
            </w:r>
          </w:p>
          <w:p>
            <w:pPr>
              <w:pStyle w:val="Normal"/>
              <w:widowControl w:val="false"/>
              <w:suppressAutoHyphens w:val="true"/>
              <w:ind w:left="567" w:hanging="454"/>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Las entidades tendrán que adjuntar la ficha federativa</w:t>
            </w:r>
          </w:p>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(máximo 10 puntos, club con mayores números de deportistas 10 puntos,</w:t>
            </w:r>
          </w:p>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el resto de acuerdo a la regla de 3)</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10</w:t>
            </w:r>
          </w:p>
        </w:tc>
      </w:tr>
      <w:tr>
        <w:trPr>
          <w:trHeight w:val="25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454" w:right="737" w:hanging="454"/>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1.2. Fomento del deporte femenino y de la paridad y equidad de géneros en el deporte</w:t>
            </w:r>
          </w:p>
          <w:p>
            <w:pPr>
              <w:pStyle w:val="Normal"/>
              <w:widowControl w:val="false"/>
              <w:suppressAutoHyphens w:val="true"/>
              <w:ind w:left="737" w:right="113" w:hanging="0"/>
              <w:jc w:val="both"/>
              <w:rPr>
                <w:rFonts w:ascii="Arial" w:hAnsi="Arial" w:eastAsia="DejaVu Sans" w:cs="Arial"/>
                <w:i/>
                <w:i/>
                <w:iCs/>
                <w:sz w:val="20"/>
                <w:szCs w:val="20"/>
                <w:lang w:val="es-ES" w:eastAsia="zh-CN" w:bidi="hi-IN"/>
              </w:rPr>
            </w:pPr>
            <w:r>
              <w:rPr>
                <w:rFonts w:eastAsia="Arial" w:cs="Arial" w:ascii="Arial" w:hAnsi="Arial"/>
                <w:i/>
                <w:iCs/>
                <w:color w:val="000000"/>
                <w:sz w:val="20"/>
                <w:szCs w:val="20"/>
                <w:lang w:val="es-ES" w:eastAsia="zh-CN" w:bidi="hi-IN"/>
              </w:rPr>
              <w:t>(6 puntos si 50/50, 5 p. si 40/60, 4 p. si 30/70, 3 p. si 20/80,</w:t>
            </w:r>
          </w:p>
          <w:p>
            <w:pPr>
              <w:pStyle w:val="Normal"/>
              <w:widowControl w:val="false"/>
              <w:suppressAutoHyphens w:val="true"/>
              <w:ind w:left="737" w:right="113" w:hanging="0"/>
              <w:jc w:val="both"/>
              <w:rPr>
                <w:rFonts w:ascii="Arial" w:hAnsi="Arial" w:eastAsia="DejaVu Sans" w:cs="Arial"/>
                <w:i/>
                <w:i/>
                <w:iCs/>
                <w:sz w:val="20"/>
                <w:szCs w:val="20"/>
                <w:lang w:val="es-ES" w:eastAsia="zh-CN" w:bidi="hi-IN"/>
              </w:rPr>
            </w:pPr>
            <w:r>
              <w:rPr>
                <w:rFonts w:eastAsia="Arial" w:cs="Arial" w:ascii="Arial" w:hAnsi="Arial"/>
                <w:i/>
                <w:iCs/>
                <w:color w:val="000000"/>
                <w:sz w:val="20"/>
                <w:szCs w:val="20"/>
                <w:lang w:val="es-ES" w:eastAsia="zh-CN" w:bidi="hi-IN"/>
              </w:rPr>
              <w:t>2 p. sí 10/90, 1 p. presencia de los géneros )</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6</w:t>
            </w:r>
          </w:p>
        </w:tc>
      </w:tr>
      <w:tr>
        <w:trPr>
          <w:trHeight w:val="253" w:hRule="atLeast"/>
        </w:trPr>
        <w:tc>
          <w:tcPr>
            <w:tcW w:w="6546" w:type="dxa"/>
            <w:tcBorders>
              <w:left w:val="single" w:sz="4" w:space="0" w:color="000001"/>
              <w:bottom w:val="single" w:sz="4" w:space="0" w:color="000001"/>
              <w:right w:val="single" w:sz="4" w:space="0" w:color="000001"/>
            </w:tcBorders>
            <w:shd w:color="auto" w:fill="FFFFFF" w:val="clear"/>
          </w:tcPr>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 xml:space="preserve">1.3. </w:t>
            </w:r>
            <w:r>
              <w:rPr>
                <w:rFonts w:eastAsia="Arial" w:cs="Arial" w:ascii="Arial" w:hAnsi="Arial"/>
                <w:i/>
                <w:color w:val="000000"/>
                <w:sz w:val="20"/>
                <w:szCs w:val="20"/>
                <w:lang w:val="es-ES" w:eastAsia="zh-CN" w:bidi="hi-IN"/>
              </w:rPr>
              <w:t>Fomento del deporte base</w:t>
            </w:r>
          </w:p>
          <w:p>
            <w:pPr>
              <w:pStyle w:val="Normal"/>
              <w:widowControl w:val="false"/>
              <w:suppressAutoHyphens w:val="true"/>
              <w:ind w:left="369"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(5 puntos &gt;80% &lt;18 años, 4 p. 70%, 3 p. 60%, 2 p. 50%, 1 p.≥ 25% )</w:t>
            </w:r>
          </w:p>
        </w:tc>
        <w:tc>
          <w:tcPr>
            <w:tcW w:w="1650"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5</w:t>
            </w:r>
          </w:p>
        </w:tc>
      </w:tr>
      <w:tr>
        <w:trPr>
          <w:trHeight w:val="253" w:hRule="atLeast"/>
        </w:trPr>
        <w:tc>
          <w:tcPr>
            <w:tcW w:w="6546" w:type="dxa"/>
            <w:tcBorders>
              <w:left w:val="single" w:sz="4" w:space="0" w:color="000001"/>
              <w:bottom w:val="single" w:sz="4" w:space="0" w:color="000001"/>
              <w:right w:val="single" w:sz="4" w:space="0" w:color="000001"/>
            </w:tcBorders>
            <w:shd w:color="auto" w:fill="FFFFFF" w:val="clear"/>
          </w:tcPr>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1.4. Fomento del deporte +30</w:t>
            </w:r>
          </w:p>
          <w:p>
            <w:pPr>
              <w:pStyle w:val="Normal"/>
              <w:widowControl w:val="false"/>
              <w:suppressAutoHyphens w:val="true"/>
              <w:ind w:left="369"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(3 puntos &gt;80% 30 años, 2 p. &gt;65%, 1 p. &gt;50%)</w:t>
            </w:r>
          </w:p>
        </w:tc>
        <w:tc>
          <w:tcPr>
            <w:tcW w:w="1650"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3</w:t>
            </w:r>
          </w:p>
        </w:tc>
      </w:tr>
      <w:tr>
        <w:trPr>
          <w:trHeight w:val="461"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2. Calidad técnica del equipo formador</w:t>
            </w:r>
          </w:p>
          <w:p>
            <w:pPr>
              <w:pStyle w:val="Normal"/>
              <w:widowControl w:val="false"/>
              <w:suppressAutoHyphens w:val="true"/>
              <w:ind w:left="369"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r>
          </w:p>
          <w:p>
            <w:pPr>
              <w:pStyle w:val="Normal"/>
              <w:widowControl w:val="false"/>
              <w:suppressAutoHyphens w:val="true"/>
              <w:ind w:left="729"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Las entidades tendrán que adjuntar la ficha federativa y de la titulación.</w:t>
            </w:r>
          </w:p>
          <w:p>
            <w:pPr>
              <w:pStyle w:val="Normal"/>
              <w:widowControl w:val="false"/>
              <w:suppressAutoHyphens w:val="true"/>
              <w:ind w:left="729"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left="729" w:hanging="0"/>
              <w:jc w:val="both"/>
              <w:rPr>
                <w:rFonts w:ascii="Arial" w:hAnsi="Arial" w:eastAsia="Arial" w:cs="Arial"/>
                <w:i/>
                <w:i/>
                <w:color w:val="000000"/>
                <w:sz w:val="20"/>
                <w:szCs w:val="20"/>
                <w:lang w:val="es-ES" w:eastAsia="zh-CN" w:bidi="hi-IN"/>
              </w:rPr>
            </w:pPr>
            <w:r>
              <w:rPr>
                <w:rFonts w:eastAsia="DejaVu Sans" w:cs="Arial" w:ascii="Arial" w:hAnsi="Arial"/>
                <w:i/>
                <w:color w:val="000000"/>
                <w:sz w:val="20"/>
                <w:szCs w:val="20"/>
                <w:lang w:val="es-ES" w:eastAsia="zh-CN" w:bidi="hi-IN"/>
              </w:rPr>
              <w:t>(3 puntos &gt;50% titulación entrenador/a, 2 p. entre 50 y 25%, 1p. ≥ 1 entrenador/a)</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3</w:t>
            </w:r>
          </w:p>
        </w:tc>
      </w:tr>
      <w:tr>
        <w:trPr>
          <w:trHeight w:val="280"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3. Función sociocultural</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c>
      </w:tr>
      <w:tr>
        <w:trPr>
          <w:trHeight w:val="50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
              </w:numPr>
              <w:suppressAutoHyphens w:val="true"/>
              <w:overflowPunct w:val="true"/>
              <w:ind w:left="397" w:hanging="34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Organización de actividades deportivas para el conjunto del vecindario</w:t>
            </w:r>
          </w:p>
          <w:p>
            <w:pPr>
              <w:pStyle w:val="Normal"/>
              <w:widowControl w:val="false"/>
              <w:suppressAutoHyphens w:val="true"/>
              <w:ind w:left="1497" w:hanging="0"/>
              <w:jc w:val="both"/>
              <w:rPr>
                <w:rFonts w:ascii="Arial" w:hAnsi="Arial" w:eastAsia="DejaVu Sans" w:cs="Arial"/>
                <w:i/>
                <w:i/>
                <w:iCs/>
                <w:sz w:val="20"/>
                <w:szCs w:val="20"/>
                <w:lang w:val="es-ES" w:eastAsia="zh-CN" w:bidi="hi-IN"/>
              </w:rPr>
            </w:pPr>
            <w:r>
              <w:rPr>
                <w:rFonts w:eastAsia="Arial" w:cs="Arial" w:ascii="Arial" w:hAnsi="Arial"/>
                <w:i/>
                <w:iCs/>
                <w:sz w:val="20"/>
                <w:szCs w:val="20"/>
                <w:lang w:val="es-ES" w:eastAsia="zh-CN" w:bidi="hi-IN"/>
              </w:rPr>
              <w:t>(1 puntos por actividad)</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3</w:t>
            </w:r>
          </w:p>
        </w:tc>
      </w:tr>
      <w:tr>
        <w:trPr>
          <w:trHeight w:val="50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
              </w:numPr>
              <w:suppressAutoHyphens w:val="true"/>
              <w:overflowPunct w:val="true"/>
              <w:ind w:left="397" w:hanging="34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Organización de actividades y eventos </w:t>
            </w:r>
            <w:r>
              <w:rPr>
                <w:rFonts w:eastAsia="Arial" w:cs="Arial" w:ascii="Arial" w:hAnsi="Arial"/>
                <w:i/>
                <w:sz w:val="20"/>
                <w:szCs w:val="20"/>
                <w:lang w:val="es-ES" w:eastAsia="zh-CN" w:bidi="hi-IN"/>
              </w:rPr>
              <w:t>deportivos abiertas y gratuitas en el conjunto del vecindario</w:t>
            </w:r>
          </w:p>
          <w:p>
            <w:pPr>
              <w:pStyle w:val="Normal"/>
              <w:widowControl w:val="false"/>
              <w:suppressAutoHyphens w:val="true"/>
              <w:ind w:left="1497" w:hanging="0"/>
              <w:jc w:val="both"/>
              <w:rPr>
                <w:rFonts w:ascii="Arial" w:hAnsi="Arial" w:eastAsia="DejaVu Sans" w:cs="Arial"/>
                <w:i/>
                <w:i/>
                <w:iCs/>
                <w:sz w:val="20"/>
                <w:szCs w:val="20"/>
                <w:lang w:val="es-ES" w:eastAsia="zh-CN" w:bidi="hi-IN"/>
              </w:rPr>
            </w:pPr>
            <w:r>
              <w:rPr>
                <w:rFonts w:eastAsia="Arial" w:cs="Arial" w:ascii="Arial" w:hAnsi="Arial"/>
                <w:i/>
                <w:iCs/>
                <w:sz w:val="20"/>
                <w:szCs w:val="20"/>
                <w:lang w:val="es-ES" w:eastAsia="zh-CN" w:bidi="hi-IN"/>
              </w:rPr>
              <w:t>(1 punto por actividad)</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3</w:t>
            </w:r>
          </w:p>
        </w:tc>
      </w:tr>
      <w:tr>
        <w:trPr>
          <w:trHeight w:val="516"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
              </w:numPr>
              <w:suppressAutoHyphens w:val="true"/>
              <w:overflowPunct w:val="true"/>
              <w:spacing w:before="3" w:after="0"/>
              <w:ind w:left="397" w:hanging="34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Incorporación en la práctica deportiva de personas con situación de vulnerabilidad socioeconómica</w:t>
            </w:r>
          </w:p>
          <w:p>
            <w:pPr>
              <w:pStyle w:val="Normal"/>
              <w:widowControl w:val="false"/>
              <w:suppressAutoHyphens w:val="true"/>
              <w:spacing w:before="3" w:after="0"/>
              <w:ind w:left="149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3 puntos)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3</w:t>
            </w:r>
          </w:p>
        </w:tc>
      </w:tr>
      <w:tr>
        <w:trPr>
          <w:trHeight w:val="501"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
              </w:numPr>
              <w:suppressAutoHyphens w:val="true"/>
              <w:overflowPunct w:val="true"/>
              <w:ind w:left="397" w:hanging="34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Incorporación en la práctica deportiva de personas con diversidad funcional</w:t>
            </w:r>
          </w:p>
          <w:p>
            <w:pPr>
              <w:pStyle w:val="Normal"/>
              <w:widowControl w:val="false"/>
              <w:suppressAutoHyphens w:val="true"/>
              <w:ind w:left="149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3 puntos)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25"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3</w:t>
            </w:r>
          </w:p>
        </w:tc>
      </w:tr>
      <w:tr>
        <w:trPr>
          <w:trHeight w:val="25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53"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650"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08" w:right="-116"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40</w:t>
            </w:r>
          </w:p>
        </w:tc>
      </w:tr>
      <w:tr>
        <w:trPr>
          <w:trHeight w:val="548" w:hRule="atLeast"/>
        </w:trPr>
        <w:tc>
          <w:tcPr>
            <w:tcW w:w="8196" w:type="dxa"/>
            <w:gridSpan w:val="2"/>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Normal"/>
              <w:widowControl w:val="false"/>
              <w:suppressAutoHyphens w:val="true"/>
              <w:ind w:right="487"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Apartado B</w:t>
            </w:r>
          </w:p>
          <w:p>
            <w:pPr>
              <w:pStyle w:val="Normal"/>
              <w:widowControl w:val="false"/>
              <w:suppressAutoHyphens w:val="true"/>
              <w:ind w:right="487"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Reparto equitativo del importe destinado a este apartado entre </w:t>
            </w:r>
            <w:r>
              <w:rPr>
                <w:rFonts w:eastAsia="Arial" w:cs="Arial" w:ascii="Arial" w:hAnsi="Arial"/>
                <w:i/>
                <w:sz w:val="20"/>
                <w:szCs w:val="20"/>
                <w:lang w:val="es-ES" w:eastAsia="zh-CN" w:bidi="hi-IN"/>
              </w:rPr>
              <w:t xml:space="preserve">deportistas menores de 18 años durante el año en curso, siguiendo los siguientes gritos </w:t>
            </w:r>
            <w:r>
              <w:rPr>
                <w:rFonts w:eastAsia="Arial" w:cs="Arial" w:ascii="Arial" w:hAnsi="Arial"/>
                <w:i/>
                <w:color w:val="000000"/>
                <w:sz w:val="20"/>
                <w:szCs w:val="20"/>
                <w:lang w:val="es-ES" w:eastAsia="zh-CN" w:bidi="hi-IN"/>
              </w:rPr>
              <w:t>éreos.</w:t>
            </w:r>
          </w:p>
          <w:p>
            <w:pPr>
              <w:pStyle w:val="Normal"/>
              <w:widowControl w:val="false"/>
              <w:suppressAutoHyphens w:val="true"/>
              <w:ind w:right="487" w:hanging="0"/>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 xml:space="preserve">* </w:t>
            </w:r>
            <w:r>
              <w:rPr>
                <w:rFonts w:eastAsia="Arial" w:cs="Arial" w:ascii="Arial" w:hAnsi="Arial"/>
                <w:i/>
                <w:color w:val="000000"/>
                <w:sz w:val="20"/>
                <w:szCs w:val="20"/>
                <w:lang w:val="es-ES" w:eastAsia="zh-CN" w:bidi="hi-IN"/>
              </w:rPr>
              <w:t xml:space="preserve">Las entidades tendrán que adjuntar la ficha federativa </w:t>
            </w:r>
            <w:r>
              <w:rPr>
                <w:rFonts w:eastAsia="Arial" w:cs="Arial" w:ascii="Arial" w:hAnsi="Arial"/>
                <w:i/>
                <w:sz w:val="20"/>
                <w:szCs w:val="20"/>
                <w:lang w:val="es-ES" w:eastAsia="zh-CN" w:bidi="hi-IN"/>
              </w:rPr>
              <w:t>para acreditarlo.</w:t>
            </w:r>
          </w:p>
          <w:p>
            <w:pPr>
              <w:pStyle w:val="Normal"/>
              <w:widowControl w:val="false"/>
              <w:suppressAutoHyphens w:val="true"/>
              <w:ind w:right="487"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 Para poder optar a este reparto, las entidades deben haber obtenido la mitad de los puntos posibles de la suma de los criterios generales más de los criterios específicos del Apartado A de deportes.</w:t>
            </w:r>
          </w:p>
        </w:tc>
      </w:tr>
      <w:tr>
        <w:trPr>
          <w:trHeight w:val="25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numPr>
                <w:ilvl w:val="0"/>
                <w:numId w:val="10"/>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Deportista federado empadronado en Cabrils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167"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x 1</w:t>
            </w:r>
          </w:p>
        </w:tc>
      </w:tr>
      <w:tr>
        <w:trPr>
          <w:trHeight w:val="25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0"/>
              </w:numPr>
              <w:suppressAutoHyphens w:val="true"/>
              <w:overflowPunct w:val="true"/>
              <w:ind w:left="720" w:right="71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Deportista federado NO empadronado en Cabrils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167"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x 0,75</w:t>
            </w:r>
          </w:p>
        </w:tc>
      </w:tr>
      <w:tr>
        <w:trPr>
          <w:trHeight w:val="25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0"/>
              </w:numPr>
              <w:suppressAutoHyphens w:val="true"/>
              <w:overflowPunct w:val="true"/>
              <w:ind w:left="720" w:right="71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Deportista federado en competición escolar empadronado en Cabrils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167"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x 0,5</w:t>
            </w:r>
          </w:p>
        </w:tc>
      </w:tr>
      <w:tr>
        <w:trPr>
          <w:trHeight w:val="253" w:hRule="atLeast"/>
        </w:trPr>
        <w:tc>
          <w:tcPr>
            <w:tcW w:w="6546"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numPr>
                <w:ilvl w:val="0"/>
                <w:numId w:val="10"/>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Deportista federado en competición escolar NO empadronado en Cabrils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right="167"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x 0,25</w:t>
            </w:r>
          </w:p>
        </w:tc>
      </w:tr>
    </w:tbl>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tbl>
      <w:tblPr>
        <w:tblW w:w="8209" w:type="dxa"/>
        <w:jc w:val="left"/>
        <w:tblInd w:w="57" w:type="dxa"/>
        <w:tblLayout w:type="fixed"/>
        <w:tblCellMar>
          <w:top w:w="100" w:type="dxa"/>
          <w:left w:w="60" w:type="dxa"/>
          <w:bottom w:w="100" w:type="dxa"/>
          <w:right w:w="100" w:type="dxa"/>
        </w:tblCellMar>
        <w:tblLook w:firstRow="0" w:noVBand="0" w:lastRow="0" w:firstColumn="0" w:lastColumn="0" w:noHBand="0" w:val="0000"/>
      </w:tblPr>
      <w:tblGrid>
        <w:gridCol w:w="6558"/>
        <w:gridCol w:w="1650"/>
      </w:tblGrid>
      <w:tr>
        <w:trPr>
          <w:trHeight w:val="508" w:hRule="atLeast"/>
        </w:trPr>
        <w:tc>
          <w:tcPr>
            <w:tcW w:w="6558" w:type="dxa"/>
            <w:tcBorders>
              <w:top w:val="single" w:sz="2" w:space="0" w:color="000001"/>
              <w:left w:val="single" w:sz="2" w:space="0" w:color="000001"/>
              <w:bottom w:val="single" w:sz="2" w:space="0" w:color="000001"/>
            </w:tcBorders>
            <w:shd w:color="auto" w:fill="BEBEBE" w:val="clear"/>
          </w:tcPr>
          <w:p>
            <w:pPr>
              <w:pStyle w:val="Normal"/>
              <w:widowControl w:val="false"/>
              <w:suppressAutoHyphens w:val="true"/>
              <w:ind w:left="440" w:right="-100" w:hanging="0"/>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Criterios específicos del área de Comercio y Hostelería</w:t>
            </w:r>
          </w:p>
          <w:p>
            <w:pPr>
              <w:pStyle w:val="Normal"/>
              <w:widowControl w:val="false"/>
              <w:suppressAutoHyphens w:val="true"/>
              <w:ind w:left="440" w:right="-100" w:hanging="0"/>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r>
          </w:p>
        </w:tc>
        <w:tc>
          <w:tcPr>
            <w:tcW w:w="1650" w:type="dxa"/>
            <w:tcBorders>
              <w:top w:val="single" w:sz="2" w:space="0" w:color="000001"/>
              <w:left w:val="single" w:sz="2" w:space="0" w:color="000001"/>
              <w:bottom w:val="single" w:sz="2" w:space="0" w:color="000001"/>
              <w:right w:val="single" w:sz="2" w:space="0" w:color="000001"/>
            </w:tcBorders>
            <w:shd w:color="auto" w:fill="BEBEBE" w:val="clear"/>
            <w:vAlign w:val="center"/>
          </w:tcPr>
          <w:p>
            <w:pPr>
              <w:pStyle w:val="Normal"/>
              <w:widowControl w:val="false"/>
              <w:suppressAutoHyphens w:val="true"/>
              <w:ind w:right="57" w:hanging="0"/>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Puntuación</w:t>
            </w:r>
          </w:p>
          <w:p>
            <w:pPr>
              <w:pStyle w:val="Normal"/>
              <w:widowControl w:val="false"/>
              <w:suppressAutoHyphens w:val="true"/>
              <w:ind w:left="-57" w:right="57" w:hanging="0"/>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Máxima</w:t>
            </w:r>
          </w:p>
        </w:tc>
      </w:tr>
      <w:tr>
        <w:trPr>
          <w:trHeight w:val="246" w:hRule="atLeast"/>
        </w:trPr>
        <w:tc>
          <w:tcPr>
            <w:tcW w:w="6558" w:type="dxa"/>
            <w:tcBorders>
              <w:left w:val="single" w:sz="2" w:space="0" w:color="000001"/>
              <w:bottom w:val="single" w:sz="2"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Objetivos/finalidades del proyecto y/o actividad</w:t>
            </w:r>
          </w:p>
          <w:p>
            <w:pPr>
              <w:pStyle w:val="Normal"/>
              <w:widowControl w:val="false"/>
              <w:suppressAutoHyphens w:val="true"/>
              <w:ind w:left="72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(hasta 10 puntos)</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w:t>
            </w:r>
          </w:p>
        </w:tc>
      </w:tr>
      <w:tr>
        <w:trPr>
          <w:trHeight w:val="246" w:hRule="atLeast"/>
        </w:trPr>
        <w:tc>
          <w:tcPr>
            <w:tcW w:w="6558" w:type="dxa"/>
            <w:tcBorders>
              <w:left w:val="single" w:sz="2" w:space="0" w:color="000001"/>
              <w:bottom w:val="single" w:sz="2"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Descripción de las actuaciones/acciones específicas</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iCs/>
                <w:color w:val="000000"/>
                <w:sz w:val="20"/>
                <w:szCs w:val="20"/>
                <w:lang w:val="es-ES" w:eastAsia="zh-CN" w:bidi="hi-IN"/>
              </w:rPr>
              <w:t>(hasta 10 puntos)</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10</w:t>
            </w:r>
          </w:p>
        </w:tc>
      </w:tr>
      <w:tr>
        <w:trPr>
          <w:trHeight w:val="246" w:hRule="atLeast"/>
        </w:trPr>
        <w:tc>
          <w:tcPr>
            <w:tcW w:w="6558" w:type="dxa"/>
            <w:tcBorders>
              <w:left w:val="single" w:sz="2" w:space="0" w:color="000001"/>
              <w:bottom w:val="single" w:sz="2"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Acciones para mejorar su organización, gestión y comunicación de la entidad/asociación.</w:t>
            </w:r>
          </w:p>
          <w:p>
            <w:pPr>
              <w:pStyle w:val="Normal"/>
              <w:widowControl w:val="false"/>
              <w:numPr>
                <w:ilvl w:val="0"/>
                <w:numId w:val="2"/>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 puntos por acción específica para la gestión de la entidad</w:t>
            </w:r>
          </w:p>
          <w:p>
            <w:pPr>
              <w:pStyle w:val="Normal"/>
              <w:widowControl w:val="false"/>
              <w:numPr>
                <w:ilvl w:val="0"/>
                <w:numId w:val="2"/>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2 puntos por acción específica para la comunicación de la entidad</w:t>
            </w:r>
          </w:p>
          <w:p>
            <w:pPr>
              <w:pStyle w:val="Normal"/>
              <w:widowControl w:val="false"/>
              <w:numPr>
                <w:ilvl w:val="0"/>
                <w:numId w:val="2"/>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formación de los asociados</w:t>
            </w:r>
          </w:p>
          <w:p>
            <w:pPr>
              <w:pStyle w:val="Normal"/>
              <w:widowControl w:val="false"/>
              <w:numPr>
                <w:ilvl w:val="1"/>
                <w:numId w:val="2"/>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hasta 4 horas 1 punto</w:t>
            </w:r>
          </w:p>
          <w:p>
            <w:pPr>
              <w:pStyle w:val="Normal"/>
              <w:widowControl w:val="false"/>
              <w:numPr>
                <w:ilvl w:val="1"/>
                <w:numId w:val="2"/>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de 4 a 20 horas 2 puntos</w:t>
            </w:r>
          </w:p>
          <w:p>
            <w:pPr>
              <w:pStyle w:val="Normal"/>
              <w:widowControl w:val="false"/>
              <w:numPr>
                <w:ilvl w:val="1"/>
                <w:numId w:val="2"/>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más de 20 horas 3 puntos</w:t>
            </w:r>
          </w:p>
          <w:p>
            <w:pPr>
              <w:pStyle w:val="Normal"/>
              <w:widowControl w:val="false"/>
              <w:suppressAutoHyphens w:val="true"/>
              <w:ind w:left="1440" w:hanging="0"/>
              <w:jc w:val="both"/>
              <w:rPr>
                <w:rFonts w:ascii="Arial" w:hAnsi="Arial" w:eastAsia="Arial" w:cs="Arial"/>
                <w:i/>
                <w:i/>
                <w:sz w:val="20"/>
                <w:szCs w:val="20"/>
                <w:lang w:val="es-ES" w:eastAsia="zh-CN" w:bidi="hi-IN"/>
              </w:rPr>
            </w:pPr>
            <w:r>
              <w:rPr>
                <w:rFonts w:eastAsia="Arial" w:cs="Arial" w:ascii="Arial" w:hAnsi="Arial"/>
                <w:i/>
                <w:iCs/>
                <w:sz w:val="20"/>
                <w:szCs w:val="20"/>
                <w:lang w:val="es-ES" w:eastAsia="zh-CN" w:bidi="hi-IN"/>
              </w:rPr>
              <w:t>(máximo 5 puntos)</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5</w:t>
            </w:r>
          </w:p>
        </w:tc>
      </w:tr>
      <w:tr>
        <w:trPr>
          <w:trHeight w:val="246" w:hRule="atLeast"/>
        </w:trPr>
        <w:tc>
          <w:tcPr>
            <w:tcW w:w="6558" w:type="dxa"/>
            <w:tcBorders>
              <w:left w:val="single" w:sz="2" w:space="0" w:color="000001"/>
              <w:bottom w:val="single" w:sz="2"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sz w:val="20"/>
                <w:szCs w:val="20"/>
                <w:lang w:val="es-ES" w:eastAsia="zh-CN" w:bidi="hi-IN"/>
              </w:rPr>
            </w:pPr>
            <w:r>
              <w:rPr>
                <w:rFonts w:eastAsia="DejaVu Sans" w:cs="Arial" w:ascii="Arial" w:hAnsi="Arial"/>
                <w:i/>
                <w:sz w:val="20"/>
                <w:szCs w:val="20"/>
                <w:lang w:val="es-ES" w:eastAsia="zh-CN" w:bidi="hi-IN"/>
              </w:rPr>
              <w:t>Potenciación de las TIC tecnologías</w:t>
            </w:r>
          </w:p>
          <w:p>
            <w:pPr>
              <w:pStyle w:val="Normal"/>
              <w:widowControl w:val="false"/>
              <w:numPr>
                <w:ilvl w:val="1"/>
                <w:numId w:val="18"/>
              </w:numPr>
              <w:suppressAutoHyphens w:val="true"/>
              <w:overflowPunct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2 puntos espacio web actualizado</w:t>
            </w:r>
          </w:p>
          <w:p>
            <w:pPr>
              <w:pStyle w:val="Normal"/>
              <w:widowControl w:val="false"/>
              <w:numPr>
                <w:ilvl w:val="1"/>
                <w:numId w:val="18"/>
              </w:numPr>
              <w:suppressAutoHyphens w:val="true"/>
              <w:overflowPunct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 punto por cada canal de redes sociales digitales actualizadas</w:t>
            </w:r>
          </w:p>
          <w:p>
            <w:pPr>
              <w:pStyle w:val="Normal"/>
              <w:widowControl w:val="false"/>
              <w:numPr>
                <w:ilvl w:val="1"/>
                <w:numId w:val="18"/>
              </w:numPr>
              <w:suppressAutoHyphens w:val="true"/>
              <w:overflowPunct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3 puntos plataforma de comercio electrónico en funcionamiento</w:t>
            </w:r>
          </w:p>
          <w:p>
            <w:pPr>
              <w:pStyle w:val="Normal"/>
              <w:widowControl w:val="false"/>
              <w:suppressAutoHyphens w:val="true"/>
              <w:ind w:left="720" w:hanging="0"/>
              <w:jc w:val="both"/>
              <w:rPr>
                <w:rFonts w:ascii="Arial" w:hAnsi="Arial" w:eastAsia="Arial" w:cs="Arial"/>
                <w:i/>
                <w:i/>
                <w:iCs/>
                <w:sz w:val="20"/>
                <w:szCs w:val="20"/>
                <w:lang w:val="es-ES" w:eastAsia="zh-CN" w:bidi="hi-IN"/>
              </w:rPr>
            </w:pPr>
            <w:r>
              <w:rPr>
                <w:rFonts w:eastAsia="DejaVu Sans" w:cs="Arial" w:ascii="Arial" w:hAnsi="Arial"/>
                <w:i/>
                <w:iCs/>
                <w:sz w:val="20"/>
                <w:szCs w:val="20"/>
                <w:lang w:val="es-ES" w:eastAsia="zh-CN" w:bidi="hi-IN"/>
              </w:rPr>
              <w:t>(máximo 5 puntos)</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5</w:t>
            </w:r>
          </w:p>
        </w:tc>
      </w:tr>
      <w:tr>
        <w:trPr>
          <w:trHeight w:val="246" w:hRule="atLeast"/>
        </w:trPr>
        <w:tc>
          <w:tcPr>
            <w:tcW w:w="6558" w:type="dxa"/>
            <w:tcBorders>
              <w:left w:val="single" w:sz="2" w:space="0" w:color="000001"/>
              <w:bottom w:val="single" w:sz="2"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Dinamización de la actividad comercial y hostelera</w:t>
            </w:r>
          </w:p>
          <w:p>
            <w:pPr>
              <w:pStyle w:val="Normal"/>
              <w:widowControl w:val="false"/>
              <w:suppressAutoHyphens w:val="true"/>
              <w:ind w:left="1440" w:hanging="0"/>
              <w:jc w:val="both"/>
              <w:rPr>
                <w:rFonts w:ascii="Arial" w:hAnsi="Arial" w:eastAsia="Arial" w:cs="Arial"/>
                <w:i/>
                <w:i/>
                <w:sz w:val="20"/>
                <w:szCs w:val="20"/>
                <w:lang w:val="es-ES" w:eastAsia="zh-CN" w:bidi="hi-IN"/>
              </w:rPr>
            </w:pPr>
            <w:r>
              <w:rPr>
                <w:rFonts w:eastAsia="Arial" w:cs="Arial" w:ascii="Arial" w:hAnsi="Arial"/>
                <w:i/>
                <w:iCs/>
                <w:sz w:val="20"/>
                <w:szCs w:val="20"/>
                <w:lang w:val="es-ES" w:eastAsia="zh-CN" w:bidi="hi-IN"/>
              </w:rPr>
              <w:t>(1'5 punto por evento, acto, etc., máximo 5 puntos)</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5</w:t>
            </w:r>
          </w:p>
        </w:tc>
      </w:tr>
      <w:tr>
        <w:trPr>
          <w:trHeight w:val="246" w:hRule="atLeast"/>
        </w:trPr>
        <w:tc>
          <w:tcPr>
            <w:tcW w:w="6558" w:type="dxa"/>
            <w:tcBorders>
              <w:left w:val="single" w:sz="2" w:space="0" w:color="000001"/>
              <w:bottom w:val="single" w:sz="2"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Participación activa de la asociación en actividades organizadas por el Ayuntamiento que fomenten la actividad comercial local</w:t>
            </w:r>
          </w:p>
          <w:p>
            <w:pPr>
              <w:pStyle w:val="Normal"/>
              <w:widowControl w:val="false"/>
              <w:suppressAutoHyphens w:val="true"/>
              <w:ind w:left="1440" w:hanging="0"/>
              <w:jc w:val="both"/>
              <w:rPr>
                <w:rFonts w:ascii="Arial" w:hAnsi="Arial" w:eastAsia="Arial" w:cs="Arial"/>
                <w:i/>
                <w:i/>
                <w:sz w:val="20"/>
                <w:szCs w:val="20"/>
                <w:lang w:val="es-ES" w:eastAsia="zh-CN" w:bidi="hi-IN"/>
              </w:rPr>
            </w:pPr>
            <w:r>
              <w:rPr>
                <w:rFonts w:eastAsia="Arial" w:cs="Arial" w:ascii="Arial" w:hAnsi="Arial"/>
                <w:i/>
                <w:iCs/>
                <w:sz w:val="20"/>
                <w:szCs w:val="20"/>
                <w:lang w:val="es-ES" w:eastAsia="zh-CN" w:bidi="hi-IN"/>
              </w:rPr>
              <w:t>(1'5 punto por evento, acto, etc., máximo 5 puntos)</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t>5</w:t>
            </w:r>
          </w:p>
        </w:tc>
      </w:tr>
      <w:tr>
        <w:trPr>
          <w:trHeight w:val="254" w:hRule="atLeast"/>
        </w:trPr>
        <w:tc>
          <w:tcPr>
            <w:tcW w:w="6558" w:type="dxa"/>
            <w:tcBorders>
              <w:left w:val="single" w:sz="2" w:space="0" w:color="000001"/>
              <w:bottom w:val="single" w:sz="2" w:space="0" w:color="000001"/>
            </w:tcBorders>
            <w:shd w:color="auto" w:fill="FFFFFF" w:val="clear"/>
          </w:tcPr>
          <w:p>
            <w:pPr>
              <w:pStyle w:val="Normal"/>
              <w:widowControl w:val="false"/>
              <w:suppressAutoHyphens w:val="true"/>
              <w:ind w:left="600" w:hanging="0"/>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Total</w:t>
            </w:r>
          </w:p>
        </w:tc>
        <w:tc>
          <w:tcPr>
            <w:tcW w:w="1650" w:type="dxa"/>
            <w:tcBorders>
              <w:left w:val="single" w:sz="2" w:space="0" w:color="000001"/>
              <w:bottom w:val="single" w:sz="2" w:space="0" w:color="000001"/>
              <w:right w:val="single" w:sz="2" w:space="0" w:color="000001"/>
            </w:tcBorders>
            <w:shd w:color="auto" w:fill="FFFFFF" w:val="clear"/>
            <w:vAlign w:val="center"/>
          </w:tcPr>
          <w:p>
            <w:pPr>
              <w:pStyle w:val="Normal"/>
              <w:widowControl w:val="false"/>
              <w:suppressAutoHyphens w:val="true"/>
              <w:ind w:right="-120" w:hanging="0"/>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40</w:t>
            </w:r>
          </w:p>
        </w:tc>
      </w:tr>
    </w:tbl>
    <w:p>
      <w:pPr>
        <w:pStyle w:val="Normal"/>
        <w:widowControl w:val="false"/>
        <w:tabs>
          <w:tab w:val="clear" w:pos="708"/>
          <w:tab w:val="left" w:pos="1373" w:leader="none"/>
        </w:tabs>
        <w:suppressAutoHyphens w:val="true"/>
        <w:spacing w:before="93" w:after="0"/>
        <w:ind w:left="547" w:right="165" w:hanging="0"/>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p>
      <w:pPr>
        <w:pStyle w:val="Normal"/>
        <w:widowControl w:val="false"/>
        <w:suppressAutoHyphens w:val="true"/>
        <w:jc w:val="both"/>
        <w:rPr>
          <w:rFonts w:ascii="Arial" w:hAnsi="Arial" w:eastAsia="Arial" w:cs="Arial"/>
          <w:i/>
          <w:i/>
          <w:sz w:val="20"/>
          <w:szCs w:val="20"/>
          <w:lang w:val="es-ES" w:eastAsia="zh-CN" w:bidi="hi-IN"/>
        </w:rPr>
      </w:pPr>
      <w:r>
        <w:rPr>
          <w:rFonts w:eastAsia="Arial" w:cs="Arial" w:ascii="Arial" w:hAnsi="Arial"/>
          <w:i/>
          <w:sz w:val="20"/>
          <w:szCs w:val="20"/>
          <w:lang w:val="es-ES" w:eastAsia="zh-CN" w:bidi="hi-IN"/>
        </w:rPr>
      </w:r>
    </w:p>
    <w:tbl>
      <w:tblPr>
        <w:tblW w:w="8223" w:type="dxa"/>
        <w:jc w:val="left"/>
        <w:tblInd w:w="71" w:type="dxa"/>
        <w:tblLayout w:type="fixed"/>
        <w:tblCellMar>
          <w:top w:w="0" w:type="dxa"/>
          <w:left w:w="88" w:type="dxa"/>
          <w:bottom w:w="0" w:type="dxa"/>
          <w:right w:w="108" w:type="dxa"/>
        </w:tblCellMar>
        <w:tblLook w:firstRow="0" w:noVBand="0" w:lastRow="0" w:firstColumn="0" w:lastColumn="0" w:noHBand="0" w:val="0000"/>
      </w:tblPr>
      <w:tblGrid>
        <w:gridCol w:w="6572"/>
        <w:gridCol w:w="1650"/>
      </w:tblGrid>
      <w:tr>
        <w:trPr>
          <w:trHeight w:val="508" w:hRule="atLeast"/>
        </w:trPr>
        <w:tc>
          <w:tcPr>
            <w:tcW w:w="6572" w:type="dxa"/>
            <w:tcBorders>
              <w:top w:val="single" w:sz="4" w:space="0" w:color="000001"/>
              <w:left w:val="single" w:sz="4" w:space="0" w:color="000001"/>
              <w:bottom w:val="single" w:sz="4" w:space="0" w:color="000001"/>
              <w:right w:val="single" w:sz="4" w:space="0" w:color="000001"/>
            </w:tcBorders>
            <w:shd w:color="auto" w:fill="BEBEBE" w:val="clear"/>
            <w:vAlign w:val="center"/>
          </w:tcPr>
          <w:p>
            <w:pPr>
              <w:pStyle w:val="Normal"/>
              <w:widowControl w:val="false"/>
              <w:suppressAutoHyphens w:val="true"/>
              <w:ind w:left="-126" w:right="-108"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Criterios específicos del área de Turismo</w:t>
            </w:r>
          </w:p>
        </w:tc>
        <w:tc>
          <w:tcPr>
            <w:tcW w:w="1650" w:type="dxa"/>
            <w:tcBorders>
              <w:top w:val="single" w:sz="4" w:space="0" w:color="000001"/>
              <w:left w:val="single" w:sz="4" w:space="0" w:color="000001"/>
              <w:bottom w:val="single" w:sz="4" w:space="0" w:color="000001"/>
              <w:right w:val="single" w:sz="4" w:space="0" w:color="000001"/>
            </w:tcBorders>
            <w:shd w:color="auto" w:fill="BEBEBE" w:val="clear"/>
          </w:tcPr>
          <w:p>
            <w:pPr>
              <w:pStyle w:val="Normal"/>
              <w:widowControl w:val="false"/>
              <w:suppressAutoHyphens w:val="true"/>
              <w:ind w:left="80" w:right="76"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Puntuación</w:t>
            </w:r>
          </w:p>
          <w:p>
            <w:pPr>
              <w:pStyle w:val="Normal"/>
              <w:widowControl w:val="false"/>
              <w:suppressAutoHyphens w:val="true"/>
              <w:spacing w:before="1" w:after="0"/>
              <w:ind w:left="78" w:right="76"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máxima</w:t>
            </w:r>
          </w:p>
        </w:tc>
      </w:tr>
      <w:tr>
        <w:trPr>
          <w:trHeight w:val="503" w:hRule="atLeast"/>
        </w:trPr>
        <w:tc>
          <w:tcPr>
            <w:tcW w:w="657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Objetivos/finalidades del proyecto y/o actividad</w:t>
            </w:r>
          </w:p>
          <w:p>
            <w:pPr>
              <w:pStyle w:val="Normal"/>
              <w:widowControl w:val="false"/>
              <w:suppressAutoHyphens w:val="true"/>
              <w:ind w:left="72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(hasta 10 puntos)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w:t>
            </w:r>
          </w:p>
        </w:tc>
      </w:tr>
      <w:tr>
        <w:trPr>
          <w:trHeight w:val="503" w:hRule="atLeast"/>
        </w:trPr>
        <w:tc>
          <w:tcPr>
            <w:tcW w:w="6572" w:type="dxa"/>
            <w:tcBorders>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Descripción de las actuaciones/acciones específicas</w:t>
            </w:r>
          </w:p>
          <w:p>
            <w:pPr>
              <w:pStyle w:val="Normal"/>
              <w:widowControl w:val="false"/>
              <w:suppressAutoHyphens w:val="true"/>
              <w:ind w:left="720" w:hanging="0"/>
              <w:jc w:val="both"/>
              <w:rPr>
                <w:rFonts w:ascii="Arial" w:hAnsi="Arial" w:eastAsia="DejaVu Sans" w:cs="Arial"/>
                <w:i/>
                <w:i/>
                <w:sz w:val="20"/>
                <w:szCs w:val="20"/>
                <w:lang w:val="es-ES" w:eastAsia="zh-CN" w:bidi="hi-IN"/>
              </w:rPr>
            </w:pPr>
            <w:r>
              <w:rPr>
                <w:rFonts w:eastAsia="Arial" w:cs="Arial" w:ascii="Arial" w:hAnsi="Arial"/>
                <w:i/>
                <w:iCs/>
                <w:color w:val="000000"/>
                <w:sz w:val="20"/>
                <w:szCs w:val="20"/>
                <w:lang w:val="es-ES" w:eastAsia="zh-CN" w:bidi="hi-IN"/>
              </w:rPr>
              <w:t>(hasta 10 puntos)</w:t>
            </w:r>
          </w:p>
        </w:tc>
        <w:tc>
          <w:tcPr>
            <w:tcW w:w="1650"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10</w:t>
            </w:r>
          </w:p>
        </w:tc>
      </w:tr>
      <w:tr>
        <w:trPr>
          <w:trHeight w:val="503" w:hRule="atLeast"/>
        </w:trPr>
        <w:tc>
          <w:tcPr>
            <w:tcW w:w="6572" w:type="dxa"/>
            <w:tcBorders>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ind w:left="36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Coherencia de la actividad respecto a los objetivos de promoción</w:t>
            </w:r>
          </w:p>
          <w:p>
            <w:pPr>
              <w:pStyle w:val="Normal"/>
              <w:widowControl w:val="false"/>
              <w:suppressAutoHyphens w:val="true"/>
              <w:ind w:left="1449"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 turismo de las bases</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0"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8" w:hRule="atLeast"/>
        </w:trPr>
        <w:tc>
          <w:tcPr>
            <w:tcW w:w="657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spacing w:before="3" w:after="0"/>
              <w:ind w:left="729" w:right="234"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Interés del proyecto para la actividad turística dentro de su ámbito de ejecución</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508" w:hRule="atLeast"/>
        </w:trPr>
        <w:tc>
          <w:tcPr>
            <w:tcW w:w="657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spacing w:before="3" w:after="0"/>
              <w:ind w:left="729" w:right="234"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Estímulo de propuestas nuevas o experimentales y que fomenten la actividad turística en el municipio</w:t>
            </w:r>
          </w:p>
          <w:p>
            <w:pPr>
              <w:pStyle w:val="Normal"/>
              <w:widowControl w:val="false"/>
              <w:suppressAutoHyphens w:val="true"/>
              <w:spacing w:before="3" w:after="0"/>
              <w:ind w:left="1117" w:right="57" w:hanging="0"/>
              <w:jc w:val="both"/>
              <w:rPr>
                <w:rFonts w:ascii="Arial" w:hAnsi="Arial" w:eastAsia="Arial" w:cs="Arial"/>
                <w:i/>
                <w:i/>
                <w:color w:val="000000"/>
                <w:sz w:val="20"/>
                <w:szCs w:val="20"/>
                <w:lang w:val="es-ES" w:eastAsia="zh-CN" w:bidi="hi-IN"/>
              </w:rPr>
            </w:pPr>
            <w:r>
              <w:rPr>
                <w:rFonts w:eastAsia="Arial" w:cs="Arial" w:ascii="Arial" w:hAnsi="Arial"/>
                <w:i/>
                <w:iCs/>
                <w:color w:val="000000"/>
                <w:sz w:val="20"/>
                <w:szCs w:val="20"/>
                <w:lang w:val="es-ES" w:eastAsia="zh-CN" w:bidi="hi-IN"/>
              </w:rPr>
              <w:t>(hasta 5 puntos)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0" w:hRule="atLeast"/>
        </w:trPr>
        <w:tc>
          <w:tcPr>
            <w:tcW w:w="657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numPr>
                <w:ilvl w:val="0"/>
                <w:numId w:val="18"/>
              </w:numPr>
              <w:suppressAutoHyphens w:val="true"/>
              <w:overflowPunct w:val="true"/>
              <w:ind w:left="369" w:hanging="36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Promoción del municipio como destino turístico</w:t>
            </w:r>
          </w:p>
          <w:p>
            <w:pPr>
              <w:pStyle w:val="Normal"/>
              <w:widowControl w:val="false"/>
              <w:suppressAutoHyphens w:val="true"/>
              <w:ind w:left="1440" w:hanging="0"/>
              <w:jc w:val="both"/>
              <w:rPr>
                <w:rFonts w:ascii="Arial" w:hAnsi="Arial" w:eastAsia="Arial" w:cs="Arial"/>
                <w:i/>
                <w:i/>
                <w:sz w:val="20"/>
                <w:szCs w:val="20"/>
                <w:lang w:val="es-ES" w:eastAsia="zh-CN" w:bidi="hi-IN"/>
              </w:rPr>
            </w:pPr>
            <w:r>
              <w:rPr>
                <w:rFonts w:eastAsia="Arial" w:cs="Arial" w:ascii="Arial" w:hAnsi="Arial"/>
                <w:i/>
                <w:iCs/>
                <w:color w:val="000000"/>
                <w:sz w:val="20"/>
                <w:szCs w:val="20"/>
                <w:lang w:val="es-ES" w:eastAsia="zh-CN" w:bidi="hi-IN"/>
              </w:rPr>
              <w:t>(1'5 puntos por evento, acto, etc., máximo 5 puntos)</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5</w:t>
            </w:r>
          </w:p>
        </w:tc>
      </w:tr>
      <w:tr>
        <w:trPr>
          <w:trHeight w:val="254" w:hRule="atLeast"/>
        </w:trPr>
        <w:tc>
          <w:tcPr>
            <w:tcW w:w="6572"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ind w:left="153"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Total</w:t>
            </w:r>
          </w:p>
        </w:tc>
        <w:tc>
          <w:tcPr>
            <w:tcW w:w="1650"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ind w:left="-108" w:right="66" w:hanging="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40</w:t>
            </w:r>
          </w:p>
        </w:tc>
      </w:tr>
    </w:tbl>
    <w:p>
      <w:pPr>
        <w:pStyle w:val="Normal"/>
        <w:widowControl w:val="false"/>
        <w:tabs>
          <w:tab w:val="clear" w:pos="708"/>
          <w:tab w:val="left" w:pos="1373" w:leader="none"/>
        </w:tabs>
        <w:suppressAutoHyphens w:val="true"/>
        <w:spacing w:before="93" w:after="0"/>
        <w:ind w:left="547" w:right="16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spacing w:before="93" w:after="0"/>
        <w:ind w:right="165"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La puntuación mínima de la valoración para optar a la subvención será de la mitad de la puntuación total (suma de la general y específica).</w:t>
      </w:r>
    </w:p>
    <w:p>
      <w:pPr>
        <w:pStyle w:val="Normal"/>
        <w:widowControl w:val="false"/>
        <w:tabs>
          <w:tab w:val="clear" w:pos="708"/>
          <w:tab w:val="left" w:pos="1373" w:leader="none"/>
        </w:tabs>
        <w:suppressAutoHyphens w:val="true"/>
        <w:spacing w:before="93" w:after="0"/>
        <w:ind w:right="165"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El importe de cada subvención dependerá del importe solicitado, la puntuación obtenida y la cantidad de la dotación económica de cada concejalía, y se calculará aplicando la siguiente fórmula:</w:t>
      </w:r>
    </w:p>
    <w:p>
      <w:pPr>
        <w:pStyle w:val="Normal"/>
        <w:widowControl w:val="false"/>
        <w:suppressAutoHyphens w:val="true"/>
        <w:spacing w:before="99"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S= I*(P / ΣP)</w:t>
      </w:r>
    </w:p>
    <w:p>
      <w:pPr>
        <w:pStyle w:val="Normal"/>
        <w:widowControl w:val="false"/>
        <w:suppressAutoHyphens w:val="true"/>
        <w:spacing w:before="262"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Siendo:</w:t>
      </w:r>
    </w:p>
    <w:p>
      <w:pPr>
        <w:pStyle w:val="Normal"/>
        <w:widowControl w:val="false"/>
        <w:suppressAutoHyphens w:val="true"/>
        <w:ind w:left="82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P: Puntuación otorgada en el proyecto.</w:t>
      </w:r>
    </w:p>
    <w:p>
      <w:pPr>
        <w:pStyle w:val="Normal"/>
        <w:widowControl w:val="false"/>
        <w:suppressAutoHyphens w:val="true"/>
        <w:spacing w:before="1" w:after="0"/>
        <w:ind w:left="825" w:right="124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ΣP: Suma de las puntuaciones otorgadas a todos los proyectos valorados.</w:t>
      </w:r>
    </w:p>
    <w:p>
      <w:pPr>
        <w:pStyle w:val="Normal"/>
        <w:widowControl w:val="false"/>
        <w:suppressAutoHyphens w:val="true"/>
        <w:spacing w:before="1" w:after="0"/>
        <w:ind w:left="825" w:right="1241"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I: Importe máximo de subvenciones a distribuir de la concejalía.</w:t>
      </w:r>
    </w:p>
    <w:p>
      <w:pPr>
        <w:pStyle w:val="Normal"/>
        <w:widowControl w:val="false"/>
        <w:suppressAutoHyphens w:val="true"/>
        <w:ind w:left="82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S: Subvención a otorgar al proyecto.</w:t>
      </w:r>
    </w:p>
    <w:p>
      <w:pPr>
        <w:pStyle w:val="Normal"/>
        <w:widowControl w:val="false"/>
        <w:suppressAutoHyphens w:val="true"/>
        <w:spacing w:before="4"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 subvención resultante por cada proyecto (S) no podrá superar el importe solicitado.</w:t>
      </w:r>
    </w:p>
    <w:p>
      <w:pPr>
        <w:pStyle w:val="Normal"/>
        <w:widowControl w:val="false"/>
        <w:suppressAutoHyphens w:val="true"/>
        <w:spacing w:before="3"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3" w:leader="none"/>
        </w:tabs>
        <w:suppressAutoHyphens w:val="true"/>
        <w:ind w:right="154" w:hanging="433"/>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b/>
        <w:t>La cantidad otorgada en ningún caso podrá ser superior al 60% del importe total de la dotación económica y de acuerdo con la valoración de la comisión técnica de valoración.</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4"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9. Comisión Técnica de valoración</w:t>
      </w:r>
    </w:p>
    <w:p>
      <w:pPr>
        <w:pStyle w:val="Normal"/>
        <w:widowControl w:val="false"/>
        <w:suppressAutoHyphens w:val="true"/>
        <w:spacing w:before="9"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376"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Las solicitudes presentadas serán estudiadas y valoradas por una comisión técnica de valoración que estará integrada por personal de la Corporación.</w:t>
      </w:r>
    </w:p>
    <w:p>
      <w:pPr>
        <w:pStyle w:val="Normal"/>
        <w:widowControl w:val="false"/>
        <w:tabs>
          <w:tab w:val="clear" w:pos="708"/>
          <w:tab w:val="left" w:pos="1376" w:leader="none"/>
        </w:tabs>
        <w:suppressAutoHyphens w:val="true"/>
        <w:ind w:left="1613"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6"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 comisión para su valoración podrá recabar información y/o asistencia al personal de las diferentes áreas a efectos de proceder a la valoración así como contar con la colaboración de cualquier otro personal técnico cualificado.</w:t>
      </w:r>
    </w:p>
    <w:p>
      <w:pPr>
        <w:pStyle w:val="Normal"/>
        <w:widowControl w:val="false"/>
        <w:tabs>
          <w:tab w:val="clear" w:pos="708"/>
          <w:tab w:val="left" w:pos="1376"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1376"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 comisión emitirá el preceptivo informe no vinculante al órgano competente para la propuesta de resolución.</w:t>
      </w:r>
    </w:p>
    <w:p>
      <w:pPr>
        <w:pStyle w:val="Normal"/>
        <w:widowControl w:val="false"/>
        <w:tabs>
          <w:tab w:val="clear" w:pos="708"/>
          <w:tab w:val="left" w:pos="1376" w:leader="none"/>
        </w:tabs>
        <w:suppressAutoHyphens w:val="true"/>
        <w:ind w:left="1536"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10. Dotación económica de la convocatoria</w:t>
      </w:r>
    </w:p>
    <w:p>
      <w:pPr>
        <w:pStyle w:val="Normal"/>
        <w:widowControl w:val="false"/>
        <w:suppressAutoHyphens w:val="true"/>
        <w:spacing w:before="6"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tabs>
          <w:tab w:val="clear" w:pos="708"/>
          <w:tab w:val="left" w:pos="1496"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importe máximo destinado a las subvenciones reguladas en estas bases según las diferentes concejalías implicadas son:</w:t>
      </w:r>
    </w:p>
    <w:p>
      <w:pPr>
        <w:pStyle w:val="Normal"/>
        <w:widowControl w:val="false"/>
        <w:tabs>
          <w:tab w:val="clear" w:pos="708"/>
          <w:tab w:val="left" w:pos="1496"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bl>
      <w:tblPr>
        <w:tblW w:w="8168" w:type="dxa"/>
        <w:jc w:val="left"/>
        <w:tblInd w:w="79" w:type="dxa"/>
        <w:tblLayout w:type="fixed"/>
        <w:tblCellMar>
          <w:top w:w="0" w:type="dxa"/>
          <w:left w:w="68" w:type="dxa"/>
          <w:bottom w:w="0" w:type="dxa"/>
          <w:right w:w="108" w:type="dxa"/>
        </w:tblCellMar>
        <w:tblLook w:firstRow="0" w:noVBand="0" w:lastRow="0" w:firstColumn="0" w:lastColumn="0" w:noHBand="0" w:val="0000"/>
      </w:tblPr>
      <w:tblGrid>
        <w:gridCol w:w="2905"/>
        <w:gridCol w:w="2971"/>
        <w:gridCol w:w="2292"/>
      </w:tblGrid>
      <w:tr>
        <w:trPr>
          <w:trHeight w:val="248" w:hRule="atLeast"/>
        </w:trPr>
        <w:tc>
          <w:tcPr>
            <w:tcW w:w="2905" w:type="dxa"/>
            <w:vMerge w:val="restart"/>
            <w:tcBorders>
              <w:top w:val="single" w:sz="8" w:space="0" w:color="000001"/>
              <w:left w:val="single" w:sz="8" w:space="0" w:color="000001"/>
              <w:bottom w:val="single" w:sz="8" w:space="0" w:color="000001"/>
              <w:right w:val="single" w:sz="8" w:space="0" w:color="000001"/>
            </w:tcBorders>
            <w:shd w:color="auto" w:fill="D9D9D9" w:val="clear"/>
            <w:vAlign w:val="center"/>
          </w:tcPr>
          <w:p>
            <w:pPr>
              <w:pStyle w:val="Normal"/>
              <w:widowControl w:val="false"/>
              <w:suppressAutoHyphens w:val="true"/>
              <w:ind w:left="567" w:hanging="567"/>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Área</w:t>
            </w:r>
          </w:p>
        </w:tc>
        <w:tc>
          <w:tcPr>
            <w:tcW w:w="2971" w:type="dxa"/>
            <w:vMerge w:val="restart"/>
            <w:tcBorders>
              <w:top w:val="single" w:sz="8" w:space="0" w:color="000001"/>
              <w:left w:val="single" w:sz="8" w:space="0" w:color="000001"/>
              <w:bottom w:val="single" w:sz="8" w:space="0" w:color="000001"/>
              <w:right w:val="single" w:sz="8" w:space="0" w:color="000001"/>
            </w:tcBorders>
            <w:shd w:color="auto" w:fill="D9D9D9" w:val="clear"/>
            <w:vAlign w:val="center"/>
          </w:tcPr>
          <w:p>
            <w:pPr>
              <w:pStyle w:val="Normal"/>
              <w:widowControl w:val="false"/>
              <w:suppressAutoHyphens w:val="true"/>
              <w:ind w:left="567" w:right="258" w:hanging="567"/>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Importe</w:t>
            </w:r>
          </w:p>
        </w:tc>
        <w:tc>
          <w:tcPr>
            <w:tcW w:w="2292" w:type="dxa"/>
            <w:tcBorders>
              <w:top w:val="single" w:sz="8" w:space="0" w:color="000001"/>
              <w:left w:val="single" w:sz="8" w:space="0" w:color="000001"/>
              <w:bottom w:val="single" w:sz="8" w:space="0" w:color="000001"/>
              <w:right w:val="single" w:sz="8" w:space="0" w:color="000001"/>
            </w:tcBorders>
            <w:shd w:color="auto" w:fill="D9D9D9" w:val="clear"/>
            <w:vAlign w:val="center"/>
          </w:tcPr>
          <w:p>
            <w:pPr>
              <w:pStyle w:val="Normal"/>
              <w:widowControl w:val="false"/>
              <w:suppressAutoHyphens w:val="true"/>
              <w:ind w:left="567" w:hanging="567"/>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Consignación</w:t>
            </w:r>
          </w:p>
        </w:tc>
      </w:tr>
      <w:tr>
        <w:trPr>
          <w:trHeight w:val="248" w:hRule="atLeast"/>
        </w:trPr>
        <w:tc>
          <w:tcPr>
            <w:tcW w:w="2905" w:type="dxa"/>
            <w:vMerge w:val="continue"/>
            <w:tcBorders>
              <w:top w:val="single" w:sz="8" w:space="0" w:color="000001"/>
              <w:left w:val="single" w:sz="8" w:space="0" w:color="000001"/>
              <w:bottom w:val="single" w:sz="8" w:space="0" w:color="000001"/>
              <w:right w:val="single" w:sz="8" w:space="0" w:color="000001"/>
            </w:tcBorders>
            <w:shd w:color="auto" w:fill="D9D9D9" w:val="clear"/>
            <w:vAlign w:val="center"/>
          </w:tcPr>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r>
          </w:p>
        </w:tc>
        <w:tc>
          <w:tcPr>
            <w:tcW w:w="2971" w:type="dxa"/>
            <w:vMerge w:val="continue"/>
            <w:tcBorders>
              <w:top w:val="single" w:sz="8" w:space="0" w:color="000001"/>
              <w:left w:val="single" w:sz="8" w:space="0" w:color="000001"/>
              <w:bottom w:val="single" w:sz="8" w:space="0" w:color="000001"/>
              <w:right w:val="single" w:sz="8" w:space="0" w:color="000001"/>
            </w:tcBorders>
            <w:shd w:color="auto" w:fill="D9D9D9" w:val="clear"/>
            <w:vAlign w:val="center"/>
          </w:tcPr>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r>
          </w:p>
        </w:tc>
        <w:tc>
          <w:tcPr>
            <w:tcW w:w="2292" w:type="dxa"/>
            <w:tcBorders>
              <w:top w:val="single" w:sz="8" w:space="0" w:color="000001"/>
              <w:left w:val="single" w:sz="8" w:space="0" w:color="000001"/>
              <w:bottom w:val="single" w:sz="8" w:space="0" w:color="000001"/>
              <w:right w:val="single" w:sz="8" w:space="0" w:color="000001"/>
            </w:tcBorders>
            <w:shd w:color="auto" w:fill="D9D9D9" w:val="clear"/>
            <w:vAlign w:val="center"/>
          </w:tcPr>
          <w:p>
            <w:pPr>
              <w:pStyle w:val="Normal"/>
              <w:widowControl w:val="false"/>
              <w:suppressAutoHyphens w:val="true"/>
              <w:ind w:left="567" w:hanging="567"/>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t>presupuestaria</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Cooperación y Solidaridad</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1 </w:t>
            </w:r>
            <w:r>
              <w:rPr>
                <w:rFonts w:eastAsia="Arial" w:cs="Arial" w:ascii="Arial" w:hAnsi="Arial"/>
                <w:i/>
                <w:sz w:val="20"/>
                <w:szCs w:val="20"/>
                <w:lang w:val="es-ES" w:eastAsia="zh-CN" w:bidi="hi-IN"/>
              </w:rPr>
              <w:t xml:space="preserve">0 </w:t>
            </w:r>
            <w:r>
              <w:rPr>
                <w:rFonts w:eastAsia="Arial" w:cs="Arial" w:ascii="Arial" w:hAnsi="Arial"/>
                <w:i/>
                <w:color w:val="000000"/>
                <w:sz w:val="20"/>
                <w:szCs w:val="20"/>
                <w:lang w:val="es-ES" w:eastAsia="zh-CN" w:bidi="hi-IN"/>
              </w:rPr>
              <w:t>.000,00 €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2312.480.15</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Educación</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 xml:space="preserve">6.0 </w:t>
            </w:r>
            <w:r>
              <w:rPr>
                <w:rFonts w:eastAsia="Arial" w:cs="Arial" w:ascii="Arial" w:hAnsi="Arial"/>
                <w:i/>
                <w:color w:val="000000"/>
                <w:sz w:val="20"/>
                <w:szCs w:val="20"/>
                <w:lang w:val="es-ES" w:eastAsia="zh-CN" w:bidi="hi-IN"/>
              </w:rPr>
              <w:t>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323.489.01</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Cultura</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4.500,00 €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330.489.09</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Juventud</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2.600,00 €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3371.480.29</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Deportes</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Apartado A</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10.000,00 €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342.489.16</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Apartado B</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25.000,00 €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342.489.16</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Comercio y hostelería</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DejaVu Sans" w:cs="Arial"/>
                <w:i/>
                <w:i/>
                <w:sz w:val="20"/>
                <w:szCs w:val="20"/>
                <w:lang w:val="es-ES" w:eastAsia="zh-CN" w:bidi="hi-IN"/>
              </w:rPr>
            </w:pPr>
            <w:r>
              <w:rPr>
                <w:rFonts w:eastAsia="Arial" w:cs="Arial" w:ascii="Arial" w:hAnsi="Arial"/>
                <w:i/>
                <w:sz w:val="20"/>
                <w:szCs w:val="20"/>
                <w:lang w:val="es-ES" w:eastAsia="zh-CN" w:bidi="hi-IN"/>
              </w:rPr>
              <w:t xml:space="preserve">10 </w:t>
            </w:r>
            <w:r>
              <w:rPr>
                <w:rFonts w:eastAsia="Arial" w:cs="Arial" w:ascii="Arial" w:hAnsi="Arial"/>
                <w:i/>
                <w:color w:val="000000"/>
                <w:sz w:val="20"/>
                <w:szCs w:val="20"/>
                <w:lang w:val="es-ES" w:eastAsia="zh-CN" w:bidi="hi-IN"/>
              </w:rPr>
              <w:t>.000,00 €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4314.480.21</w:t>
            </w:r>
          </w:p>
        </w:tc>
      </w:tr>
      <w:tr>
        <w:trPr>
          <w:trHeight w:val="253" w:hRule="atLeast"/>
        </w:trPr>
        <w:tc>
          <w:tcPr>
            <w:tcW w:w="2905"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Turismo</w:t>
            </w:r>
          </w:p>
        </w:tc>
        <w:tc>
          <w:tcPr>
            <w:tcW w:w="2971"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right="-15"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3.000,00 €</w:t>
            </w:r>
          </w:p>
        </w:tc>
        <w:tc>
          <w:tcPr>
            <w:tcW w:w="2292" w:type="dxa"/>
            <w:tcBorders>
              <w:top w:val="single" w:sz="8" w:space="0" w:color="000001"/>
              <w:left w:val="single" w:sz="8" w:space="0" w:color="000001"/>
              <w:bottom w:val="single" w:sz="8" w:space="0" w:color="000001"/>
              <w:right w:val="single" w:sz="8" w:space="0" w:color="000001"/>
            </w:tcBorders>
            <w:shd w:color="auto" w:fill="FFFFFF" w:val="clear"/>
            <w:vAlign w:val="center"/>
          </w:tcPr>
          <w:p>
            <w:pPr>
              <w:pStyle w:val="Normal"/>
              <w:widowControl w:val="false"/>
              <w:suppressAutoHyphens w:val="true"/>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432.480.28</w:t>
            </w:r>
          </w:p>
        </w:tc>
      </w:tr>
    </w:tbl>
    <w:p>
      <w:pPr>
        <w:pStyle w:val="Normal"/>
        <w:widowControl w:val="false"/>
        <w:suppressAutoHyphens w:val="true"/>
        <w:spacing w:before="6" w:after="0"/>
        <w:ind w:left="567" w:hanging="567"/>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El importe máximo de concesión de la subvención será el 50% del coste del proyecto o de la actividad para las que se solicite la subvención.</w:t>
      </w:r>
    </w:p>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r>
    </w:p>
    <w:p>
      <w:pPr>
        <w:pStyle w:val="Normal"/>
        <w:widowControl w:val="false"/>
        <w:suppressAutoHyphens w:val="true"/>
        <w:jc w:val="both"/>
        <w:rPr>
          <w:rFonts w:ascii="Arial" w:hAnsi="Arial" w:eastAsia="DejaVu Sans" w:cs="Arial"/>
          <w:i/>
          <w:i/>
          <w:sz w:val="20"/>
          <w:szCs w:val="20"/>
          <w:lang w:val="es-ES" w:eastAsia="zh-CN" w:bidi="hi-IN"/>
        </w:rPr>
      </w:pPr>
      <w:r>
        <w:rPr>
          <w:rFonts w:eastAsia="DejaVu Sans" w:cs="Arial" w:ascii="Arial" w:hAnsi="Arial"/>
          <w:i/>
          <w:sz w:val="20"/>
          <w:szCs w:val="20"/>
          <w:lang w:val="es-ES" w:eastAsia="zh-CN" w:bidi="hi-IN"/>
        </w:rPr>
        <w:t>El Ayuntamiento de Cabrils se reserva el derecho de adjudicar o no la cuantía total de los importes establecidos en función de la valoración de la comisión técnica de valoración de las propuestas presentadas.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spacing w:before="9"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DejaVu Sans" w:cs="Arial"/>
          <w:i/>
          <w:i/>
          <w:sz w:val="20"/>
          <w:szCs w:val="20"/>
          <w:lang w:val="es-ES" w:eastAsia="zh-CN" w:bidi="hi-IN"/>
        </w:rPr>
      </w:pPr>
      <w:r>
        <w:rPr>
          <w:rFonts w:eastAsia="Arial" w:cs="Arial" w:ascii="Arial" w:hAnsi="Arial"/>
          <w:b/>
          <w:i/>
          <w:sz w:val="20"/>
          <w:szCs w:val="20"/>
          <w:lang w:val="es-ES" w:eastAsia="zh-CN" w:bidi="hi-IN"/>
        </w:rPr>
        <w:t>Artículo 11. Pago</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suppressAutoHyphens w:val="true"/>
        <w:ind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pago de las subvenciones se realizará en el momento en que el beneficiario presente la documentación justificativa establecida en el artículo 12 de las presentes bases.</w:t>
      </w:r>
    </w:p>
    <w:p>
      <w:pPr>
        <w:pStyle w:val="Normal"/>
        <w:widowControl w:val="false"/>
        <w:suppressAutoHyphens w:val="true"/>
        <w:ind w:left="709"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 xml:space="preserve">Las personas jurídicas, personas físicas, asociaciones y entidades beneficiarias podrán solicitar un anticipo hasta un máximo del 70% del importe económico que se solicita a través del " </w:t>
      </w:r>
      <w:r>
        <w:rPr>
          <w:rFonts w:eastAsia="Arial" w:cs="Arial" w:ascii="Arial" w:hAnsi="Arial"/>
          <w:i/>
          <w:iCs/>
          <w:color w:val="000000"/>
          <w:sz w:val="20"/>
          <w:szCs w:val="20"/>
          <w:lang w:val="es-ES" w:eastAsia="zh-CN" w:bidi="hi-IN"/>
        </w:rPr>
        <w:t xml:space="preserve">Formulario de la solicitud del proyecto y/o actividad </w:t>
      </w:r>
      <w:r>
        <w:rPr>
          <w:rFonts w:eastAsia="Arial" w:cs="Arial" w:ascii="Arial" w:hAnsi="Arial"/>
          <w:i/>
          <w:iCs/>
          <w:color w:val="000000"/>
          <w:sz w:val="20"/>
          <w:szCs w:val="20"/>
          <w:u w:val="single"/>
          <w:lang w:val="es-ES" w:eastAsia="zh-CN" w:bidi="hi-IN"/>
        </w:rPr>
        <w:t xml:space="preserve">" </w:t>
      </w:r>
      <w:r>
        <w:rPr>
          <w:rFonts w:eastAsia="Arial" w:cs="Arial" w:ascii="Arial" w:hAnsi="Arial"/>
          <w:i/>
          <w:color w:val="000000"/>
          <w:sz w:val="20"/>
          <w:szCs w:val="20"/>
          <w:lang w:val="es-ES" w:eastAsia="zh-CN" w:bidi="hi-IN"/>
        </w:rPr>
        <w:t>. Este anticipo se hará efectivo una vez adoptado el acuerdo de otorgamiento de subvenciones por resolución del órgano competente.</w:t>
      </w:r>
    </w:p>
    <w:p>
      <w:pPr>
        <w:pStyle w:val="Normal"/>
        <w:widowControl w:val="false"/>
        <w:suppressAutoHyphens w:val="true"/>
        <w:ind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60"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El pago del </w:t>
      </w:r>
      <w:r>
        <w:rPr>
          <w:rFonts w:eastAsia="Arial" w:cs="Arial" w:ascii="Arial" w:hAnsi="Arial"/>
          <w:i/>
          <w:sz w:val="20"/>
          <w:szCs w:val="20"/>
          <w:lang w:val="es-ES" w:eastAsia="zh-CN" w:bidi="hi-IN"/>
        </w:rPr>
        <w:t xml:space="preserve">30 </w:t>
      </w:r>
      <w:r>
        <w:rPr>
          <w:rFonts w:eastAsia="Arial" w:cs="Arial" w:ascii="Arial" w:hAnsi="Arial"/>
          <w:i/>
          <w:color w:val="000000"/>
          <w:sz w:val="20"/>
          <w:szCs w:val="20"/>
          <w:lang w:val="es-ES" w:eastAsia="zh-CN" w:bidi="hi-IN"/>
        </w:rPr>
        <w:t>% restante se realizará una vez que el beneficiario haya justificado la subvención dentro de los plazos y procedimientos establecidos.</w:t>
      </w:r>
    </w:p>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12. Justificación</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La justificación deberá contener la documentación prevista en el artículo 23 de la Ordenanza General de Subvenciones del Ayuntamiento de Cabrils y que se resume en:</w:t>
      </w:r>
    </w:p>
    <w:p>
      <w:pPr>
        <w:pStyle w:val="Normal"/>
        <w:widowControl w:val="false"/>
        <w:suppressAutoHyphens w:val="true"/>
        <w:ind w:left="709" w:right="162"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numPr>
          <w:ilvl w:val="0"/>
          <w:numId w:val="14"/>
        </w:numPr>
        <w:tabs>
          <w:tab w:val="clear" w:pos="708"/>
          <w:tab w:val="left" w:pos="1651" w:leader="none"/>
        </w:tabs>
        <w:suppressAutoHyphens w:val="true"/>
        <w:overflowPunct w:val="true"/>
        <w:spacing w:before="9" w:after="0"/>
        <w:ind w:left="1055" w:right="173"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Memoria firmada y detallada del/los proyecto/sy/o actividad/s realizada/s para las que se ha concedido la subvención.</w:t>
      </w:r>
    </w:p>
    <w:p>
      <w:pPr>
        <w:pStyle w:val="Normal"/>
        <w:widowControl w:val="false"/>
        <w:numPr>
          <w:ilvl w:val="0"/>
          <w:numId w:val="14"/>
        </w:numPr>
        <w:tabs>
          <w:tab w:val="clear" w:pos="708"/>
          <w:tab w:val="left" w:pos="1651" w:leader="none"/>
        </w:tabs>
        <w:suppressAutoHyphens w:val="true"/>
        <w:overflowPunct w:val="true"/>
        <w:spacing w:before="2" w:after="0"/>
        <w:ind w:left="1055"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 xml:space="preserve">Liquidación económica del proyecto/actividades (documento </w:t>
      </w:r>
      <w:r>
        <w:rPr>
          <w:rFonts w:eastAsia="Arial" w:cs="Arial" w:ascii="Arial" w:hAnsi="Arial"/>
          <w:i/>
          <w:iCs/>
          <w:color w:val="000000"/>
          <w:sz w:val="20"/>
          <w:szCs w:val="20"/>
          <w:lang w:val="es-ES" w:eastAsia="zh-CN" w:bidi="hi-IN"/>
        </w:rPr>
        <w:t xml:space="preserve">“Justificación de los gastos de la actuación” </w:t>
      </w:r>
      <w:r>
        <w:rPr>
          <w:rFonts w:eastAsia="Arial" w:cs="Arial" w:ascii="Arial" w:hAnsi="Arial"/>
          <w:i/>
          <w:color w:val="000000"/>
          <w:sz w:val="20"/>
          <w:szCs w:val="20"/>
          <w:lang w:val="es-ES" w:eastAsia="zh-CN" w:bidi="hi-IN"/>
        </w:rPr>
        <w:t>)</w:t>
      </w:r>
    </w:p>
    <w:p>
      <w:pPr>
        <w:pStyle w:val="Normal"/>
        <w:widowControl w:val="false"/>
        <w:numPr>
          <w:ilvl w:val="0"/>
          <w:numId w:val="14"/>
        </w:numPr>
        <w:tabs>
          <w:tab w:val="clear" w:pos="708"/>
          <w:tab w:val="left" w:pos="1651" w:leader="none"/>
        </w:tabs>
        <w:suppressAutoHyphens w:val="true"/>
        <w:overflowPunct w:val="true"/>
        <w:ind w:left="1055" w:right="171"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Original o fotocopia de las facturas cuyo importe justifique la subvención otorgada.</w:t>
      </w:r>
    </w:p>
    <w:p>
      <w:pPr>
        <w:pStyle w:val="Normal"/>
        <w:widowControl w:val="false"/>
        <w:numPr>
          <w:ilvl w:val="0"/>
          <w:numId w:val="14"/>
        </w:numPr>
        <w:tabs>
          <w:tab w:val="clear" w:pos="708"/>
          <w:tab w:val="left" w:pos="1651" w:leader="none"/>
        </w:tabs>
        <w:suppressAutoHyphens w:val="true"/>
        <w:overflowPunct w:val="true"/>
        <w:ind w:left="1055" w:right="169" w:hanging="34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Un ejemplar, en su caso, de la documentación de difusión escrita y/o gráfica relativa al/los proyecto/sy/o actividad/s subvencionada/s.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2447" w:leader="none"/>
        </w:tabs>
        <w:suppressAutoHyphens w:val="true"/>
        <w:ind w:right="16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documento “Justificación de los gastos de la actuación” que resume la liquidación económica del proyecto/actividades consta de:</w:t>
      </w:r>
    </w:p>
    <w:p>
      <w:pPr>
        <w:pStyle w:val="Normal"/>
        <w:widowControl w:val="false"/>
        <w:numPr>
          <w:ilvl w:val="0"/>
          <w:numId w:val="11"/>
        </w:numPr>
        <w:tabs>
          <w:tab w:val="clear" w:pos="708"/>
          <w:tab w:val="left" w:pos="1650" w:leader="none"/>
          <w:tab w:val="left" w:pos="1651" w:leader="none"/>
        </w:tabs>
        <w:suppressAutoHyphens w:val="true"/>
        <w:overflowPunct w:val="true"/>
        <w:spacing w:before="94" w:after="0"/>
        <w:ind w:left="1432" w:hanging="35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Datos identificativos</w:t>
      </w:r>
    </w:p>
    <w:p>
      <w:pPr>
        <w:pStyle w:val="Normal"/>
        <w:widowControl w:val="false"/>
        <w:numPr>
          <w:ilvl w:val="0"/>
          <w:numId w:val="11"/>
        </w:numPr>
        <w:tabs>
          <w:tab w:val="clear" w:pos="708"/>
          <w:tab w:val="left" w:pos="1650" w:leader="none"/>
          <w:tab w:val="left" w:pos="1651" w:leader="none"/>
        </w:tabs>
        <w:suppressAutoHyphens w:val="true"/>
        <w:overflowPunct w:val="true"/>
        <w:ind w:left="1432" w:hanging="35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Certificación de los gastos</w:t>
      </w:r>
    </w:p>
    <w:p>
      <w:pPr>
        <w:pStyle w:val="Normal"/>
        <w:widowControl w:val="false"/>
        <w:numPr>
          <w:ilvl w:val="0"/>
          <w:numId w:val="11"/>
        </w:numPr>
        <w:tabs>
          <w:tab w:val="clear" w:pos="708"/>
          <w:tab w:val="left" w:pos="1650" w:leader="none"/>
          <w:tab w:val="left" w:pos="1651" w:leader="none"/>
        </w:tabs>
        <w:suppressAutoHyphens w:val="true"/>
        <w:overflowPunct w:val="true"/>
        <w:ind w:left="1432" w:hanging="355"/>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Relación de facturas</w:t>
      </w:r>
    </w:p>
    <w:p>
      <w:pPr>
        <w:pStyle w:val="Normal"/>
        <w:widowControl w:val="false"/>
        <w:suppressAutoHyphens w:val="true"/>
        <w:spacing w:before="2"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57"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 xml:space="preserve">Esta documentación debe presentarse en el Registro de Entradas del Ayuntamiento de Cabrils, por la persona designada y por vía electrónica, </w:t>
      </w:r>
      <w:r>
        <w:rPr>
          <w:rFonts w:eastAsia="Arial" w:cs="Arial" w:ascii="Arial" w:hAnsi="Arial"/>
          <w:b/>
          <w:i/>
          <w:color w:val="000000"/>
          <w:sz w:val="20"/>
          <w:szCs w:val="20"/>
          <w:u w:val="single"/>
          <w:lang w:val="es-ES" w:eastAsia="zh-CN" w:bidi="hi-IN"/>
        </w:rPr>
        <w:t xml:space="preserve">antes del día 31 de enero del año siguiente a la convocatoria </w:t>
      </w:r>
      <w:r>
        <w:rPr>
          <w:rFonts w:eastAsia="Arial" w:cs="Arial" w:ascii="Arial" w:hAnsi="Arial"/>
          <w:i/>
          <w:color w:val="000000"/>
          <w:sz w:val="20"/>
          <w:szCs w:val="20"/>
          <w:lang w:val="es-ES" w:eastAsia="zh-CN" w:bidi="hi-IN"/>
        </w:rPr>
        <w:t>, aunque el proyecto o actividades deben ejecutarse dentro del año en curso y los documentos justificativos también deben estar fechados en el año vigente.</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tabs>
          <w:tab w:val="clear" w:pos="708"/>
          <w:tab w:val="left" w:pos="2298" w:leader="none"/>
        </w:tabs>
        <w:suppressAutoHyphens w:val="true"/>
        <w:ind w:right="17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El importe de la justificación deberá ser por el importe equivalente a la subvención otorgada a la entidad solicitante. En los casos en los que se detecte que el importe de justificación es inferior al importe otorgado o la justificación es insuficiente, la Junta de Gobierno acordará la revocación del importe no justificado.</w:t>
      </w:r>
    </w:p>
    <w:p>
      <w:pPr>
        <w:pStyle w:val="Normal"/>
        <w:widowControl w:val="false"/>
        <w:tabs>
          <w:tab w:val="clear" w:pos="708"/>
          <w:tab w:val="left" w:pos="2298" w:leader="none"/>
        </w:tabs>
        <w:suppressAutoHyphens w:val="true"/>
        <w:ind w:left="-340" w:right="155"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13. Publicidad de la colaboración municipal</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suppressAutoHyphens w:val="true"/>
        <w:ind w:right="160"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Los beneficiarios de la subvención tendrán que hacer constar la colaboración del Ayuntamiento de Cabrils en los carteles impresos y en el resto de documentación editada y publicitada con motivo del proyecto y actividades subvencionadas siempre que la subvención se haya concedido con anterioridad a la celebración de las actividades mencionadas.</w:t>
      </w:r>
    </w:p>
    <w:p>
      <w:pPr>
        <w:pStyle w:val="Normal"/>
        <w:widowControl w:val="false"/>
        <w:suppressAutoHyphens w:val="true"/>
        <w:spacing w:before="2"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64" w:hanging="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t>En este caso se deberá hacer constar en lugar visible y destacado el texto “Con la colaboración del Ayuntamiento de Cabrils”, con la señal de identificación visual de la Corporación local.</w:t>
      </w:r>
    </w:p>
    <w:p>
      <w:pPr>
        <w:pStyle w:val="Normal"/>
        <w:widowControl w:val="false"/>
        <w:suppressAutoHyphens w:val="true"/>
        <w:spacing w:before="8" w:after="0"/>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ind w:right="157" w:hanging="0"/>
        <w:jc w:val="both"/>
        <w:rPr>
          <w:rFonts w:ascii="Arial" w:hAnsi="Arial" w:eastAsia="DejaVu Sans" w:cs="Arial"/>
          <w:i/>
          <w:i/>
          <w:sz w:val="20"/>
          <w:szCs w:val="20"/>
          <w:lang w:val="es-ES" w:eastAsia="zh-CN" w:bidi="hi-IN"/>
        </w:rPr>
      </w:pPr>
      <w:r>
        <w:rPr>
          <w:rFonts w:eastAsia="Arial" w:cs="Arial" w:ascii="Arial" w:hAnsi="Arial"/>
          <w:i/>
          <w:color w:val="000000"/>
          <w:sz w:val="20"/>
          <w:szCs w:val="20"/>
          <w:lang w:val="es-ES" w:eastAsia="zh-CN" w:bidi="hi-IN"/>
        </w:rPr>
        <w:t>En caso de que la concesión de la subvención se produzca después de la celebración de las actividades subvencionadas, se podrá requerir a las entidades organizadoras de las actividades mencionadas que se haga constar el apoyo del Ayuntamiento por otros medios que, en cada caso, se consideren adecuados.</w:t>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i/>
          <w:i/>
          <w:color w:val="000000"/>
          <w:sz w:val="20"/>
          <w:szCs w:val="20"/>
          <w:lang w:val="es-ES" w:eastAsia="zh-CN" w:bidi="hi-IN"/>
        </w:rPr>
      </w:pPr>
      <w:r>
        <w:rPr>
          <w:rFonts w:eastAsia="Arial" w:cs="Arial" w:ascii="Arial" w:hAnsi="Arial"/>
          <w:i/>
          <w:color w:val="000000"/>
          <w:sz w:val="20"/>
          <w:szCs w:val="20"/>
          <w:lang w:val="es-ES" w:eastAsia="zh-CN" w:bidi="hi-IN"/>
        </w:rPr>
      </w:r>
    </w:p>
    <w:p>
      <w:pPr>
        <w:pStyle w:val="Normal"/>
        <w:widowControl w:val="false"/>
        <w:suppressAutoHyphens w:val="true"/>
        <w:jc w:val="both"/>
        <w:rPr>
          <w:rFonts w:ascii="Arial" w:hAnsi="Arial" w:eastAsia="Arial" w:cs="Arial"/>
          <w:b/>
          <w:b/>
          <w:i/>
          <w:i/>
          <w:sz w:val="20"/>
          <w:szCs w:val="20"/>
          <w:lang w:val="es-ES" w:eastAsia="zh-CN" w:bidi="hi-IN"/>
        </w:rPr>
      </w:pPr>
      <w:r>
        <w:rPr>
          <w:rFonts w:eastAsia="Arial" w:cs="Arial" w:ascii="Arial" w:hAnsi="Arial"/>
          <w:b/>
          <w:i/>
          <w:sz w:val="20"/>
          <w:szCs w:val="20"/>
          <w:lang w:val="es-ES" w:eastAsia="zh-CN" w:bidi="hi-IN"/>
        </w:rPr>
        <w:t>Artículo 14. Aceptación de las bases</w:t>
      </w:r>
    </w:p>
    <w:p>
      <w:pPr>
        <w:pStyle w:val="Normal"/>
        <w:widowControl w:val="false"/>
        <w:suppressAutoHyphens w:val="true"/>
        <w:spacing w:before="3" w:after="0"/>
        <w:jc w:val="both"/>
        <w:rPr>
          <w:rFonts w:ascii="Arial" w:hAnsi="Arial" w:eastAsia="Arial" w:cs="Arial"/>
          <w:b/>
          <w:b/>
          <w:i/>
          <w:i/>
          <w:color w:val="000000"/>
          <w:sz w:val="20"/>
          <w:szCs w:val="20"/>
          <w:lang w:val="es-ES" w:eastAsia="zh-CN" w:bidi="hi-IN"/>
        </w:rPr>
      </w:pPr>
      <w:r>
        <w:rPr>
          <w:rFonts w:eastAsia="Arial" w:cs="Arial" w:ascii="Arial" w:hAnsi="Arial"/>
          <w:b/>
          <w:i/>
          <w:color w:val="000000"/>
          <w:sz w:val="20"/>
          <w:szCs w:val="20"/>
          <w:lang w:val="es-ES" w:eastAsia="zh-CN" w:bidi="hi-IN"/>
        </w:rPr>
      </w:r>
    </w:p>
    <w:p>
      <w:pPr>
        <w:pStyle w:val="Normal"/>
        <w:widowControl w:val="false"/>
        <w:suppressAutoHyphens w:val="true"/>
        <w:jc w:val="both"/>
        <w:rPr>
          <w:rFonts w:ascii="Arial" w:hAnsi="Arial" w:eastAsia="Arial" w:cs="Arial"/>
          <w:color w:val="000000"/>
          <w:sz w:val="20"/>
          <w:szCs w:val="20"/>
          <w:lang w:val="es-ES" w:eastAsia="zh-CN" w:bidi="hi-IN"/>
        </w:rPr>
      </w:pPr>
      <w:r>
        <w:rPr>
          <w:rFonts w:eastAsia="Arial" w:cs="Arial" w:ascii="Arial" w:hAnsi="Arial"/>
          <w:i/>
          <w:color w:val="000000"/>
          <w:sz w:val="20"/>
          <w:szCs w:val="20"/>
          <w:lang w:val="es-ES" w:eastAsia="zh-CN" w:bidi="hi-IN"/>
        </w:rPr>
        <w:t xml:space="preserve">La presentación de un proyecto significa la aceptación de esta convocatoria y de las bases específicas que le acompañan. </w:t>
      </w:r>
      <w:r>
        <w:rPr>
          <w:rFonts w:eastAsia="Arial" w:cs="Arial" w:ascii="Arial" w:hAnsi="Arial"/>
          <w:color w:val="000000"/>
          <w:sz w:val="20"/>
          <w:szCs w:val="20"/>
          <w:lang w:val="es-ES" w:eastAsia="zh-CN" w:bidi="hi-IN"/>
        </w:rPr>
        <w:t>“</w:t>
      </w:r>
    </w:p>
    <w:p>
      <w:pPr>
        <w:pStyle w:val="Normal"/>
        <w:suppressAutoHyphens w:val="true"/>
        <w:jc w:val="both"/>
        <w:rPr>
          <w:rFonts w:ascii="Arial" w:hAnsi="Arial" w:eastAsia="NSimSun" w:cs="Arial"/>
          <w:color w:val="000000"/>
          <w:sz w:val="20"/>
          <w:szCs w:val="20"/>
          <w:lang w:eastAsia="zh-CN" w:bidi="hi-IN"/>
        </w:rPr>
      </w:pPr>
      <w:r>
        <w:rPr>
          <w:rFonts w:eastAsia="NSimSun" w:cs="Arial" w:ascii="Arial" w:hAnsi="Arial"/>
          <w:color w:val="000000"/>
          <w:sz w:val="20"/>
          <w:szCs w:val="20"/>
          <w:lang w:eastAsia="zh-CN" w:bidi="hi-IN"/>
        </w:rPr>
      </w:r>
    </w:p>
    <w:p>
      <w:pPr>
        <w:pStyle w:val="Normal"/>
        <w:suppressAutoHyphens w:val="true"/>
        <w:jc w:val="both"/>
        <w:rPr>
          <w:rFonts w:ascii="Arial" w:hAnsi="Arial" w:eastAsia="NSimSun" w:cs="Arial"/>
          <w:color w:val="000000"/>
          <w:sz w:val="20"/>
          <w:szCs w:val="20"/>
          <w:lang w:eastAsia="zh-CN" w:bidi="hi-IN"/>
        </w:rPr>
      </w:pPr>
      <w:r>
        <w:rPr>
          <w:rFonts w:eastAsia="NSimSun" w:cs="Arial" w:ascii="Arial" w:hAnsi="Arial"/>
          <w:color w:val="000000"/>
          <w:sz w:val="20"/>
          <w:szCs w:val="20"/>
          <w:lang w:eastAsia="zh-CN" w:bidi="hi-IN"/>
        </w:rPr>
      </w:r>
    </w:p>
    <w:p>
      <w:pPr>
        <w:pStyle w:val="Normal"/>
        <w:jc w:val="both"/>
        <w:rPr>
          <w:rFonts w:ascii="Arial" w:hAnsi="Arial" w:cs="Arial"/>
          <w:sz w:val="20"/>
          <w:szCs w:val="20"/>
        </w:rPr>
      </w:pPr>
      <w:r>
        <w:rPr>
          <w:rFonts w:eastAsia="DejaVu Sans" w:cs="Arial" w:ascii="Arial" w:hAnsi="Arial"/>
          <w:b/>
          <w:sz w:val="20"/>
          <w:szCs w:val="20"/>
          <w:lang w:eastAsia="zh-CN" w:bidi="hi-IN"/>
        </w:rPr>
        <w:t xml:space="preserve">Segundo </w:t>
      </w:r>
      <w:r>
        <w:rPr>
          <w:rFonts w:eastAsia="DejaVu Sans" w:cs="Arial" w:ascii="Arial" w:hAnsi="Arial"/>
          <w:b/>
          <w:sz w:val="20"/>
          <w:szCs w:val="20"/>
          <w:lang w:val="es-ES" w:eastAsia="zh-CN" w:bidi="hi-IN"/>
        </w:rPr>
        <w:t>.-</w:t>
      </w:r>
      <w:r>
        <w:rPr>
          <w:rFonts w:eastAsia="DejaVu Sans" w:cs="Arial" w:ascii="Arial" w:hAnsi="Arial"/>
          <w:sz w:val="20"/>
          <w:szCs w:val="20"/>
          <w:lang w:val="es-ES" w:eastAsia="zh-CN" w:bidi="hi-IN"/>
        </w:rPr>
        <w:t xml:space="preserve"> </w:t>
      </w:r>
      <w:r>
        <w:rPr>
          <w:rFonts w:eastAsia="DejaVu Sans" w:cs="Arial" w:ascii="Arial" w:hAnsi="Arial"/>
          <w:b/>
          <w:sz w:val="20"/>
          <w:szCs w:val="20"/>
          <w:lang w:val="es-ES" w:eastAsia="zh-CN" w:bidi="hi-IN"/>
        </w:rPr>
        <w:t xml:space="preserve">PUBLICAR </w:t>
      </w:r>
      <w:r>
        <w:rPr>
          <w:rFonts w:eastAsia="DejaVu Sans" w:cs="Arial" w:ascii="Arial" w:hAnsi="Arial"/>
          <w:sz w:val="20"/>
          <w:szCs w:val="20"/>
          <w:lang w:val="es-ES" w:eastAsia="zh-CN" w:bidi="hi-IN"/>
        </w:rPr>
        <w:t xml:space="preserve">la presente convocatoria y bases específicas en la Base de Datos Nacional de Subvenciones, en el Boletín Oficial de la Provincia de Barcelona y en el tablón de anuncios de la Corporación en los términos que dispone el artículo 20.8 de la LGS indicando que el plazo para la presentación de solicitudes será de 20 días hábiles a contar desde el día siguiente de la publicación de un extracto de la presente convocatoria en el BOPB, a través de la BDNS </w:t>
      </w:r>
      <w:r>
        <w:rPr>
          <w:rFonts w:cs="Arial" w:ascii="Arial" w:hAnsi="Arial"/>
          <w:sz w:val="20"/>
          <w:szCs w:val="20"/>
        </w:rPr>
        <w:t>.</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b/>
          <w:sz w:val="20"/>
          <w:szCs w:val="20"/>
        </w:rPr>
        <w:t xml:space="preserve">Tercero.- </w:t>
      </w:r>
      <w:r>
        <w:rPr>
          <w:rFonts w:cs="Arial" w:ascii="Arial" w:hAnsi="Arial"/>
          <w:sz w:val="20"/>
          <w:szCs w:val="20"/>
        </w:rPr>
        <w:t>Dar traslado de la presente resolución a los Departamento que estén implicados en la gestión de estas subvenciones y al Departamento de Hacienda a los efectos presupuestarios correspondientes.”</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Style w:val="Hps"/>
          <w:rFonts w:ascii="Arial" w:hAnsi="Arial" w:cs="Arial"/>
          <w:color w:val="333333"/>
          <w:sz w:val="20"/>
          <w:szCs w:val="20"/>
        </w:rPr>
      </w:pPr>
      <w:r>
        <w:rPr>
          <w:rStyle w:val="Hps"/>
          <w:rFonts w:cs="Arial" w:ascii="Arial" w:hAnsi="Arial"/>
          <w:color w:val="333333"/>
          <w:sz w:val="20"/>
          <w:szCs w:val="20"/>
        </w:rPr>
        <w:t>Cabrils, a fecha de la firma electrónica</w:t>
      </w:r>
    </w:p>
    <w:p>
      <w:pPr>
        <w:pStyle w:val="Normal"/>
        <w:jc w:val="both"/>
        <w:rPr>
          <w:rStyle w:val="Hps"/>
          <w:rFonts w:ascii="Arial" w:hAnsi="Arial" w:cs="Arial"/>
          <w:color w:val="333333"/>
          <w:sz w:val="20"/>
          <w:szCs w:val="20"/>
        </w:rPr>
      </w:pPr>
      <w:r>
        <w:rPr>
          <w:rFonts w:cs="Arial" w:ascii="Arial" w:hAnsi="Arial"/>
          <w:color w:val="333333"/>
          <w:sz w:val="20"/>
          <w:szCs w:val="20"/>
        </w:rPr>
      </w:r>
    </w:p>
    <w:p>
      <w:pPr>
        <w:pStyle w:val="Normal"/>
        <w:jc w:val="both"/>
        <w:rPr>
          <w:rStyle w:val="Hps"/>
          <w:rFonts w:ascii="Arial" w:hAnsi="Arial" w:cs="Arial"/>
          <w:color w:val="333333"/>
          <w:sz w:val="20"/>
          <w:szCs w:val="20"/>
        </w:rPr>
      </w:pPr>
      <w:r>
        <w:rPr>
          <w:rStyle w:val="Hps"/>
          <w:rFonts w:cs="Arial" w:ascii="Arial" w:hAnsi="Arial"/>
          <w:color w:val="333333"/>
          <w:sz w:val="20"/>
          <w:szCs w:val="20"/>
        </w:rPr>
        <w:tab/>
        <w:tab/>
        <w:tab/>
        <w:tab/>
        <w:tab/>
        <w:tab/>
        <w:tab/>
      </w:r>
    </w:p>
    <w:p>
      <w:pPr>
        <w:pStyle w:val="Normal"/>
        <w:jc w:val="both"/>
        <w:rPr>
          <w:rStyle w:val="Hps"/>
          <w:rFonts w:ascii="Arial" w:hAnsi="Arial" w:cs="Arial"/>
          <w:color w:val="333333"/>
          <w:sz w:val="20"/>
          <w:szCs w:val="20"/>
        </w:rPr>
      </w:pPr>
      <w:r>
        <w:rPr>
          <w:rStyle w:val="Hps"/>
          <w:rFonts w:cs="Arial" w:ascii="Arial" w:hAnsi="Arial"/>
          <w:color w:val="333333"/>
          <w:sz w:val="20"/>
          <w:szCs w:val="20"/>
        </w:rPr>
        <w:t>La alcaldesa,</w:t>
        <w:tab/>
        <w:tab/>
        <w:tab/>
        <w:tab/>
      </w:r>
    </w:p>
    <w:p>
      <w:pPr>
        <w:pStyle w:val="Normal"/>
        <w:jc w:val="both"/>
        <w:rPr>
          <w:rFonts w:ascii="Arial" w:hAnsi="Arial" w:cs="Arial"/>
          <w:color w:val="333333"/>
          <w:sz w:val="20"/>
          <w:szCs w:val="20"/>
        </w:rPr>
      </w:pPr>
      <w:r>
        <w:rPr>
          <w:rFonts w:cs="Arial" w:ascii="Arial" w:hAnsi="Arial"/>
          <w:color w:val="333333"/>
          <w:sz w:val="20"/>
          <w:szCs w:val="20"/>
        </w:rPr>
        <w:t>Maite Viñals Clemente</w:t>
        <w:tab/>
        <w:tab/>
      </w:r>
    </w:p>
    <w:sectPr>
      <w:headerReference w:type="default" r:id="rId3"/>
      <w:type w:val="nextPage"/>
      <w:pgSz w:w="11906" w:h="16838"/>
      <w:pgMar w:left="1701" w:right="1701" w:gutter="0" w:header="708" w:top="2336"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roman"/>
    <w:pitch w:val="variable"/>
  </w:font>
  <w:font w:name="Arial">
    <w:charset w:val="00"/>
    <w:family w:val="roman"/>
    <w:pitch w:val="variable"/>
  </w:font>
  <w:font w:name="Noto Sans Symbols">
    <w:charset w:val="01"/>
    <w:family w:val="auto"/>
    <w:pitch w:val="default"/>
  </w:font>
  <w:font w:name="Courier New">
    <w:charset w:val="01"/>
    <w:family w:val="modern"/>
    <w:pitch w:val="fixed"/>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1600200" cy="69532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2">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sz w:val="20"/>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5">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decimal"/>
      <w:lvlText w:val="%1."/>
      <w:lvlJc w:val="left"/>
      <w:pPr>
        <w:tabs>
          <w:tab w:val="num" w:pos="0"/>
        </w:tabs>
        <w:ind w:left="390" w:hanging="390"/>
      </w:pPr>
    </w:lvl>
    <w:lvl w:ilvl="1">
      <w:start w:val="1"/>
      <w:numFmt w:val="decimal"/>
      <w:lvlText w:val="%1.%2."/>
      <w:lvlJc w:val="left"/>
      <w:pPr>
        <w:tabs>
          <w:tab w:val="num" w:pos="0"/>
        </w:tabs>
        <w:ind w:left="1449" w:hanging="720"/>
      </w:pPr>
    </w:lvl>
    <w:lvl w:ilvl="2">
      <w:start w:val="1"/>
      <w:numFmt w:val="decimal"/>
      <w:lvlText w:val="%1.%2.%3."/>
      <w:lvlJc w:val="left"/>
      <w:pPr>
        <w:tabs>
          <w:tab w:val="num" w:pos="0"/>
        </w:tabs>
        <w:ind w:left="2178" w:hanging="720"/>
      </w:pPr>
    </w:lvl>
    <w:lvl w:ilvl="3">
      <w:start w:val="1"/>
      <w:numFmt w:val="decimal"/>
      <w:lvlText w:val="%1.%2.%3.%4."/>
      <w:lvlJc w:val="left"/>
      <w:pPr>
        <w:tabs>
          <w:tab w:val="num" w:pos="0"/>
        </w:tabs>
        <w:ind w:left="3267" w:hanging="1080"/>
      </w:pPr>
    </w:lvl>
    <w:lvl w:ilvl="4">
      <w:start w:val="1"/>
      <w:numFmt w:val="decimal"/>
      <w:lvlText w:val="%1.%2.%3.%4.%5."/>
      <w:lvlJc w:val="left"/>
      <w:pPr>
        <w:tabs>
          <w:tab w:val="num" w:pos="0"/>
        </w:tabs>
        <w:ind w:left="3996" w:hanging="1080"/>
      </w:pPr>
    </w:lvl>
    <w:lvl w:ilvl="5">
      <w:start w:val="1"/>
      <w:numFmt w:val="decimal"/>
      <w:lvlText w:val="%1.%2.%3.%4.%5.%6."/>
      <w:lvlJc w:val="left"/>
      <w:pPr>
        <w:tabs>
          <w:tab w:val="num" w:pos="0"/>
        </w:tabs>
        <w:ind w:left="5085" w:hanging="1440"/>
      </w:pPr>
    </w:lvl>
    <w:lvl w:ilvl="6">
      <w:start w:val="1"/>
      <w:numFmt w:val="decimal"/>
      <w:lvlText w:val="%1.%2.%3.%4.%5.%6.%7."/>
      <w:lvlJc w:val="left"/>
      <w:pPr>
        <w:tabs>
          <w:tab w:val="num" w:pos="0"/>
        </w:tabs>
        <w:ind w:left="5814" w:hanging="1440"/>
      </w:pPr>
    </w:lvl>
    <w:lvl w:ilvl="7">
      <w:start w:val="1"/>
      <w:numFmt w:val="decimal"/>
      <w:lvlText w:val="%1.%2.%3.%4.%5.%6.%7.%8."/>
      <w:lvlJc w:val="left"/>
      <w:pPr>
        <w:tabs>
          <w:tab w:val="num" w:pos="0"/>
        </w:tabs>
        <w:ind w:left="6903" w:hanging="1800"/>
      </w:pPr>
    </w:lvl>
    <w:lvl w:ilvl="8">
      <w:start w:val="1"/>
      <w:numFmt w:val="decimal"/>
      <w:lvlText w:val="%1.%2.%3.%4.%5.%6.%7.%8.%9."/>
      <w:lvlJc w:val="left"/>
      <w:pPr>
        <w:tabs>
          <w:tab w:val="num" w:pos="0"/>
        </w:tabs>
        <w:ind w:left="7632" w:hanging="1800"/>
      </w:pPr>
    </w:lvl>
  </w:abstractNum>
  <w:abstractNum w:abstractNumId="9">
    <w:lvl w:ilvl="0">
      <w:start w:val="1"/>
      <w:numFmt w:val="upperLetter"/>
      <w:lvlText w:val="%1."/>
      <w:lvlJc w:val="left"/>
      <w:pPr>
        <w:tabs>
          <w:tab w:val="num" w:pos="0"/>
        </w:tabs>
        <w:ind w:left="480" w:hanging="361"/>
      </w:pPr>
      <w:rPr>
        <w:sz w:val="20"/>
        <w:szCs w:val="20"/>
      </w:rPr>
    </w:lvl>
    <w:lvl w:ilvl="1">
      <w:start w:val="1"/>
      <w:numFmt w:val="lowerLetter"/>
      <w:lvlText w:val="%2)"/>
      <w:lvlJc w:val="left"/>
      <w:pPr>
        <w:tabs>
          <w:tab w:val="num" w:pos="0"/>
        </w:tabs>
        <w:ind w:left="825" w:hanging="346"/>
      </w:pPr>
      <w:rPr>
        <w:sz w:val="22"/>
        <w:szCs w:val="22"/>
      </w:rPr>
    </w:lvl>
    <w:lvl w:ilvl="2">
      <w:start w:val="1"/>
      <w:numFmt w:val="upperRoman"/>
      <w:lvlText w:val="%3."/>
      <w:lvlJc w:val="left"/>
      <w:pPr>
        <w:tabs>
          <w:tab w:val="num" w:pos="0"/>
        </w:tabs>
        <w:ind w:left="1536" w:hanging="433"/>
      </w:pPr>
      <w:rPr>
        <w:color w:val="00A933"/>
      </w:rPr>
    </w:lvl>
    <w:lvl w:ilvl="3">
      <w:start w:val="1"/>
      <w:numFmt w:val="bullet"/>
      <w:lvlText w:val=""/>
      <w:lvlJc w:val="left"/>
      <w:pPr>
        <w:tabs>
          <w:tab w:val="num" w:pos="0"/>
        </w:tabs>
        <w:ind w:left="1540" w:hanging="433"/>
      </w:pPr>
      <w:rPr>
        <w:rFonts w:ascii="Symbol" w:hAnsi="Symbol" w:cs="Symbol" w:hint="default"/>
      </w:rPr>
    </w:lvl>
    <w:lvl w:ilvl="4">
      <w:start w:val="1"/>
      <w:numFmt w:val="bullet"/>
      <w:lvlText w:val=""/>
      <w:lvlJc w:val="left"/>
      <w:pPr>
        <w:tabs>
          <w:tab w:val="num" w:pos="0"/>
        </w:tabs>
        <w:ind w:left="1560" w:hanging="433"/>
      </w:pPr>
      <w:rPr>
        <w:rFonts w:ascii="Symbol" w:hAnsi="Symbol" w:cs="Symbol" w:hint="default"/>
      </w:rPr>
    </w:lvl>
    <w:lvl w:ilvl="5">
      <w:start w:val="1"/>
      <w:numFmt w:val="bullet"/>
      <w:lvlText w:val=""/>
      <w:lvlJc w:val="left"/>
      <w:pPr>
        <w:tabs>
          <w:tab w:val="num" w:pos="0"/>
        </w:tabs>
        <w:ind w:left="2764" w:hanging="433"/>
      </w:pPr>
      <w:rPr>
        <w:rFonts w:ascii="Symbol" w:hAnsi="Symbol" w:cs="Symbol" w:hint="default"/>
      </w:rPr>
    </w:lvl>
    <w:lvl w:ilvl="6">
      <w:start w:val="1"/>
      <w:numFmt w:val="bullet"/>
      <w:lvlText w:val=""/>
      <w:lvlJc w:val="left"/>
      <w:pPr>
        <w:tabs>
          <w:tab w:val="num" w:pos="0"/>
        </w:tabs>
        <w:ind w:left="3968" w:hanging="433"/>
      </w:pPr>
      <w:rPr>
        <w:rFonts w:ascii="Symbol" w:hAnsi="Symbol" w:cs="Symbol" w:hint="default"/>
      </w:rPr>
    </w:lvl>
    <w:lvl w:ilvl="7">
      <w:start w:val="1"/>
      <w:numFmt w:val="bullet"/>
      <w:lvlText w:val=""/>
      <w:lvlJc w:val="left"/>
      <w:pPr>
        <w:tabs>
          <w:tab w:val="num" w:pos="0"/>
        </w:tabs>
        <w:ind w:left="5172" w:hanging="433"/>
      </w:pPr>
      <w:rPr>
        <w:rFonts w:ascii="Symbol" w:hAnsi="Symbol" w:cs="Symbol" w:hint="default"/>
      </w:rPr>
    </w:lvl>
    <w:lvl w:ilvl="8">
      <w:start w:val="1"/>
      <w:numFmt w:val="bullet"/>
      <w:lvlText w:val=""/>
      <w:lvlJc w:val="left"/>
      <w:pPr>
        <w:tabs>
          <w:tab w:val="num" w:pos="0"/>
        </w:tabs>
        <w:ind w:left="6376" w:hanging="432"/>
      </w:pPr>
      <w:rPr>
        <w:rFonts w:ascii="Symbol" w:hAnsi="Symbol" w:cs="Symbol" w:hint="default"/>
      </w:rPr>
    </w:lvl>
  </w:abstractNum>
  <w:abstractNum w:abstractNumId="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decimal"/>
      <w:lvlText w:val="%1."/>
      <w:lvlJc w:val="left"/>
      <w:pPr>
        <w:tabs>
          <w:tab w:val="num" w:pos="0"/>
        </w:tabs>
        <w:ind w:left="825" w:hanging="356"/>
      </w:pPr>
      <w:rPr>
        <w:sz w:val="20"/>
        <w:szCs w:val="20"/>
      </w:rPr>
    </w:lvl>
    <w:lvl w:ilvl="1">
      <w:start w:val="1"/>
      <w:numFmt w:val="bullet"/>
      <w:lvlText w:val=""/>
      <w:lvlJc w:val="left"/>
      <w:pPr>
        <w:tabs>
          <w:tab w:val="num" w:pos="0"/>
        </w:tabs>
        <w:ind w:left="1616" w:hanging="356"/>
      </w:pPr>
      <w:rPr>
        <w:rFonts w:ascii="Symbol" w:hAnsi="Symbol" w:cs="Symbol" w:hint="default"/>
      </w:rPr>
    </w:lvl>
    <w:lvl w:ilvl="2">
      <w:start w:val="1"/>
      <w:numFmt w:val="bullet"/>
      <w:lvlText w:val=""/>
      <w:lvlJc w:val="left"/>
      <w:pPr>
        <w:tabs>
          <w:tab w:val="num" w:pos="0"/>
        </w:tabs>
        <w:ind w:left="2412" w:hanging="356"/>
      </w:pPr>
      <w:rPr>
        <w:rFonts w:ascii="Symbol" w:hAnsi="Symbol" w:cs="Symbol" w:hint="default"/>
      </w:rPr>
    </w:lvl>
    <w:lvl w:ilvl="3">
      <w:start w:val="1"/>
      <w:numFmt w:val="bullet"/>
      <w:lvlText w:val=""/>
      <w:lvlJc w:val="left"/>
      <w:pPr>
        <w:tabs>
          <w:tab w:val="num" w:pos="0"/>
        </w:tabs>
        <w:ind w:left="3209" w:hanging="356"/>
      </w:pPr>
      <w:rPr>
        <w:rFonts w:ascii="Symbol" w:hAnsi="Symbol" w:cs="Symbol" w:hint="default"/>
      </w:rPr>
    </w:lvl>
    <w:lvl w:ilvl="4">
      <w:start w:val="1"/>
      <w:numFmt w:val="bullet"/>
      <w:lvlText w:val=""/>
      <w:lvlJc w:val="left"/>
      <w:pPr>
        <w:tabs>
          <w:tab w:val="num" w:pos="0"/>
        </w:tabs>
        <w:ind w:left="4005" w:hanging="356"/>
      </w:pPr>
      <w:rPr>
        <w:rFonts w:ascii="Symbol" w:hAnsi="Symbol" w:cs="Symbol" w:hint="default"/>
      </w:rPr>
    </w:lvl>
    <w:lvl w:ilvl="5">
      <w:start w:val="1"/>
      <w:numFmt w:val="bullet"/>
      <w:lvlText w:val=""/>
      <w:lvlJc w:val="left"/>
      <w:pPr>
        <w:tabs>
          <w:tab w:val="num" w:pos="0"/>
        </w:tabs>
        <w:ind w:left="4802" w:hanging="356"/>
      </w:pPr>
      <w:rPr>
        <w:rFonts w:ascii="Symbol" w:hAnsi="Symbol" w:cs="Symbol" w:hint="default"/>
      </w:rPr>
    </w:lvl>
    <w:lvl w:ilvl="6">
      <w:start w:val="1"/>
      <w:numFmt w:val="bullet"/>
      <w:lvlText w:val=""/>
      <w:lvlJc w:val="left"/>
      <w:pPr>
        <w:tabs>
          <w:tab w:val="num" w:pos="0"/>
        </w:tabs>
        <w:ind w:left="5598" w:hanging="356"/>
      </w:pPr>
      <w:rPr>
        <w:rFonts w:ascii="Symbol" w:hAnsi="Symbol" w:cs="Symbol" w:hint="default"/>
      </w:rPr>
    </w:lvl>
    <w:lvl w:ilvl="7">
      <w:start w:val="1"/>
      <w:numFmt w:val="bullet"/>
      <w:lvlText w:val=""/>
      <w:lvlJc w:val="left"/>
      <w:pPr>
        <w:tabs>
          <w:tab w:val="num" w:pos="0"/>
        </w:tabs>
        <w:ind w:left="6394" w:hanging="356"/>
      </w:pPr>
      <w:rPr>
        <w:rFonts w:ascii="Symbol" w:hAnsi="Symbol" w:cs="Symbol" w:hint="default"/>
      </w:rPr>
    </w:lvl>
    <w:lvl w:ilvl="8">
      <w:start w:val="1"/>
      <w:numFmt w:val="bullet"/>
      <w:lvlText w:val=""/>
      <w:lvlJc w:val="left"/>
      <w:pPr>
        <w:tabs>
          <w:tab w:val="num" w:pos="0"/>
        </w:tabs>
        <w:ind w:left="7191" w:hanging="356"/>
      </w:pPr>
      <w:rPr>
        <w:rFonts w:ascii="Symbol" w:hAnsi="Symbol" w:cs="Symbol" w:hint="default"/>
      </w:rPr>
    </w:lvl>
  </w:abstractNum>
  <w:abstractNum w:abstractNumId="1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3">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4">
    <w:lvl w:ilvl="0">
      <w:start w:val="1"/>
      <w:numFmt w:val="lowerLetter"/>
      <w:lvlText w:val="%1)"/>
      <w:lvlJc w:val="left"/>
      <w:pPr>
        <w:tabs>
          <w:tab w:val="num" w:pos="0"/>
        </w:tabs>
        <w:ind w:left="1055" w:hanging="346"/>
      </w:pPr>
      <w:rPr>
        <w:sz w:val="20"/>
        <w:szCs w:val="20"/>
      </w:rPr>
    </w:lvl>
    <w:lvl w:ilvl="1">
      <w:start w:val="1"/>
      <w:numFmt w:val="bullet"/>
      <w:lvlText w:val=""/>
      <w:lvlJc w:val="left"/>
      <w:pPr>
        <w:tabs>
          <w:tab w:val="num" w:pos="0"/>
        </w:tabs>
        <w:ind w:left="1849" w:hanging="346"/>
      </w:pPr>
      <w:rPr>
        <w:rFonts w:ascii="Symbol" w:hAnsi="Symbol" w:cs="Symbol" w:hint="default"/>
      </w:rPr>
    </w:lvl>
    <w:lvl w:ilvl="2">
      <w:start w:val="1"/>
      <w:numFmt w:val="bullet"/>
      <w:lvlText w:val=""/>
      <w:lvlJc w:val="left"/>
      <w:pPr>
        <w:tabs>
          <w:tab w:val="num" w:pos="0"/>
        </w:tabs>
        <w:ind w:left="2643" w:hanging="346"/>
      </w:pPr>
      <w:rPr>
        <w:rFonts w:ascii="Symbol" w:hAnsi="Symbol" w:cs="Symbol" w:hint="default"/>
      </w:rPr>
    </w:lvl>
    <w:lvl w:ilvl="3">
      <w:start w:val="1"/>
      <w:numFmt w:val="bullet"/>
      <w:lvlText w:val=""/>
      <w:lvlJc w:val="left"/>
      <w:pPr>
        <w:tabs>
          <w:tab w:val="num" w:pos="0"/>
        </w:tabs>
        <w:ind w:left="3438" w:hanging="346"/>
      </w:pPr>
      <w:rPr>
        <w:rFonts w:ascii="Symbol" w:hAnsi="Symbol" w:cs="Symbol" w:hint="default"/>
      </w:rPr>
    </w:lvl>
    <w:lvl w:ilvl="4">
      <w:start w:val="1"/>
      <w:numFmt w:val="bullet"/>
      <w:lvlText w:val=""/>
      <w:lvlJc w:val="left"/>
      <w:pPr>
        <w:tabs>
          <w:tab w:val="num" w:pos="0"/>
        </w:tabs>
        <w:ind w:left="4232" w:hanging="346"/>
      </w:pPr>
      <w:rPr>
        <w:rFonts w:ascii="Symbol" w:hAnsi="Symbol" w:cs="Symbol" w:hint="default"/>
      </w:rPr>
    </w:lvl>
    <w:lvl w:ilvl="5">
      <w:start w:val="1"/>
      <w:numFmt w:val="bullet"/>
      <w:lvlText w:val=""/>
      <w:lvlJc w:val="left"/>
      <w:pPr>
        <w:tabs>
          <w:tab w:val="num" w:pos="0"/>
        </w:tabs>
        <w:ind w:left="5027" w:hanging="346"/>
      </w:pPr>
      <w:rPr>
        <w:rFonts w:ascii="Symbol" w:hAnsi="Symbol" w:cs="Symbol" w:hint="default"/>
      </w:rPr>
    </w:lvl>
    <w:lvl w:ilvl="6">
      <w:start w:val="1"/>
      <w:numFmt w:val="bullet"/>
      <w:lvlText w:val=""/>
      <w:lvlJc w:val="left"/>
      <w:pPr>
        <w:tabs>
          <w:tab w:val="num" w:pos="0"/>
        </w:tabs>
        <w:ind w:left="5821" w:hanging="346"/>
      </w:pPr>
      <w:rPr>
        <w:rFonts w:ascii="Symbol" w:hAnsi="Symbol" w:cs="Symbol" w:hint="default"/>
      </w:rPr>
    </w:lvl>
    <w:lvl w:ilvl="7">
      <w:start w:val="1"/>
      <w:numFmt w:val="bullet"/>
      <w:lvlText w:val=""/>
      <w:lvlJc w:val="left"/>
      <w:pPr>
        <w:tabs>
          <w:tab w:val="num" w:pos="0"/>
        </w:tabs>
        <w:ind w:left="6615" w:hanging="346"/>
      </w:pPr>
      <w:rPr>
        <w:rFonts w:ascii="Symbol" w:hAnsi="Symbol" w:cs="Symbol" w:hint="default"/>
      </w:rPr>
    </w:lvl>
    <w:lvl w:ilvl="8">
      <w:start w:val="1"/>
      <w:numFmt w:val="bullet"/>
      <w:lvlText w:val=""/>
      <w:lvlJc w:val="left"/>
      <w:pPr>
        <w:tabs>
          <w:tab w:val="num" w:pos="0"/>
        </w:tabs>
        <w:ind w:left="7410" w:hanging="346"/>
      </w:pPr>
      <w:rPr>
        <w:rFonts w:ascii="Symbol" w:hAnsi="Symbol" w:cs="Symbol" w:hint="default"/>
      </w:rPr>
    </w:lvl>
  </w:abstractNum>
  <w:abstractNum w:abstractNumId="15">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6">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17">
    <w:lvl w:ilvl="0">
      <w:start w:val="2"/>
      <w:numFmt w:val="decimal"/>
      <w:lvlText w:val="%1"/>
      <w:lvlJc w:val="left"/>
      <w:pPr>
        <w:tabs>
          <w:tab w:val="num" w:pos="0"/>
        </w:tabs>
        <w:ind w:left="547" w:hanging="432"/>
      </w:pPr>
    </w:lvl>
    <w:lvl w:ilvl="1">
      <w:start w:val="1"/>
      <w:numFmt w:val="decimal"/>
      <w:lvlText w:val="%1.%2."/>
      <w:lvlJc w:val="left"/>
      <w:pPr>
        <w:tabs>
          <w:tab w:val="num" w:pos="0"/>
        </w:tabs>
        <w:ind w:left="547" w:hanging="432"/>
      </w:pPr>
      <w:rPr>
        <w:sz w:val="20"/>
        <w:szCs w:val="22"/>
      </w:rPr>
    </w:lvl>
    <w:lvl w:ilvl="2">
      <w:start w:val="1"/>
      <w:numFmt w:val="bullet"/>
      <w:lvlText w:val="●"/>
      <w:lvlJc w:val="left"/>
      <w:pPr>
        <w:tabs>
          <w:tab w:val="num" w:pos="0"/>
        </w:tabs>
        <w:ind w:left="840" w:hanging="346"/>
      </w:pPr>
      <w:rPr>
        <w:rFonts w:ascii="Noto Sans Symbols" w:hAnsi="Noto Sans Symbols" w:cs="Noto Sans Symbols" w:hint="default"/>
      </w:rPr>
    </w:lvl>
    <w:lvl w:ilvl="3">
      <w:start w:val="1"/>
      <w:numFmt w:val="bullet"/>
      <w:lvlText w:val=""/>
      <w:lvlJc w:val="left"/>
      <w:pPr>
        <w:tabs>
          <w:tab w:val="num" w:pos="0"/>
        </w:tabs>
        <w:ind w:left="2605" w:hanging="346"/>
      </w:pPr>
      <w:rPr>
        <w:rFonts w:ascii="Symbol" w:hAnsi="Symbol" w:cs="Symbol" w:hint="default"/>
      </w:rPr>
    </w:lvl>
    <w:lvl w:ilvl="4">
      <w:start w:val="1"/>
      <w:numFmt w:val="bullet"/>
      <w:lvlText w:val=""/>
      <w:lvlJc w:val="left"/>
      <w:pPr>
        <w:tabs>
          <w:tab w:val="num" w:pos="0"/>
        </w:tabs>
        <w:ind w:left="3488" w:hanging="346"/>
      </w:pPr>
      <w:rPr>
        <w:rFonts w:ascii="Symbol" w:hAnsi="Symbol" w:cs="Symbol" w:hint="default"/>
      </w:rPr>
    </w:lvl>
    <w:lvl w:ilvl="5">
      <w:start w:val="1"/>
      <w:numFmt w:val="bullet"/>
      <w:lvlText w:val=""/>
      <w:lvlJc w:val="left"/>
      <w:pPr>
        <w:tabs>
          <w:tab w:val="num" w:pos="0"/>
        </w:tabs>
        <w:ind w:left="4370" w:hanging="346"/>
      </w:pPr>
      <w:rPr>
        <w:rFonts w:ascii="Symbol" w:hAnsi="Symbol" w:cs="Symbol" w:hint="default"/>
      </w:rPr>
    </w:lvl>
    <w:lvl w:ilvl="6">
      <w:start w:val="1"/>
      <w:numFmt w:val="bullet"/>
      <w:lvlText w:val=""/>
      <w:lvlJc w:val="left"/>
      <w:pPr>
        <w:tabs>
          <w:tab w:val="num" w:pos="0"/>
        </w:tabs>
        <w:ind w:left="5253" w:hanging="346"/>
      </w:pPr>
      <w:rPr>
        <w:rFonts w:ascii="Symbol" w:hAnsi="Symbol" w:cs="Symbol" w:hint="default"/>
      </w:rPr>
    </w:lvl>
    <w:lvl w:ilvl="7">
      <w:start w:val="1"/>
      <w:numFmt w:val="bullet"/>
      <w:lvlText w:val=""/>
      <w:lvlJc w:val="left"/>
      <w:pPr>
        <w:tabs>
          <w:tab w:val="num" w:pos="0"/>
        </w:tabs>
        <w:ind w:left="6136" w:hanging="346"/>
      </w:pPr>
      <w:rPr>
        <w:rFonts w:ascii="Symbol" w:hAnsi="Symbol" w:cs="Symbol" w:hint="default"/>
      </w:rPr>
    </w:lvl>
    <w:lvl w:ilvl="8">
      <w:start w:val="1"/>
      <w:numFmt w:val="bullet"/>
      <w:lvlText w:val=""/>
      <w:lvlJc w:val="left"/>
      <w:pPr>
        <w:tabs>
          <w:tab w:val="num" w:pos="0"/>
        </w:tabs>
        <w:ind w:left="7018" w:hanging="346"/>
      </w:pPr>
      <w:rPr>
        <w:rFonts w:ascii="Symbol" w:hAnsi="Symbol" w:cs="Symbol" w:hint="default"/>
      </w:rPr>
    </w:lvl>
  </w:abstractNum>
  <w:abstractNum w:abstractNumId="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lvl w:ilvl="0">
      <w:start w:val="1"/>
      <w:numFmt w:val="upperLetter"/>
      <w:lvlText w:val="%1."/>
      <w:lvlJc w:val="left"/>
      <w:pPr>
        <w:tabs>
          <w:tab w:val="num" w:pos="0"/>
        </w:tabs>
        <w:ind w:left="480" w:hanging="361"/>
      </w:pPr>
      <w:rPr>
        <w:sz w:val="20"/>
        <w:szCs w:val="20"/>
      </w:rPr>
    </w:lvl>
    <w:lvl w:ilvl="1">
      <w:start w:val="1"/>
      <w:numFmt w:val="bullet"/>
      <w:lvlText w:val="•"/>
      <w:lvlJc w:val="left"/>
      <w:pPr>
        <w:tabs>
          <w:tab w:val="num" w:pos="0"/>
        </w:tabs>
        <w:ind w:left="840" w:hanging="346"/>
      </w:pPr>
      <w:rPr>
        <w:rFonts w:ascii="Noto Sans Symbols" w:hAnsi="Noto Sans Symbols" w:cs="Noto Sans Symbols" w:hint="default"/>
      </w:rPr>
    </w:lvl>
    <w:lvl w:ilvl="2">
      <w:start w:val="1"/>
      <w:numFmt w:val="bullet"/>
      <w:lvlText w:val=""/>
      <w:lvlJc w:val="left"/>
      <w:pPr>
        <w:tabs>
          <w:tab w:val="num" w:pos="0"/>
        </w:tabs>
        <w:ind w:left="1722" w:hanging="346"/>
      </w:pPr>
      <w:rPr>
        <w:rFonts w:ascii="Symbol" w:hAnsi="Symbol" w:cs="Symbol" w:hint="default"/>
      </w:rPr>
    </w:lvl>
    <w:lvl w:ilvl="3">
      <w:start w:val="1"/>
      <w:numFmt w:val="bullet"/>
      <w:lvlText w:val=""/>
      <w:lvlJc w:val="left"/>
      <w:pPr>
        <w:tabs>
          <w:tab w:val="num" w:pos="0"/>
        </w:tabs>
        <w:ind w:left="2605" w:hanging="346"/>
      </w:pPr>
      <w:rPr>
        <w:rFonts w:ascii="Symbol" w:hAnsi="Symbol" w:cs="Symbol" w:hint="default"/>
      </w:rPr>
    </w:lvl>
    <w:lvl w:ilvl="4">
      <w:start w:val="1"/>
      <w:numFmt w:val="bullet"/>
      <w:lvlText w:val=""/>
      <w:lvlJc w:val="left"/>
      <w:pPr>
        <w:tabs>
          <w:tab w:val="num" w:pos="0"/>
        </w:tabs>
        <w:ind w:left="3488" w:hanging="346"/>
      </w:pPr>
      <w:rPr>
        <w:rFonts w:ascii="Symbol" w:hAnsi="Symbol" w:cs="Symbol" w:hint="default"/>
      </w:rPr>
    </w:lvl>
    <w:lvl w:ilvl="5">
      <w:start w:val="1"/>
      <w:numFmt w:val="bullet"/>
      <w:lvlText w:val=""/>
      <w:lvlJc w:val="left"/>
      <w:pPr>
        <w:tabs>
          <w:tab w:val="num" w:pos="0"/>
        </w:tabs>
        <w:ind w:left="4370" w:hanging="346"/>
      </w:pPr>
      <w:rPr>
        <w:rFonts w:ascii="Symbol" w:hAnsi="Symbol" w:cs="Symbol" w:hint="default"/>
      </w:rPr>
    </w:lvl>
    <w:lvl w:ilvl="6">
      <w:start w:val="1"/>
      <w:numFmt w:val="bullet"/>
      <w:lvlText w:val=""/>
      <w:lvlJc w:val="left"/>
      <w:pPr>
        <w:tabs>
          <w:tab w:val="num" w:pos="0"/>
        </w:tabs>
        <w:ind w:left="5253" w:hanging="346"/>
      </w:pPr>
      <w:rPr>
        <w:rFonts w:ascii="Symbol" w:hAnsi="Symbol" w:cs="Symbol" w:hint="default"/>
      </w:rPr>
    </w:lvl>
    <w:lvl w:ilvl="7">
      <w:start w:val="1"/>
      <w:numFmt w:val="bullet"/>
      <w:lvlText w:val=""/>
      <w:lvlJc w:val="left"/>
      <w:pPr>
        <w:tabs>
          <w:tab w:val="num" w:pos="0"/>
        </w:tabs>
        <w:ind w:left="6136" w:hanging="346"/>
      </w:pPr>
      <w:rPr>
        <w:rFonts w:ascii="Symbol" w:hAnsi="Symbol" w:cs="Symbol" w:hint="default"/>
      </w:rPr>
    </w:lvl>
    <w:lvl w:ilvl="8">
      <w:start w:val="1"/>
      <w:numFmt w:val="bullet"/>
      <w:lvlText w:val=""/>
      <w:lvlJc w:val="left"/>
      <w:pPr>
        <w:tabs>
          <w:tab w:val="num" w:pos="0"/>
        </w:tabs>
        <w:ind w:left="7018" w:hanging="346"/>
      </w:pPr>
      <w:rPr>
        <w:rFonts w:ascii="Symbol" w:hAnsi="Symbol" w:cs="Symbol" w:hint="default"/>
      </w:rPr>
    </w:lvl>
  </w:abstractNum>
  <w:abstractNum w:abstractNumId="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lvl w:ilvl="0">
      <w:start w:val="1"/>
      <w:numFmt w:val="decimal"/>
      <w:lvlText w:val="%1."/>
      <w:lvlJc w:val="left"/>
      <w:pPr>
        <w:tabs>
          <w:tab w:val="num" w:pos="720"/>
        </w:tabs>
        <w:ind w:left="720" w:hanging="360"/>
      </w:pPr>
      <w:rPr>
        <w:sz w:val="20"/>
        <w:szCs w:val="20"/>
        <w:rFonts w:ascii="Arial" w:hAnsi="Arial"/>
      </w:rPr>
    </w:lvl>
    <w:lvl w:ilvl="1">
      <w:start w:val="1"/>
      <w:numFmt w:val="decimal"/>
      <w:lvlText w:val="%2."/>
      <w:lvlJc w:val="left"/>
      <w:pPr>
        <w:tabs>
          <w:tab w:val="num" w:pos="1080"/>
        </w:tabs>
        <w:ind w:left="1080" w:hanging="360"/>
      </w:pPr>
      <w:rPr>
        <w:sz w:val="20"/>
        <w:szCs w:val="20"/>
        <w:rFonts w:ascii="Arial" w:hAnsi="Arial"/>
      </w:rPr>
    </w:lvl>
    <w:lvl w:ilvl="2">
      <w:start w:val="1"/>
      <w:numFmt w:val="decimal"/>
      <w:lvlText w:val="%3."/>
      <w:lvlJc w:val="left"/>
      <w:pPr>
        <w:tabs>
          <w:tab w:val="num" w:pos="1440"/>
        </w:tabs>
        <w:ind w:left="1440" w:hanging="360"/>
      </w:pPr>
      <w:rPr>
        <w:sz w:val="20"/>
        <w:szCs w:val="20"/>
        <w:rFonts w:ascii="Arial" w:hAnsi="Arial"/>
      </w:rPr>
    </w:lvl>
    <w:lvl w:ilvl="3">
      <w:start w:val="1"/>
      <w:numFmt w:val="decimal"/>
      <w:lvlText w:val="%4."/>
      <w:lvlJc w:val="left"/>
      <w:pPr>
        <w:tabs>
          <w:tab w:val="num" w:pos="1800"/>
        </w:tabs>
        <w:ind w:left="1800" w:hanging="360"/>
      </w:pPr>
      <w:rPr>
        <w:sz w:val="20"/>
        <w:szCs w:val="20"/>
        <w:rFonts w:ascii="Arial" w:hAnsi="Arial"/>
      </w:rPr>
    </w:lvl>
    <w:lvl w:ilvl="4">
      <w:start w:val="1"/>
      <w:numFmt w:val="decimal"/>
      <w:lvlText w:val="%5."/>
      <w:lvlJc w:val="left"/>
      <w:pPr>
        <w:tabs>
          <w:tab w:val="num" w:pos="2160"/>
        </w:tabs>
        <w:ind w:left="2160" w:hanging="360"/>
      </w:pPr>
      <w:rPr>
        <w:sz w:val="20"/>
        <w:szCs w:val="20"/>
        <w:rFonts w:ascii="Arial" w:hAnsi="Arial"/>
      </w:rPr>
    </w:lvl>
    <w:lvl w:ilvl="5">
      <w:start w:val="1"/>
      <w:numFmt w:val="decimal"/>
      <w:lvlText w:val="%6."/>
      <w:lvlJc w:val="left"/>
      <w:pPr>
        <w:tabs>
          <w:tab w:val="num" w:pos="2520"/>
        </w:tabs>
        <w:ind w:left="2520" w:hanging="360"/>
      </w:pPr>
      <w:rPr>
        <w:sz w:val="20"/>
        <w:szCs w:val="20"/>
        <w:rFonts w:ascii="Arial" w:hAnsi="Arial"/>
      </w:rPr>
    </w:lvl>
    <w:lvl w:ilvl="6">
      <w:start w:val="1"/>
      <w:numFmt w:val="decimal"/>
      <w:lvlText w:val="%7."/>
      <w:lvlJc w:val="left"/>
      <w:pPr>
        <w:tabs>
          <w:tab w:val="num" w:pos="2880"/>
        </w:tabs>
        <w:ind w:left="2880" w:hanging="360"/>
      </w:pPr>
      <w:rPr>
        <w:sz w:val="20"/>
        <w:szCs w:val="20"/>
        <w:rFonts w:ascii="Arial" w:hAnsi="Arial"/>
      </w:rPr>
    </w:lvl>
    <w:lvl w:ilvl="7">
      <w:start w:val="1"/>
      <w:numFmt w:val="decimal"/>
      <w:lvlText w:val="%8."/>
      <w:lvlJc w:val="left"/>
      <w:pPr>
        <w:tabs>
          <w:tab w:val="num" w:pos="3240"/>
        </w:tabs>
        <w:ind w:left="3240" w:hanging="360"/>
      </w:pPr>
      <w:rPr>
        <w:sz w:val="20"/>
        <w:szCs w:val="20"/>
        <w:rFonts w:ascii="Arial" w:hAnsi="Arial"/>
      </w:rPr>
    </w:lvl>
    <w:lvl w:ilvl="8">
      <w:start w:val="1"/>
      <w:numFmt w:val="decimal"/>
      <w:lvlText w:val="%9."/>
      <w:lvlJc w:val="left"/>
      <w:pPr>
        <w:tabs>
          <w:tab w:val="num" w:pos="3600"/>
        </w:tabs>
        <w:ind w:left="3600" w:hanging="360"/>
      </w:pPr>
      <w:rPr>
        <w:sz w:val="20"/>
        <w:szCs w:val="20"/>
        <w:rFonts w:ascii="Arial" w:hAnsi="Arial"/>
      </w:rPr>
    </w:lvl>
  </w:abstractNum>
  <w:abstractNum w:abstractNumId="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18"/>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ca-E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uiPriority="99" w:semiHidden="1"/>
    <w:lsdException w:name="No Spacing" w:uiPriority="1" w:qFormat="1"/>
    <w:lsdException w:name="Light Shading" w:uiPriority="60" w:semiHidden="1" w:unhideWhenUsed="1"/>
    <w:lsdException w:name="Light List" w:uiPriority="61" w:semiHidden="1" w:unhideWhenUsed="1"/>
    <w:lsdException w:name="Light Grid" w:uiPriority="62" w:semiHidden="1" w:unhideWhenUsed="1"/>
    <w:lsdException w:name="Medium Shading 1" w:uiPriority="63" w:semiHidden="1" w:unhideWhenUsed="1"/>
    <w:lsdException w:name="Medium Shading 2" w:uiPriority="64" w:semiHidden="1" w:unhideWhenUsed="1"/>
    <w:lsdException w:name="Medium List 1" w:uiPriority="65" w:semiHidden="1" w:unhideWhenUsed="1"/>
    <w:lsdException w:name="Medium List 2" w:uiPriority="66" w:semiHidden="1" w:unhideWhenUsed="1"/>
    <w:lsdException w:name="Medium Grid 1" w:uiPriority="67" w:semiHidden="1" w:unhideWhenUsed="1"/>
    <w:lsdException w:name="Medium Grid 2" w:uiPriority="68" w:semiHidden="1" w:unhideWhenUsed="1"/>
    <w:lsdException w:name="Medium Grid 3" w:uiPriority="69" w:semiHidden="1" w:unhideWhenUsed="1"/>
    <w:lsdException w:name="Dark List" w:uiPriority="70" w:semiHidden="1" w:unhideWhenUsed="1"/>
    <w:lsdException w:name="Colorful Shading" w:uiPriority="71" w:semiHidden="1" w:unhideWhenUsed="1"/>
    <w:lsdException w:name="Colorful List" w:uiPriority="72" w:semiHidden="1" w:unhideWhenUsed="1"/>
    <w:lsdException w:name="Colorful Grid" w:uiPriority="73" w:semiHidden="1" w:unhideWhenUsed="1"/>
    <w:lsdException w:name="Light Shading Accent 1" w:uiPriority="60" w:semiHidden="1" w:unhideWhenUsed="1"/>
    <w:lsdException w:name="Light List Accent 1" w:uiPriority="61" w:semiHidden="1" w:unhideWhenUsed="1"/>
    <w:lsdException w:name="Light Grid Accent 1" w:uiPriority="62" w:semiHidden="1" w:unhideWhenUsed="1"/>
    <w:lsdException w:name="Medium Shading 1 Accent 1" w:uiPriority="63" w:semiHidden="1" w:unhideWhenUsed="1"/>
    <w:lsdException w:name="Medium Shading 2 Accent 1" w:uiPriority="64" w:semiHidden="1" w:unhideWhenUsed="1"/>
    <w:lsdException w:name="Medium List 1 Accent 1" w:uiPriority="65" w:semiHidden="1" w:unhideWhenUsed="1"/>
    <w:lsdException w:name="Revision" w:uiPriority="99" w:semiHidden="1"/>
    <w:lsdException w:name="List Paragraph" w:uiPriority="34" w:qFormat="1"/>
    <w:lsdException w:name="Quote" w:uiPriority="29" w:qFormat="1"/>
    <w:lsdException w:name="Intense Quote" w:uiPriority="30" w:qFormat="1"/>
    <w:lsdException w:name="Medium List 2 Accent 1" w:uiPriority="66" w:semiHidden="1" w:unhideWhenUsed="1"/>
    <w:lsdException w:name="Medium Grid 1 Accent 1" w:uiPriority="67" w:semiHidden="1" w:unhideWhenUsed="1"/>
    <w:lsdException w:name="Medium Grid 2 Accent 1" w:uiPriority="68" w:semiHidden="1" w:unhideWhenUsed="1"/>
    <w:lsdException w:name="Medium Grid 3 Accent 1" w:uiPriority="69" w:semiHidden="1" w:unhideWhenUsed="1"/>
    <w:lsdException w:name="Dark List Accent 1" w:uiPriority="70" w:semiHidden="1" w:unhideWhenUsed="1"/>
    <w:lsdException w:name="Colorful Shading Accent 1" w:uiPriority="71" w:semiHidden="1" w:unhideWhenUsed="1"/>
    <w:lsdException w:name="Colorful List Accent 1" w:uiPriority="72" w:semiHidden="1" w:unhideWhenUsed="1"/>
    <w:lsdException w:name="Colorful Grid Accent 1" w:uiPriority="73" w:semiHidden="1" w:unhideWhenUsed="1"/>
    <w:lsdException w:name="Light Shading Accent 2" w:uiPriority="60" w:semiHidden="1" w:unhideWhenUsed="1"/>
    <w:lsdException w:name="Light List Accent 2" w:uiPriority="61" w:semiHidden="1" w:unhideWhenUsed="1"/>
    <w:lsdException w:name="Light Grid Accent 2" w:uiPriority="62" w:semiHidden="1" w:unhideWhenUsed="1"/>
    <w:lsdException w:name="Medium Shading 1 Accent 2" w:uiPriority="63" w:semiHidden="1" w:unhideWhenUsed="1"/>
    <w:lsdException w:name="Medium Shading 2 Accent 2" w:uiPriority="64" w:semiHidden="1" w:unhideWhenUsed="1"/>
    <w:lsdException w:name="Medium List 1 Accent 2" w:uiPriority="65" w:semiHidden="1" w:unhideWhenUsed="1"/>
    <w:lsdException w:name="Medium List 2 Accent 2" w:uiPriority="66" w:semiHidden="1" w:unhideWhenUsed="1"/>
    <w:lsdException w:name="Medium Grid 1 Accent 2" w:uiPriority="67" w:semiHidden="1" w:unhideWhenUsed="1"/>
    <w:lsdException w:name="Medium Grid 2 Accent 2" w:uiPriority="68" w:semiHidden="1" w:unhideWhenUsed="1"/>
    <w:lsdException w:name="Medium Grid 3 Accent 2" w:uiPriority="69" w:semiHidden="1" w:unhideWhenUsed="1"/>
    <w:lsdException w:name="Dark List Accent 2" w:uiPriority="70" w:semiHidden="1" w:unhideWhenUsed="1"/>
    <w:lsdException w:name="Colorful Shading Accent 2" w:uiPriority="71" w:semiHidden="1" w:unhideWhenUsed="1"/>
    <w:lsdException w:name="Colorful List Accent 2" w:uiPriority="72" w:semiHidden="1" w:unhideWhenUsed="1"/>
    <w:lsdException w:name="Colorful Grid Accent 2" w:uiPriority="73" w:semiHidden="1" w:unhideWhenUsed="1"/>
    <w:lsdException w:name="Light Shading Accent 3" w:uiPriority="60" w:semiHidden="1" w:unhideWhenUsed="1"/>
    <w:lsdException w:name="Light List Accent 3" w:uiPriority="61" w:semiHidden="1" w:unhideWhenUsed="1"/>
    <w:lsdException w:name="Light Grid Accent 3" w:uiPriority="62" w:semiHidden="1" w:unhideWhenUsed="1"/>
    <w:lsdException w:name="Medium Shading 1 Accent 3" w:uiPriority="63" w:semiHidden="1" w:unhideWhenUsed="1"/>
    <w:lsdException w:name="Medium Shading 2 Accent 3" w:uiPriority="64" w:semiHidden="1" w:unhideWhenUsed="1"/>
    <w:lsdException w:name="Medium List 1 Accent 3" w:uiPriority="65" w:semiHidden="1" w:unhideWhenUsed="1"/>
    <w:lsdException w:name="Medium List 2 Accent 3" w:uiPriority="66" w:semiHidden="1" w:unhideWhenUsed="1"/>
    <w:lsdException w:name="Medium Grid 1 Accent 3" w:uiPriority="67" w:semiHidden="1" w:unhideWhenUsed="1"/>
    <w:lsdException w:name="Medium Grid 2 Accent 3" w:uiPriority="68" w:semiHidden="1" w:unhideWhenUsed="1"/>
    <w:lsdException w:name="Medium Grid 3 Accent 3" w:uiPriority="69" w:semiHidden="1" w:unhideWhenUsed="1"/>
    <w:lsdException w:name="Dark List Accent 3" w:uiPriority="70" w:semiHidden="1" w:unhideWhenUsed="1"/>
    <w:lsdException w:name="Colorful Shading Accent 3" w:uiPriority="71" w:semiHidden="1" w:unhideWhenUsed="1"/>
    <w:lsdException w:name="Colorful List Accent 3" w:uiPriority="72" w:semiHidden="1" w:unhideWhenUsed="1"/>
    <w:lsdException w:name="Colorful Grid Accent 3" w:uiPriority="73" w:semiHidden="1" w:unhideWhenUsed="1"/>
    <w:lsdException w:name="Light Shading Accent 4" w:uiPriority="60" w:semiHidden="1" w:unhideWhenUsed="1"/>
    <w:lsdException w:name="Light List Accent 4" w:uiPriority="61" w:semiHidden="1" w:unhideWhenUsed="1"/>
    <w:lsdException w:name="Light Grid Accent 4" w:uiPriority="62" w:semiHidden="1" w:unhideWhenUsed="1"/>
    <w:lsdException w:name="Medium Shading 1 Accent 4" w:uiPriority="63" w:semiHidden="1" w:unhideWhenUsed="1"/>
    <w:lsdException w:name="Medium Shading 2 Accent 4" w:uiPriority="64" w:semiHidden="1" w:unhideWhenUsed="1"/>
    <w:lsdException w:name="Medium List 1 Accent 4" w:uiPriority="65" w:semiHidden="1" w:unhideWhenUsed="1"/>
    <w:lsdException w:name="Medium List 2 Accent 4" w:uiPriority="66" w:semiHidden="1" w:unhideWhenUsed="1"/>
    <w:lsdException w:name="Medium Grid 1 Accent 4" w:uiPriority="67" w:semiHidden="1" w:unhideWhenUsed="1"/>
    <w:lsdException w:name="Medium Grid 2 Accent 4" w:uiPriority="68" w:semiHidden="1" w:unhideWhenUsed="1"/>
    <w:lsdException w:name="Medium Grid 3 Accent 4" w:uiPriority="69" w:semiHidden="1" w:unhideWhenUsed="1"/>
    <w:lsdException w:name="Dark List Accent 4" w:uiPriority="70" w:semiHidden="1" w:unhideWhenUsed="1"/>
    <w:lsdException w:name="Colorful Shading Accent 4" w:uiPriority="71" w:semiHidden="1" w:unhideWhenUsed="1"/>
    <w:lsdException w:name="Colorful List Accent 4" w:uiPriority="72" w:semiHidden="1" w:unhideWhenUsed="1"/>
    <w:lsdException w:name="Colorful Grid Accent 4" w:uiPriority="73" w:semiHidden="1" w:unhideWhenUsed="1"/>
    <w:lsdException w:name="Light Shading Accent 5" w:uiPriority="60" w:semiHidden="1" w:unhideWhenUsed="1"/>
    <w:lsdException w:name="Light List Accent 5" w:uiPriority="61" w:semiHidden="1" w:unhideWhenUsed="1"/>
    <w:lsdException w:name="Light Grid Accent 5" w:uiPriority="62" w:semiHidden="1" w:unhideWhenUsed="1"/>
    <w:lsdException w:name="Medium Shading 1 Accent 5" w:uiPriority="63" w:semiHidden="1" w:unhideWhenUsed="1"/>
    <w:lsdException w:name="Medium Shading 2 Accent 5" w:uiPriority="64" w:semiHidden="1" w:unhideWhenUsed="1"/>
    <w:lsdException w:name="Medium List 1 Accent 5" w:uiPriority="65" w:semiHidden="1" w:unhideWhenUsed="1"/>
    <w:lsdException w:name="Medium List 2 Accent 5" w:uiPriority="66" w:semiHidden="1" w:unhideWhenUsed="1"/>
    <w:lsdException w:name="Medium Grid 1 Accent 5" w:uiPriority="67" w:semiHidden="1" w:unhideWhenUsed="1"/>
    <w:lsdException w:name="Medium Grid 2 Accent 5" w:uiPriority="68" w:semiHidden="1" w:unhideWhenUsed="1"/>
    <w:lsdException w:name="Medium Grid 3 Accent 5" w:uiPriority="69" w:semiHidden="1" w:unhideWhenUsed="1"/>
    <w:lsdException w:name="Dark List Accent 5" w:uiPriority="70" w:semiHidden="1" w:unhideWhenUsed="1"/>
    <w:lsdException w:name="Colorful Shading Accent 5" w:uiPriority="71" w:semiHidden="1" w:unhideWhenUsed="1"/>
    <w:lsdException w:name="Colorful List Accent 5" w:uiPriority="72" w:semiHidden="1" w:unhideWhenUsed="1"/>
    <w:lsdException w:name="Colorful Grid Accent 5" w:uiPriority="73" w:semiHidden="1" w:unhideWhenUsed="1"/>
    <w:lsdException w:name="Light Shading Accent 6" w:uiPriority="60" w:semiHidden="1" w:unhideWhenUsed="1"/>
    <w:lsdException w:name="Light List Accent 6" w:uiPriority="61" w:semiHidden="1" w:unhideWhenUsed="1"/>
    <w:lsdException w:name="Light Grid Accent 6" w:uiPriority="62" w:semiHidden="1" w:unhideWhenUsed="1"/>
    <w:lsdException w:name="Medium Shading 1 Accent 6" w:uiPriority="63" w:semiHidden="1" w:unhideWhenUsed="1"/>
    <w:lsdException w:name="Medium Shading 2 Accent 6" w:uiPriority="64" w:semiHidden="1" w:unhideWhenUsed="1"/>
    <w:lsdException w:name="Medium List 1 Accent 6" w:uiPriority="65" w:semiHidden="1" w:unhideWhenUsed="1"/>
    <w:lsdException w:name="Medium List 2 Accent 6" w:uiPriority="66" w:semiHidden="1" w:unhideWhenUsed="1"/>
    <w:lsdException w:name="Medium Grid 1 Accent 6" w:uiPriority="67" w:semiHidden="1" w:unhideWhenUsed="1"/>
    <w:lsdException w:name="Medium Grid 2 Accent 6" w:uiPriority="68" w:semiHidden="1" w:unhideWhenUsed="1"/>
    <w:lsdException w:name="Medium Grid 3 Accent 6" w:uiPriority="69" w:semiHidden="1" w:unhideWhenUsed="1"/>
    <w:lsdException w:name="Dark List Accent 6" w:uiPriority="70" w:semiHidden="1" w:unhideWhenUsed="1"/>
    <w:lsdException w:name="Colorful Shading Accent 6" w:uiPriority="71" w:semiHidden="1" w:unhideWhenUsed="1"/>
    <w:lsdException w:name="Colorful List Accent 6" w:uiPriority="72" w:semiHidden="1" w:unhideWhenUsed="1"/>
    <w:lsdException w:name="Colorful Grid Accent 6" w:uiPriority="73" w:semiHidden="1"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0e1206"/>
    <w:pPr>
      <w:widowControl/>
      <w:bidi w:val="0"/>
      <w:spacing w:before="0" w:after="0"/>
      <w:jc w:val="left"/>
    </w:pPr>
    <w:rPr>
      <w:rFonts w:ascii="Times New Roman" w:hAnsi="Times New Roman" w:eastAsia="Times New Roman" w:cs="Times New Roman"/>
      <w:color w:val="auto"/>
      <w:kern w:val="0"/>
      <w:sz w:val="24"/>
      <w:szCs w:val="24"/>
      <w:lang w:val="es-ES" w:eastAsia="es-ES" w:bidi="ar-SA"/>
    </w:rPr>
  </w:style>
  <w:style w:type="character" w:styleId="DefaultParagraphFont" w:default="1">
    <w:name w:val="Default Paragraph Font"/>
    <w:link w:val="CarCar1"/>
    <w:semiHidden/>
    <w:qFormat/>
    <w:rPr/>
  </w:style>
  <w:style w:type="character" w:styleId="Hps" w:customStyle="1">
    <w:name w:val="hps"/>
    <w:basedOn w:val="DefaultParagraphFont"/>
    <w:qFormat/>
    <w:rsid w:val="000e1206"/>
    <w:rPr/>
  </w:style>
  <w:style w:type="character" w:styleId="EncabezadoCar" w:customStyle="1">
    <w:name w:val="Encabezado Car"/>
    <w:link w:val="Encabezado"/>
    <w:qFormat/>
    <w:rsid w:val="00b3339a"/>
    <w:rPr>
      <w:sz w:val="24"/>
      <w:szCs w:val="24"/>
      <w:lang w:val="es-ES" w:eastAsia="es-ES"/>
    </w:rPr>
  </w:style>
  <w:style w:type="character" w:styleId="PiedepginaCar" w:customStyle="1">
    <w:name w:val="Pie de página Car"/>
    <w:link w:val="Piedepgina"/>
    <w:qFormat/>
    <w:rsid w:val="00b3339a"/>
    <w:rPr>
      <w:sz w:val="24"/>
      <w:szCs w:val="24"/>
      <w:lang w:val="es-ES" w:eastAsia="es-ES"/>
    </w:rPr>
  </w:style>
  <w:style w:type="character" w:styleId="EnlacedeInternet">
    <w:name w:val="Enlace de Internet"/>
    <w:uiPriority w:val="99"/>
    <w:unhideWhenUsed/>
    <w:rsid w:val="004e6e7d"/>
    <w:rPr>
      <w:color w:val="0563C1"/>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rCar1" w:customStyle="1">
    <w:name w:val="Car Car1"/>
    <w:basedOn w:val="Normal"/>
    <w:link w:val="Fuentedeprrafopredeter"/>
    <w:qFormat/>
    <w:rsid w:val="000e1206"/>
    <w:pPr>
      <w:spacing w:lineRule="exact" w:line="240" w:before="0" w:after="160"/>
    </w:pPr>
    <w:rPr>
      <w:rFonts w:ascii="Tahoma" w:hAnsi="Tahoma" w:cs="Tahoma"/>
      <w:sz w:val="20"/>
      <w:szCs w:val="20"/>
      <w:lang w:val="es-ES" w:eastAsia="en-US"/>
    </w:rPr>
  </w:style>
  <w:style w:type="paragraph" w:styleId="Cabeceraypie">
    <w:name w:val="Cabecera y pie"/>
    <w:basedOn w:val="Normal"/>
    <w:qFormat/>
    <w:pPr/>
    <w:rPr/>
  </w:style>
  <w:style w:type="paragraph" w:styleId="Cabecera">
    <w:name w:val="Header"/>
    <w:basedOn w:val="Normal"/>
    <w:link w:val="EncabezadoCar"/>
    <w:rsid w:val="00b3339a"/>
    <w:pPr>
      <w:tabs>
        <w:tab w:val="clear" w:pos="708"/>
        <w:tab w:val="center" w:pos="4252" w:leader="none"/>
        <w:tab w:val="right" w:pos="8504" w:leader="none"/>
      </w:tabs>
    </w:pPr>
    <w:rPr/>
  </w:style>
  <w:style w:type="paragraph" w:styleId="Piedepgina">
    <w:name w:val="Footer"/>
    <w:basedOn w:val="Normal"/>
    <w:link w:val="PiedepginaCar"/>
    <w:rsid w:val="00b3339a"/>
    <w:pPr>
      <w:tabs>
        <w:tab w:val="clear" w:pos="708"/>
        <w:tab w:val="center" w:pos="4252" w:leader="none"/>
        <w:tab w:val="right" w:pos="8504" w:leader="none"/>
      </w:tabs>
    </w:pPr>
    <w:rPr/>
  </w:style>
  <w:style w:type="numbering" w:styleId="NoList" w:default="1">
    <w:name w:val="No List"/>
    <w:semiHidden/>
    <w:qFormat/>
  </w:style>
  <w:style w:type="table" w:default="1" w:styleId="Tablanormal">
    <w:name w:val="Normal Table"/>
    <w:semiHidden/>
    <w:tblPr>
      <w:tblCellMar>
        <w:top w:w="0" w:type="dxa"/>
        <w:left w:w="108" w:type="dxa"/>
        <w:bottom w:w="0" w:type="dxa"/>
        <w:right w:w="108" w:type="dxa"/>
      </w:tblCellMar>
    </w:tblPr>
  </w:style>
  <w:style w:type="table" w:styleId="Tablaconcuadrcula">
    <w:name w:val="Table Grid"/>
    <w:basedOn w:val="Tablanormal"/>
    <w:rsid w:val="000e120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rils.cat/"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LibreOffice/7.2.6.2$Windows_X86_64 LibreOffice_project/b0ec3a565991f7569a5a7f5d24fed7f52653d754</Application>
  <AppVersion>15.0000</AppVersion>
  <Pages>23</Pages>
  <Words>5780</Words>
  <Characters>31734</Characters>
  <CharactersWithSpaces>36911</CharactersWithSpaces>
  <Paragraphs>508</Paragraphs>
  <Company>Cabrils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2023-04-17T10:25:00Z</dcterms:created>
  <dc:creator>AJ</dc:creator>
  <dc:description/>
  <dc:language>es-ES</dc:language>
  <cp:lastModifiedBy>Cristina Bellonch</cp:lastModifiedBy>
  <dcterms:modified xsi:type="dcterms:W3CDTF">2023-04-17T10:25:00Z</dcterms:modified>
  <cp:revision>2</cp:revision>
  <dc:subject/>
  <dc:title>ANUNCI</dc:title>
</cp:coreProperties>
</file>

<file path=docProps/custom.xml><?xml version="1.0" encoding="utf-8"?>
<Properties xmlns="http://schemas.openxmlformats.org/officeDocument/2006/custom-properties" xmlns:vt="http://schemas.openxmlformats.org/officeDocument/2006/docPropsVTypes"/>
</file>