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52297" w14:textId="76E15E2A" w:rsidR="00AA2C98" w:rsidRPr="00AA2C98" w:rsidRDefault="00AA2C98" w:rsidP="00AA2C98">
      <w:pPr>
        <w:jc w:val="both"/>
        <w:rPr>
          <w:rFonts w:ascii="Arial" w:hAnsi="Arial" w:cs="Arial"/>
          <w:b/>
          <w:bCs/>
          <w:sz w:val="20"/>
          <w:szCs w:val="20"/>
        </w:rPr>
      </w:pPr>
      <w:r w:rsidRPr="00AA2C98">
        <w:rPr>
          <w:rFonts w:ascii="Arial" w:hAnsi="Arial" w:cs="Arial"/>
          <w:b/>
          <w:bCs/>
          <w:sz w:val="20"/>
          <w:szCs w:val="20"/>
        </w:rPr>
        <w:t>CONVOCATORIA PARA LA CONCESIÓN D</w:t>
      </w:r>
      <w:r>
        <w:rPr>
          <w:rFonts w:ascii="Arial" w:hAnsi="Arial" w:cs="Arial"/>
          <w:b/>
          <w:bCs/>
          <w:sz w:val="20"/>
          <w:szCs w:val="20"/>
        </w:rPr>
        <w:t>E</w:t>
      </w:r>
      <w:r w:rsidRPr="00AA2C98">
        <w:rPr>
          <w:rFonts w:ascii="Arial" w:hAnsi="Arial" w:cs="Arial"/>
          <w:b/>
          <w:bCs/>
          <w:sz w:val="20"/>
          <w:szCs w:val="20"/>
        </w:rPr>
        <w:t xml:space="preserve"> AYUDAS DE MATERIAL, </w:t>
      </w:r>
      <w:proofErr w:type="gramStart"/>
      <w:r w:rsidRPr="00AA2C98">
        <w:rPr>
          <w:rFonts w:ascii="Arial" w:hAnsi="Arial" w:cs="Arial"/>
          <w:b/>
          <w:bCs/>
          <w:sz w:val="20"/>
          <w:szCs w:val="20"/>
        </w:rPr>
        <w:t>LIBROS,  TRANSPORTE</w:t>
      </w:r>
      <w:proofErr w:type="gramEnd"/>
      <w:r w:rsidRPr="00AA2C98">
        <w:rPr>
          <w:rFonts w:ascii="Arial" w:hAnsi="Arial" w:cs="Arial"/>
          <w:b/>
          <w:bCs/>
          <w:sz w:val="20"/>
          <w:szCs w:val="20"/>
        </w:rPr>
        <w:t xml:space="preserve"> Y COMEDOR PARA EL CURSO ESCOLAR 2024-2025</w:t>
      </w:r>
    </w:p>
    <w:p w14:paraId="1CCCD97E" w14:textId="77777777" w:rsidR="00AA2C98" w:rsidRPr="00AA2C98" w:rsidRDefault="00AA2C98" w:rsidP="00AA2C98">
      <w:pPr>
        <w:jc w:val="both"/>
        <w:rPr>
          <w:rFonts w:ascii="Arial" w:hAnsi="Arial" w:cs="Arial"/>
          <w:sz w:val="20"/>
          <w:szCs w:val="20"/>
        </w:rPr>
      </w:pPr>
    </w:p>
    <w:p w14:paraId="79C07A0E"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CÓDIGO DE LA CONVOCATORIA: 04/2024</w:t>
      </w:r>
    </w:p>
    <w:p w14:paraId="68176FA2" w14:textId="77777777" w:rsidR="00AA2C98" w:rsidRPr="00AA2C98" w:rsidRDefault="00AA2C98" w:rsidP="00AA2C98">
      <w:pPr>
        <w:jc w:val="both"/>
        <w:rPr>
          <w:rFonts w:ascii="Arial" w:hAnsi="Arial" w:cs="Arial"/>
          <w:b/>
          <w:bCs/>
          <w:sz w:val="20"/>
          <w:szCs w:val="20"/>
          <w:u w:val="single"/>
        </w:rPr>
      </w:pPr>
      <w:r w:rsidRPr="00AA2C98">
        <w:rPr>
          <w:rFonts w:ascii="Arial" w:hAnsi="Arial" w:cs="Arial"/>
          <w:b/>
          <w:bCs/>
          <w:sz w:val="20"/>
          <w:szCs w:val="20"/>
          <w:u w:val="single"/>
        </w:rPr>
        <w:t>1.- Indicación de la aprobación de las Bases Reguladoras y diario oficial donde se han publicado</w:t>
      </w:r>
    </w:p>
    <w:p w14:paraId="6622802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Por acuerdo de la sesión ordinaria del Pleno celebrada en fecha 28 de marzo de 2022, fueron aprobadas las Bases Reguladoras para la concesión de ayudas de material, libros, transporte escolar, logopedia, comedor escolar y Casals de verano.</w:t>
      </w:r>
    </w:p>
    <w:p w14:paraId="549A4981" w14:textId="77777777" w:rsidR="00AA2C98" w:rsidRPr="00AA2C98" w:rsidRDefault="00AA2C98" w:rsidP="00AA2C98">
      <w:pPr>
        <w:jc w:val="both"/>
        <w:rPr>
          <w:rFonts w:ascii="Arial" w:hAnsi="Arial" w:cs="Arial"/>
          <w:sz w:val="20"/>
          <w:szCs w:val="20"/>
        </w:rPr>
      </w:pPr>
    </w:p>
    <w:p w14:paraId="3E02B9B2"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Estas Bases Reguladoras fueron objeto de publicación al Boletín Oficial de la </w:t>
      </w:r>
      <w:proofErr w:type="gramStart"/>
      <w:r w:rsidRPr="00AA2C98">
        <w:rPr>
          <w:rFonts w:ascii="Arial" w:hAnsi="Arial" w:cs="Arial"/>
          <w:sz w:val="20"/>
          <w:szCs w:val="20"/>
        </w:rPr>
        <w:t>Provincia  n.º</w:t>
      </w:r>
      <w:proofErr w:type="gramEnd"/>
      <w:r w:rsidRPr="00AA2C98">
        <w:rPr>
          <w:rFonts w:ascii="Arial" w:hAnsi="Arial" w:cs="Arial"/>
          <w:sz w:val="20"/>
          <w:szCs w:val="20"/>
        </w:rPr>
        <w:t xml:space="preserve"> de registro CVE 202210054142 y CVE 202210054151 de fecha 7 de abril de 2022  y aprobadas definitivamente en fecha 11 de mayo de 2022.</w:t>
      </w:r>
    </w:p>
    <w:p w14:paraId="099AC7B8" w14:textId="77777777" w:rsidR="00AA2C98" w:rsidRPr="00AA2C98" w:rsidRDefault="00AA2C98" w:rsidP="00AA2C98">
      <w:pPr>
        <w:jc w:val="both"/>
        <w:rPr>
          <w:rFonts w:ascii="Arial" w:hAnsi="Arial" w:cs="Arial"/>
          <w:b/>
          <w:bCs/>
          <w:sz w:val="20"/>
          <w:szCs w:val="20"/>
          <w:u w:val="single"/>
        </w:rPr>
      </w:pPr>
      <w:r w:rsidRPr="00AA2C98">
        <w:rPr>
          <w:rFonts w:ascii="Arial" w:hAnsi="Arial" w:cs="Arial"/>
          <w:b/>
          <w:bCs/>
          <w:sz w:val="20"/>
          <w:szCs w:val="20"/>
          <w:u w:val="single"/>
        </w:rPr>
        <w:t>2.- Cuantía total máxima de las subvenciones a otorgar y consignación presupuestaria</w:t>
      </w:r>
    </w:p>
    <w:p w14:paraId="11ECA075"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El importe de las ayudas escolares para el curso escolar 2024-2025 irá a cargo de la partida presupuestaria 12 32100 48008, denominada “Ayudas escolares municipales” del presupuesto de gastos del Ayuntamiento de Sant Pere de Vilamajor para el año 2024 por un importe máximo de 10.000 € sin necesidad de agotar estos gastos máximos autorizados. En función de las necesidades se podría ampliar la consignación presupuestaria condicionada a la ampliación de crédito de las partidas.</w:t>
      </w:r>
    </w:p>
    <w:p w14:paraId="3DD46E56" w14:textId="77777777" w:rsidR="00AA2C98" w:rsidRPr="00AA2C98" w:rsidRDefault="00AA2C98" w:rsidP="00AA2C98">
      <w:pPr>
        <w:jc w:val="both"/>
        <w:rPr>
          <w:rFonts w:ascii="Arial" w:hAnsi="Arial" w:cs="Arial"/>
          <w:b/>
          <w:bCs/>
          <w:sz w:val="20"/>
          <w:szCs w:val="20"/>
          <w:u w:val="single"/>
        </w:rPr>
      </w:pPr>
      <w:r w:rsidRPr="00AA2C98">
        <w:rPr>
          <w:rFonts w:ascii="Arial" w:hAnsi="Arial" w:cs="Arial"/>
          <w:b/>
          <w:bCs/>
          <w:sz w:val="20"/>
          <w:szCs w:val="20"/>
          <w:u w:val="single"/>
        </w:rPr>
        <w:t>3.- Objeto, condiciones y finalidad de las subvenciones</w:t>
      </w:r>
    </w:p>
    <w:p w14:paraId="1999BE2C"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El objeto de estas bases es regir la convocatoria para el otorgamiento de ayudas de material, libros, transporte y </w:t>
      </w:r>
      <w:proofErr w:type="gramStart"/>
      <w:r w:rsidRPr="00AA2C98">
        <w:rPr>
          <w:rFonts w:ascii="Arial" w:hAnsi="Arial" w:cs="Arial"/>
          <w:sz w:val="20"/>
          <w:szCs w:val="20"/>
        </w:rPr>
        <w:t>comedor  a</w:t>
      </w:r>
      <w:proofErr w:type="gramEnd"/>
      <w:r w:rsidRPr="00AA2C98">
        <w:rPr>
          <w:rFonts w:ascii="Arial" w:hAnsi="Arial" w:cs="Arial"/>
          <w:sz w:val="20"/>
          <w:szCs w:val="20"/>
        </w:rPr>
        <w:t xml:space="preserve"> los alumnos empadronados en Sant Pere de Vilamajor matriculados en centros públicos y que cursen educación infantil, educación primaria o educación secundaria y, que se encuentren en una especial situación familiar con necesidades sociales y/o económicas.</w:t>
      </w:r>
    </w:p>
    <w:p w14:paraId="3A216B29" w14:textId="77777777" w:rsidR="00AA2C98" w:rsidRPr="00AA2C98" w:rsidRDefault="00AA2C98" w:rsidP="00AA2C98">
      <w:pPr>
        <w:jc w:val="both"/>
        <w:rPr>
          <w:rFonts w:ascii="Arial" w:hAnsi="Arial" w:cs="Arial"/>
          <w:b/>
          <w:bCs/>
          <w:sz w:val="20"/>
          <w:szCs w:val="20"/>
          <w:u w:val="single"/>
        </w:rPr>
      </w:pPr>
      <w:r w:rsidRPr="00AA2C98">
        <w:rPr>
          <w:rFonts w:ascii="Arial" w:hAnsi="Arial" w:cs="Arial"/>
          <w:b/>
          <w:bCs/>
          <w:sz w:val="20"/>
          <w:szCs w:val="20"/>
          <w:u w:val="single"/>
        </w:rPr>
        <w:t>4.- Procedimiento de concesión</w:t>
      </w:r>
    </w:p>
    <w:p w14:paraId="2F18E12E"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 xml:space="preserve">Una vez presentadas las solicitudes junto con la documentación aneja, el Ayuntamiento las revisará. </w:t>
      </w:r>
    </w:p>
    <w:p w14:paraId="68838104"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El Ayuntamiento tiene que valorar, de conformidad a los baremos establecidos en las bases y en su punto 12 de esta convocatoria o bien mediante informe motivado, las solicitudes con la documentación aportada que cumplan los requisitos fijados a las bases.</w:t>
      </w:r>
    </w:p>
    <w:p w14:paraId="17F97875"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 xml:space="preserve">Los Servicios Sociales propondrán a la Junta de Gobierno Local el otorgamiento de las ayudas, de acuerdo con la puntuación obtenida al aplicar las reglas de baremación y los criterios de adjudicación previstos. El pago de las ayudas otorgadas se adjudicará a los endosatarios descritos en las bases. </w:t>
      </w:r>
    </w:p>
    <w:p w14:paraId="72DEA76B" w14:textId="62C9BB0A" w:rsidR="005330E8" w:rsidRPr="00AA2C98" w:rsidRDefault="00AA2C98" w:rsidP="00AA2C98">
      <w:pPr>
        <w:jc w:val="both"/>
        <w:rPr>
          <w:rFonts w:ascii="Arial" w:hAnsi="Arial" w:cs="Arial"/>
          <w:sz w:val="20"/>
          <w:szCs w:val="20"/>
        </w:rPr>
      </w:pPr>
      <w:r w:rsidRPr="00AA2C98">
        <w:rPr>
          <w:rFonts w:ascii="Arial" w:hAnsi="Arial" w:cs="Arial"/>
          <w:sz w:val="20"/>
          <w:szCs w:val="20"/>
        </w:rPr>
        <w:lastRenderedPageBreak/>
        <w:t>-</w:t>
      </w:r>
      <w:r w:rsidRPr="00AA2C98">
        <w:rPr>
          <w:rFonts w:ascii="Arial" w:hAnsi="Arial" w:cs="Arial"/>
          <w:sz w:val="20"/>
          <w:szCs w:val="20"/>
        </w:rPr>
        <w:tab/>
        <w:t>Plazo del procedimiento: El plazo máximo para resolver la solicitud de la ayuda de material, libros, transporte y comedor es el 31 de diciembre. Si transcurrido este plazo no se ha dictado y publicado resolución exprés, la solicitud se entenderá desestimada.</w:t>
      </w:r>
    </w:p>
    <w:p w14:paraId="7B3EAC27"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5.- Requisitos por la solicitud y forma de acreditarlos</w:t>
      </w:r>
    </w:p>
    <w:p w14:paraId="2E5F51C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Además de reunir las condiciones para ser persona beneficiaria descritas en las bases, para poder recibir la ayuda hace falta:</w:t>
      </w:r>
    </w:p>
    <w:p w14:paraId="19CFF6B6" w14:textId="77777777" w:rsidR="00AA2C98" w:rsidRPr="00AA2C98" w:rsidRDefault="00AA2C98" w:rsidP="00AA2C98">
      <w:pPr>
        <w:jc w:val="both"/>
        <w:rPr>
          <w:rFonts w:ascii="Arial" w:hAnsi="Arial" w:cs="Arial"/>
          <w:sz w:val="20"/>
          <w:szCs w:val="20"/>
        </w:rPr>
      </w:pPr>
    </w:p>
    <w:p w14:paraId="5A38744A" w14:textId="77777777" w:rsidR="00AA2C98" w:rsidRPr="00AA2C98" w:rsidRDefault="00AA2C98" w:rsidP="00AA2C98">
      <w:pPr>
        <w:jc w:val="both"/>
        <w:rPr>
          <w:rFonts w:ascii="Arial" w:hAnsi="Arial" w:cs="Arial"/>
          <w:sz w:val="20"/>
          <w:szCs w:val="20"/>
        </w:rPr>
      </w:pPr>
      <w:proofErr w:type="gramStart"/>
      <w:r w:rsidRPr="00AA2C98">
        <w:rPr>
          <w:rFonts w:ascii="Arial" w:hAnsi="Arial" w:cs="Arial"/>
          <w:sz w:val="20"/>
          <w:szCs w:val="20"/>
        </w:rPr>
        <w:t>a)Presentar</w:t>
      </w:r>
      <w:proofErr w:type="gramEnd"/>
      <w:r w:rsidRPr="00AA2C98">
        <w:rPr>
          <w:rFonts w:ascii="Arial" w:hAnsi="Arial" w:cs="Arial"/>
          <w:sz w:val="20"/>
          <w:szCs w:val="20"/>
        </w:rPr>
        <w:t xml:space="preserve"> la solicitud y la documentación imprescindible previsto en estas bases, así como aquella documentación que sea procedente en función de cada caso, prevista en el artículo 7 de estas bases, en los plazos y la forma establecidos en cada convocatoria.</w:t>
      </w:r>
    </w:p>
    <w:p w14:paraId="42D2225C"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b) El alumno/a tiene que estar empadronado en Sant Pere de Vilamajor y matriculado en centro público.</w:t>
      </w:r>
    </w:p>
    <w:p w14:paraId="127CF758"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c) Tener una renta neta por miembro de la unidad familiar, igual o inferior al indicador de renta de suficiencia de Cataluña, del año en curso, excepto en los casos de acreditación de violencia machista, en que solo se tendrán en cuenta los ingresos de la persona víctima de violencia machista. </w:t>
      </w:r>
    </w:p>
    <w:p w14:paraId="5F29AF3A" w14:textId="77777777" w:rsidR="00AA2C98" w:rsidRPr="00AA2C98" w:rsidRDefault="00AA2C98" w:rsidP="00AA2C98">
      <w:pPr>
        <w:jc w:val="both"/>
        <w:rPr>
          <w:rFonts w:ascii="Arial" w:hAnsi="Arial" w:cs="Arial"/>
          <w:sz w:val="20"/>
          <w:szCs w:val="20"/>
        </w:rPr>
      </w:pPr>
    </w:p>
    <w:p w14:paraId="5D34301E"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Por miembro de la unidad familiar, concretamente, se tendrán en cuenta los ingresos de los padres, las madres, los tutores legales o las personas encargadas temporalmente o definitivamente de la guarda de las personas beneficiarias y hermanos de los beneficiarios y que consten en el certificado de convivencia aportado.</w:t>
      </w:r>
    </w:p>
    <w:p w14:paraId="3626C5E4" w14:textId="77777777" w:rsidR="00AA2C98" w:rsidRPr="00AA2C98" w:rsidRDefault="00AA2C98" w:rsidP="00AA2C98">
      <w:pPr>
        <w:jc w:val="both"/>
        <w:rPr>
          <w:rFonts w:ascii="Arial" w:hAnsi="Arial" w:cs="Arial"/>
          <w:sz w:val="20"/>
          <w:szCs w:val="20"/>
        </w:rPr>
      </w:pPr>
    </w:p>
    <w:p w14:paraId="0882914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Pueden solicitar </w:t>
      </w:r>
      <w:proofErr w:type="gramStart"/>
      <w:r w:rsidRPr="00AA2C98">
        <w:rPr>
          <w:rFonts w:ascii="Arial" w:hAnsi="Arial" w:cs="Arial"/>
          <w:sz w:val="20"/>
          <w:szCs w:val="20"/>
        </w:rPr>
        <w:t>los ayuda</w:t>
      </w:r>
      <w:proofErr w:type="gramEnd"/>
      <w:r w:rsidRPr="00AA2C98">
        <w:rPr>
          <w:rFonts w:ascii="Arial" w:hAnsi="Arial" w:cs="Arial"/>
          <w:sz w:val="20"/>
          <w:szCs w:val="20"/>
        </w:rPr>
        <w:t xml:space="preserve"> los padres, las madres, los tutores legales o las personas encargadas temporalmente o definitivamente de la guarda y custodia de las personas beneficiarias. En el caso de custodias compartidas se podrá solicitar de forma conjunta ambos progenitores o de forma separada uno o los dos, en este último caso la ayuda solicitada por cada progenitor será proporcional en los días que le corresponda la custodia, siempre que reúnan los requisitos indicados al 4.1.</w:t>
      </w:r>
    </w:p>
    <w:p w14:paraId="140AFA6D" w14:textId="77777777" w:rsidR="00AA2C98" w:rsidRPr="00AA2C98" w:rsidRDefault="00AA2C98" w:rsidP="00AA2C98">
      <w:pPr>
        <w:jc w:val="both"/>
        <w:rPr>
          <w:rFonts w:ascii="Arial" w:hAnsi="Arial" w:cs="Arial"/>
          <w:sz w:val="20"/>
          <w:szCs w:val="20"/>
        </w:rPr>
      </w:pPr>
    </w:p>
    <w:p w14:paraId="0435E797"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La renta neta mensual de la unidad familiar es el resultado de la división del total de los ingresos netos percibidos por la unidad familiar durante el año entre catorce. Sin embargo, por el caso que se acredite, a la renta neta mensual de la unidad familiar, </w:t>
      </w:r>
      <w:proofErr w:type="gramStart"/>
      <w:r w:rsidRPr="00AA2C98">
        <w:rPr>
          <w:rFonts w:ascii="Arial" w:hAnsi="Arial" w:cs="Arial"/>
          <w:sz w:val="20"/>
          <w:szCs w:val="20"/>
        </w:rPr>
        <w:t>se  puede</w:t>
      </w:r>
      <w:proofErr w:type="gramEnd"/>
      <w:r w:rsidRPr="00AA2C98">
        <w:rPr>
          <w:rFonts w:ascii="Arial" w:hAnsi="Arial" w:cs="Arial"/>
          <w:sz w:val="20"/>
          <w:szCs w:val="20"/>
        </w:rPr>
        <w:t xml:space="preserve"> restar hasta un máximo de seiscientos euros en concepto de gastos mensuales de préstamo hipotecario o de alquiler de la vivienda donde reside la persona beneficiaria.</w:t>
      </w:r>
    </w:p>
    <w:p w14:paraId="230243FB" w14:textId="77777777" w:rsidR="00AA2C98" w:rsidRPr="00AA2C98" w:rsidRDefault="00AA2C98" w:rsidP="00AA2C98">
      <w:pPr>
        <w:jc w:val="both"/>
        <w:rPr>
          <w:rFonts w:ascii="Arial" w:hAnsi="Arial" w:cs="Arial"/>
          <w:sz w:val="20"/>
          <w:szCs w:val="20"/>
        </w:rPr>
      </w:pPr>
    </w:p>
    <w:p w14:paraId="28F6A989"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lastRenderedPageBreak/>
        <w:t xml:space="preserve">Estos requisitos se tienen que cumplir en el momento de la presentación de la solicitud. </w:t>
      </w:r>
    </w:p>
    <w:p w14:paraId="19D2ACD6"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6.- Documentos que tienen que acompañar a la solicitud</w:t>
      </w:r>
    </w:p>
    <w:p w14:paraId="423D4CD5"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La documentación que ya esté a disposición del Ayuntamiento de Sant Pere de Vilamajor y que tenga vigencia, no hace falta que sea presentada de nuevo, a pesar de que habrá que indicar que no se presenta por este motivo.</w:t>
      </w:r>
    </w:p>
    <w:p w14:paraId="44B95EF8" w14:textId="77777777" w:rsidR="00AA2C98" w:rsidRPr="00AA2C98" w:rsidRDefault="00AA2C98" w:rsidP="00AA2C98">
      <w:pPr>
        <w:jc w:val="both"/>
        <w:rPr>
          <w:rFonts w:ascii="Arial" w:hAnsi="Arial" w:cs="Arial"/>
          <w:sz w:val="20"/>
          <w:szCs w:val="20"/>
        </w:rPr>
      </w:pPr>
    </w:p>
    <w:p w14:paraId="167D36E6"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A las solicitudes se tiene que adjuntar la documentación siguiente, aportando el original para su comprobación en el momento de registrar la </w:t>
      </w:r>
      <w:proofErr w:type="gramStart"/>
      <w:r w:rsidRPr="00AA2C98">
        <w:rPr>
          <w:rFonts w:ascii="Arial" w:hAnsi="Arial" w:cs="Arial"/>
          <w:sz w:val="20"/>
          <w:szCs w:val="20"/>
        </w:rPr>
        <w:t>solicitud:.</w:t>
      </w:r>
      <w:proofErr w:type="gramEnd"/>
    </w:p>
    <w:p w14:paraId="5CAFD11F" w14:textId="77777777" w:rsidR="00AA2C98" w:rsidRPr="00AA2C98" w:rsidRDefault="00AA2C98" w:rsidP="00AA2C98">
      <w:pPr>
        <w:jc w:val="both"/>
        <w:rPr>
          <w:rFonts w:ascii="Arial" w:hAnsi="Arial" w:cs="Arial"/>
          <w:sz w:val="20"/>
          <w:szCs w:val="20"/>
        </w:rPr>
      </w:pPr>
    </w:p>
    <w:p w14:paraId="5FF67B9C"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Documentación económica OBLIGATORIA general:</w:t>
      </w:r>
    </w:p>
    <w:p w14:paraId="0DF0F85A"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a) En caso de ser trabajador/a fijo/a o temporal, las hojas de salario o certificado equivalente de los últimos 3 meses anteriores a la solicitud donde consten los ingresos percibidos.</w:t>
      </w:r>
    </w:p>
    <w:p w14:paraId="70743EA7"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b) En el caso de trabajadores autónomos declaración de renta correspondiente al último ejercicio fiscal.</w:t>
      </w:r>
    </w:p>
    <w:p w14:paraId="36948215"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c) En caso de #encontrar en el paro, certificado del Servicio de Ocupación de Cataluña actual con los periodos de inscripción y de recepción de prestaciones y/o subsidios por paro y la cuantía que perciben.</w:t>
      </w:r>
    </w:p>
    <w:p w14:paraId="7A4F2B61"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d) En caso de ser pensionistas, certificado de pensión actual.</w:t>
      </w:r>
    </w:p>
    <w:p w14:paraId="4A401A94"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 Cualquier otra documentación que acredite los ingresos obtenidos.</w:t>
      </w:r>
    </w:p>
    <w:p w14:paraId="184880CD"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f) Los Servicios Sociales, en los casos que se considere </w:t>
      </w:r>
      <w:proofErr w:type="gramStart"/>
      <w:r w:rsidRPr="00AA2C98">
        <w:rPr>
          <w:rFonts w:ascii="Arial" w:hAnsi="Arial" w:cs="Arial"/>
          <w:sz w:val="20"/>
          <w:szCs w:val="20"/>
        </w:rPr>
        <w:t>necesario,  podrán</w:t>
      </w:r>
      <w:proofErr w:type="gramEnd"/>
      <w:r w:rsidRPr="00AA2C98">
        <w:rPr>
          <w:rFonts w:ascii="Arial" w:hAnsi="Arial" w:cs="Arial"/>
          <w:sz w:val="20"/>
          <w:szCs w:val="20"/>
        </w:rPr>
        <w:t xml:space="preserve"> reclamar a cualquier de los miembros de la unidad familiar otro documentación acreditativa, como por ejemplo el Certificado vida laboral actualizado o los extractos bancarios de la unidad familiar de convivencia de los últimos 6 meses.</w:t>
      </w:r>
    </w:p>
    <w:p w14:paraId="3081F491" w14:textId="658DDD1B"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g) En </w:t>
      </w:r>
      <w:r w:rsidRPr="00AA2C98">
        <w:rPr>
          <w:rFonts w:ascii="Arial" w:hAnsi="Arial" w:cs="Arial"/>
          <w:sz w:val="20"/>
          <w:szCs w:val="20"/>
        </w:rPr>
        <w:t>los</w:t>
      </w:r>
      <w:r w:rsidRPr="00AA2C98">
        <w:rPr>
          <w:rFonts w:ascii="Arial" w:hAnsi="Arial" w:cs="Arial"/>
          <w:sz w:val="20"/>
          <w:szCs w:val="20"/>
        </w:rPr>
        <w:t xml:space="preserve"> casos que no sea posible realizar la transferencia de la ayuda al servicio o la escuela, o el Ayuntamiento prefiera hacer la transferencia de la ayuda directamente a la familia, la persona solicitante tendrá que presentar la ficha bancaria del Ayuntamiento de Sant Pere de Vilamajor: “FICHA DATOS ADMINISTRACIONES, ENTIDADES, AYUDAS Y OTRAS” llenada correctamente.</w:t>
      </w:r>
    </w:p>
    <w:p w14:paraId="04902C15" w14:textId="77777777" w:rsidR="00AA2C98" w:rsidRPr="00AA2C98" w:rsidRDefault="00AA2C98" w:rsidP="00AA2C98">
      <w:pPr>
        <w:jc w:val="both"/>
        <w:rPr>
          <w:rFonts w:ascii="Arial" w:hAnsi="Arial" w:cs="Arial"/>
          <w:sz w:val="20"/>
          <w:szCs w:val="20"/>
        </w:rPr>
      </w:pPr>
    </w:p>
    <w:p w14:paraId="29F7C718"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Documentación identificativa OBLIGATORIA general:</w:t>
      </w:r>
    </w:p>
    <w:p w14:paraId="219DB6AB" w14:textId="52FCAC7C" w:rsidR="00AA2C98" w:rsidRPr="00AA2C98" w:rsidRDefault="00AA2C98" w:rsidP="00AA2C98">
      <w:pPr>
        <w:jc w:val="both"/>
        <w:rPr>
          <w:rFonts w:ascii="Arial" w:hAnsi="Arial" w:cs="Arial"/>
          <w:sz w:val="20"/>
          <w:szCs w:val="20"/>
        </w:rPr>
      </w:pPr>
      <w:r w:rsidRPr="00AA2C98">
        <w:rPr>
          <w:rFonts w:ascii="Arial" w:hAnsi="Arial" w:cs="Arial"/>
          <w:sz w:val="20"/>
          <w:szCs w:val="20"/>
        </w:rPr>
        <w:t>a) DNI/NIE, permiso de residencia o pasaporte del solicitante y de los miembros mayores de 14 años.</w:t>
      </w:r>
    </w:p>
    <w:p w14:paraId="3A757485"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b) Certificado municipal de convivencia con la persona/se </w:t>
      </w:r>
      <w:proofErr w:type="spellStart"/>
      <w:r w:rsidRPr="00AA2C98">
        <w:rPr>
          <w:rFonts w:ascii="Arial" w:hAnsi="Arial" w:cs="Arial"/>
          <w:sz w:val="20"/>
          <w:szCs w:val="20"/>
        </w:rPr>
        <w:t>beneficiaria</w:t>
      </w:r>
      <w:proofErr w:type="spellEnd"/>
      <w:r w:rsidRPr="00AA2C98">
        <w:rPr>
          <w:rFonts w:ascii="Arial" w:hAnsi="Arial" w:cs="Arial"/>
          <w:sz w:val="20"/>
          <w:szCs w:val="20"/>
        </w:rPr>
        <w:t>/se.</w:t>
      </w:r>
    </w:p>
    <w:p w14:paraId="4703E736" w14:textId="427200EA" w:rsidR="00AA2C98" w:rsidRPr="00AA2C98" w:rsidRDefault="00AA2C98" w:rsidP="00AA2C98">
      <w:pPr>
        <w:jc w:val="both"/>
        <w:rPr>
          <w:rFonts w:ascii="Arial" w:hAnsi="Arial" w:cs="Arial"/>
          <w:sz w:val="20"/>
          <w:szCs w:val="20"/>
        </w:rPr>
      </w:pPr>
      <w:r w:rsidRPr="00AA2C98">
        <w:rPr>
          <w:rFonts w:ascii="Arial" w:hAnsi="Arial" w:cs="Arial"/>
          <w:sz w:val="20"/>
          <w:szCs w:val="20"/>
        </w:rPr>
        <w:lastRenderedPageBreak/>
        <w:t xml:space="preserve">c) Libro de familia o en su defecto documento que acredite la filiación, en </w:t>
      </w:r>
      <w:proofErr w:type="gramStart"/>
      <w:r w:rsidRPr="00AA2C98">
        <w:rPr>
          <w:rFonts w:ascii="Arial" w:hAnsi="Arial" w:cs="Arial"/>
          <w:sz w:val="20"/>
          <w:szCs w:val="20"/>
        </w:rPr>
        <w:t>el casos</w:t>
      </w:r>
      <w:proofErr w:type="gramEnd"/>
      <w:r w:rsidRPr="00AA2C98">
        <w:rPr>
          <w:rFonts w:ascii="Arial" w:hAnsi="Arial" w:cs="Arial"/>
          <w:sz w:val="20"/>
          <w:szCs w:val="20"/>
        </w:rPr>
        <w:t xml:space="preserve"> de no aportar los DNI/NIE de los menores de 14 años.</w:t>
      </w:r>
    </w:p>
    <w:p w14:paraId="7BC9D4BC" w14:textId="77777777" w:rsidR="00AA2C98" w:rsidRPr="00AA2C98" w:rsidRDefault="00AA2C98" w:rsidP="00AA2C98">
      <w:pPr>
        <w:jc w:val="both"/>
        <w:rPr>
          <w:rFonts w:ascii="Arial" w:hAnsi="Arial" w:cs="Arial"/>
          <w:sz w:val="20"/>
          <w:szCs w:val="20"/>
        </w:rPr>
      </w:pPr>
    </w:p>
    <w:p w14:paraId="08F3338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Documentación OBLIGATORIA por la ayuda de TRANSPORTE:</w:t>
      </w:r>
    </w:p>
    <w:p w14:paraId="750B6B12"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a) Copia del documento de alta del servicio de transporte escolar que gestiona el Consejo Comarcal del Vallès Oriental. Este documento se puede entregar hasta el 20 de septiembre del año en curso o autorizar en el Ayuntamiento de Sant Pere de Vilamajor a consultar al servicio de transporte escolar del Consejo Comarcal del Vallès Oriental o en el centro educativo si el alumno ha sido dado de alta del servicio de forma correcto.</w:t>
      </w:r>
    </w:p>
    <w:p w14:paraId="52178CDF" w14:textId="77777777" w:rsidR="00AA2C98" w:rsidRPr="00AA2C98" w:rsidRDefault="00AA2C98" w:rsidP="00AA2C98">
      <w:pPr>
        <w:jc w:val="both"/>
        <w:rPr>
          <w:rFonts w:ascii="Arial" w:hAnsi="Arial" w:cs="Arial"/>
          <w:sz w:val="20"/>
          <w:szCs w:val="20"/>
        </w:rPr>
      </w:pPr>
    </w:p>
    <w:p w14:paraId="6C84204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Documentación complementaría según situación del núcleo familiar:</w:t>
      </w:r>
    </w:p>
    <w:p w14:paraId="23D61DE7"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a) Carné de familia numerosa y/o carné de familia monoparental, si es el caso.</w:t>
      </w:r>
    </w:p>
    <w:p w14:paraId="6845FB0F"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b) En caso de situación familiar de separación de hecho, el documento notarial o la fotocopia de los justificantes de interposición de la demanda u otros documentos que demuestren esta situación. </w:t>
      </w:r>
    </w:p>
    <w:p w14:paraId="5FBD6DFA"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c) Si la separación es legal o bien hay divorcio, la resolución judicial que determine esta situación, incluyendo el convenio regulador.</w:t>
      </w:r>
    </w:p>
    <w:p w14:paraId="0130EF82"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d) En caso de incumplimiento de la obligación de pago de la pensión de alimentos, documentación acreditativa de la reclamación de la pensión de alimentos. </w:t>
      </w:r>
    </w:p>
    <w:p w14:paraId="4D60FFFA"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 En casos de estar recibiendo apoyo social a los servicios sociales municipales indicarlo a la solicitud al lugar indicado para hacerlo.</w:t>
      </w:r>
    </w:p>
    <w:p w14:paraId="1D490B0A"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f) En caso de disminución o discapacidad física, psíquica o sensorial de algún miembro de la unidad familiar, certificados que acrediten estas circunstancias y su grado.</w:t>
      </w:r>
    </w:p>
    <w:p w14:paraId="16394F2F" w14:textId="0E68511E" w:rsidR="00AA2C98" w:rsidRPr="00AA2C98" w:rsidRDefault="00AA2C98" w:rsidP="00AA2C98">
      <w:pPr>
        <w:jc w:val="both"/>
        <w:rPr>
          <w:rFonts w:ascii="Arial" w:hAnsi="Arial" w:cs="Arial"/>
          <w:sz w:val="20"/>
          <w:szCs w:val="20"/>
        </w:rPr>
      </w:pPr>
      <w:r w:rsidRPr="00AA2C98">
        <w:rPr>
          <w:rFonts w:ascii="Arial" w:hAnsi="Arial" w:cs="Arial"/>
          <w:sz w:val="20"/>
          <w:szCs w:val="20"/>
        </w:rPr>
        <w:t>g) En caso de dolencia grave de algún miembro de la unidad familiar, informes médicos u otros documentos que lo acrediten, de los últimos seis meses anteriores a la convocatoria, excepto en los casos de dolencias degenerativas en que la fecha de la documentación acreditativa será indiferente.</w:t>
      </w:r>
    </w:p>
    <w:p w14:paraId="2F9F7BAB"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h) En caso de representación legal o acogida del beneficiario, documentación acreditativa de este hecho. </w:t>
      </w:r>
    </w:p>
    <w:p w14:paraId="14580E7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y) En caso de reconocimiento de situaciones de dependencia de algún miembro de la unidad familiar, la resolución acreditativa del grado de dependencia. </w:t>
      </w:r>
    </w:p>
    <w:p w14:paraId="112EA4D3"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j) En casos de mujeres víctimas de violencia machista, la documentación acreditativa, de acuerdo con las previsiones del artículo 33 de la Ley 5/2008, de 24 de abril.</w:t>
      </w:r>
    </w:p>
    <w:p w14:paraId="4575E6BA"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lastRenderedPageBreak/>
        <w:t>k) El último recibo de la hipoteca o del alquiler de la vivienda donde resida la persona beneficiaria.</w:t>
      </w:r>
    </w:p>
    <w:p w14:paraId="572150A0" w14:textId="77777777" w:rsidR="00AA2C98" w:rsidRPr="00AA2C98" w:rsidRDefault="00AA2C98" w:rsidP="00AA2C98">
      <w:pPr>
        <w:jc w:val="both"/>
        <w:rPr>
          <w:rFonts w:ascii="Arial" w:hAnsi="Arial" w:cs="Arial"/>
          <w:sz w:val="20"/>
          <w:szCs w:val="20"/>
        </w:rPr>
      </w:pPr>
    </w:p>
    <w:p w14:paraId="341EE8E9"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La omisión de presentación de la documentación supone la no acreditación de la situación respectiva, y consecuentemente no se tendrá en cuenta en la valoración de la ayuda. </w:t>
      </w:r>
    </w:p>
    <w:p w14:paraId="20DA03DE" w14:textId="77777777" w:rsidR="00AA2C98" w:rsidRPr="00AA2C98" w:rsidRDefault="00AA2C98" w:rsidP="00AA2C98">
      <w:pPr>
        <w:jc w:val="both"/>
        <w:rPr>
          <w:rFonts w:ascii="Arial" w:hAnsi="Arial" w:cs="Arial"/>
          <w:sz w:val="20"/>
          <w:szCs w:val="20"/>
        </w:rPr>
      </w:pPr>
    </w:p>
    <w:p w14:paraId="66D33197"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El Ayuntamiento de Sant Pere de Vilamajor se reserva el derecho de solicitar los originales de la documentación aportada para su verificación en cualquier momento del procedimiento; así como el derecho de requerir la documentación descrita en este artículo si no ha sido presentada en el tiempo y forma indicados. </w:t>
      </w:r>
    </w:p>
    <w:p w14:paraId="4F2254CE"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 xml:space="preserve">7.- Plazo, forma </w:t>
      </w:r>
      <w:proofErr w:type="gramStart"/>
      <w:r w:rsidRPr="005330E8">
        <w:rPr>
          <w:rFonts w:ascii="Arial" w:hAnsi="Arial" w:cs="Arial"/>
          <w:b/>
          <w:bCs/>
          <w:sz w:val="20"/>
          <w:szCs w:val="20"/>
          <w:u w:val="single"/>
        </w:rPr>
        <w:t>y  lugar</w:t>
      </w:r>
      <w:proofErr w:type="gramEnd"/>
      <w:r w:rsidRPr="005330E8">
        <w:rPr>
          <w:rFonts w:ascii="Arial" w:hAnsi="Arial" w:cs="Arial"/>
          <w:b/>
          <w:bCs/>
          <w:sz w:val="20"/>
          <w:szCs w:val="20"/>
          <w:u w:val="single"/>
        </w:rPr>
        <w:t xml:space="preserve"> de presentación de las solicitudes</w:t>
      </w:r>
    </w:p>
    <w:p w14:paraId="731C52B3" w14:textId="58F762B5"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El plazo de presentación de las solicitudes se iniciará el día siguiente de la publicación de la convocatoria </w:t>
      </w:r>
      <w:r w:rsidR="005330E8">
        <w:rPr>
          <w:rFonts w:ascii="Arial" w:hAnsi="Arial" w:cs="Arial"/>
          <w:sz w:val="20"/>
          <w:szCs w:val="20"/>
        </w:rPr>
        <w:t xml:space="preserve">en el </w:t>
      </w:r>
      <w:r w:rsidRPr="00AA2C98">
        <w:rPr>
          <w:rFonts w:ascii="Arial" w:hAnsi="Arial" w:cs="Arial"/>
          <w:sz w:val="20"/>
          <w:szCs w:val="20"/>
        </w:rPr>
        <w:t>BOP y acabará el 7 de junio de 2024.</w:t>
      </w:r>
    </w:p>
    <w:p w14:paraId="209DA480" w14:textId="77777777" w:rsidR="00AA2C98" w:rsidRPr="00AA2C98" w:rsidRDefault="00AA2C98" w:rsidP="00AA2C98">
      <w:pPr>
        <w:jc w:val="both"/>
        <w:rPr>
          <w:rFonts w:ascii="Arial" w:hAnsi="Arial" w:cs="Arial"/>
          <w:sz w:val="20"/>
          <w:szCs w:val="20"/>
        </w:rPr>
      </w:pPr>
    </w:p>
    <w:p w14:paraId="5ABC858F" w14:textId="7E548D46"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La solicitud se obtiene en la página web del Ayuntamiento, a los Servicios Sociales y a la Oficina de Atención al Ciudadano (OAC) y se presenta al OAC, situada en el mismo Ayuntamiento de Sant Pere de Vilamajor en la calle </w:t>
      </w:r>
      <w:r w:rsidR="005330E8">
        <w:rPr>
          <w:rFonts w:ascii="Arial" w:hAnsi="Arial" w:cs="Arial"/>
          <w:sz w:val="20"/>
          <w:szCs w:val="20"/>
        </w:rPr>
        <w:t>Nou</w:t>
      </w:r>
      <w:r w:rsidRPr="00AA2C98">
        <w:rPr>
          <w:rFonts w:ascii="Arial" w:hAnsi="Arial" w:cs="Arial"/>
          <w:sz w:val="20"/>
          <w:szCs w:val="20"/>
        </w:rPr>
        <w:t xml:space="preserve">, 26. Hay que presentar la solicitud llenada correctamente, junto con la documentación obligatoria en cada caso y la que acredite las circunstancias que se alegan. </w:t>
      </w:r>
    </w:p>
    <w:p w14:paraId="0D5CAE99" w14:textId="77777777" w:rsidR="00AA2C98" w:rsidRPr="00AA2C98" w:rsidRDefault="00AA2C98" w:rsidP="00AA2C98">
      <w:pPr>
        <w:jc w:val="both"/>
        <w:rPr>
          <w:rFonts w:ascii="Arial" w:hAnsi="Arial" w:cs="Arial"/>
          <w:sz w:val="20"/>
          <w:szCs w:val="20"/>
        </w:rPr>
      </w:pPr>
    </w:p>
    <w:p w14:paraId="37A2C96C"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La solicitud también se puede presentar en cualquier de las maneras que prevé el artículo 16 de la Ley 39/2015, de 1 de octubre, del Procedimiento Administrativo Común de las Administraciones Públicas.</w:t>
      </w:r>
    </w:p>
    <w:p w14:paraId="7B1603A8"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8.- Rectificación de defectos u omisiones en la documentación</w:t>
      </w:r>
    </w:p>
    <w:p w14:paraId="1697328E" w14:textId="247C822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En caso de que la documentación presentada sea incorrecta o incompleta, se requerirá a la persona interesada porque en un plazo de 10 días hábiles enmiende el defecto o adjunte los documentos preceptivos, con la indicación que, si no lo hace, se considerará que </w:t>
      </w:r>
      <w:r w:rsidR="005330E8">
        <w:rPr>
          <w:rFonts w:ascii="Arial" w:hAnsi="Arial" w:cs="Arial"/>
          <w:sz w:val="20"/>
          <w:szCs w:val="20"/>
        </w:rPr>
        <w:t>desiste</w:t>
      </w:r>
      <w:r w:rsidRPr="00AA2C98">
        <w:rPr>
          <w:rFonts w:ascii="Arial" w:hAnsi="Arial" w:cs="Arial"/>
          <w:sz w:val="20"/>
          <w:szCs w:val="20"/>
        </w:rPr>
        <w:t xml:space="preserve"> en su petición.</w:t>
      </w:r>
    </w:p>
    <w:p w14:paraId="417B2211"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9.</w:t>
      </w:r>
      <w:proofErr w:type="gramStart"/>
      <w:r w:rsidRPr="005330E8">
        <w:rPr>
          <w:rFonts w:ascii="Arial" w:hAnsi="Arial" w:cs="Arial"/>
          <w:b/>
          <w:bCs/>
          <w:sz w:val="20"/>
          <w:szCs w:val="20"/>
          <w:u w:val="single"/>
        </w:rPr>
        <w:t>-  Órganos</w:t>
      </w:r>
      <w:proofErr w:type="gramEnd"/>
      <w:r w:rsidRPr="005330E8">
        <w:rPr>
          <w:rFonts w:ascii="Arial" w:hAnsi="Arial" w:cs="Arial"/>
          <w:b/>
          <w:bCs/>
          <w:sz w:val="20"/>
          <w:szCs w:val="20"/>
          <w:u w:val="single"/>
        </w:rPr>
        <w:t xml:space="preserve"> competentes para la instrucción y la propuesta de concesión</w:t>
      </w:r>
    </w:p>
    <w:p w14:paraId="2BD6ADA9"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El órgano responsable de la instrucción del procedimiento para el otorgamiento de las subvenciones previstas en las presentes bases será el Área de Servicios Sociales.</w:t>
      </w:r>
    </w:p>
    <w:p w14:paraId="65D0EACF"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La propuesta de concesión de las subvenciones será elaborada por un órgano colegiado constituido de acuerdo con aquello previsto en el artículo 12.5 de la Ordenanza General de Subvenciones del Ayuntamiento y que estará formado por las siguientes personas:</w:t>
      </w:r>
    </w:p>
    <w:p w14:paraId="1ACCECCE" w14:textId="77777777" w:rsidR="00AA2C98" w:rsidRPr="00AA2C98" w:rsidRDefault="00AA2C98" w:rsidP="00AA2C98">
      <w:pPr>
        <w:jc w:val="both"/>
        <w:rPr>
          <w:rFonts w:ascii="Arial" w:hAnsi="Arial" w:cs="Arial"/>
          <w:sz w:val="20"/>
          <w:szCs w:val="20"/>
        </w:rPr>
      </w:pPr>
    </w:p>
    <w:p w14:paraId="42A55A00"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lastRenderedPageBreak/>
        <w:t>•</w:t>
      </w:r>
      <w:r w:rsidRPr="00AA2C98">
        <w:rPr>
          <w:rFonts w:ascii="Arial" w:hAnsi="Arial" w:cs="Arial"/>
          <w:sz w:val="20"/>
          <w:szCs w:val="20"/>
        </w:rPr>
        <w:tab/>
      </w:r>
      <w:proofErr w:type="gramStart"/>
      <w:r w:rsidRPr="00AA2C98">
        <w:rPr>
          <w:rFonts w:ascii="Arial" w:hAnsi="Arial" w:cs="Arial"/>
          <w:sz w:val="20"/>
          <w:szCs w:val="20"/>
        </w:rPr>
        <w:t>Secretario</w:t>
      </w:r>
      <w:proofErr w:type="gramEnd"/>
    </w:p>
    <w:p w14:paraId="5C7A908F"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Regidor de la corporación</w:t>
      </w:r>
    </w:p>
    <w:p w14:paraId="6508A0A1"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Técnico del Área de Servicios Sociales</w:t>
      </w:r>
    </w:p>
    <w:p w14:paraId="170722CC" w14:textId="77777777" w:rsidR="00AA2C98" w:rsidRPr="00AA2C98" w:rsidRDefault="00AA2C98" w:rsidP="00AA2C98">
      <w:pPr>
        <w:jc w:val="both"/>
        <w:rPr>
          <w:rFonts w:ascii="Arial" w:hAnsi="Arial" w:cs="Arial"/>
          <w:sz w:val="20"/>
          <w:szCs w:val="20"/>
        </w:rPr>
      </w:pPr>
    </w:p>
    <w:p w14:paraId="07CEAB94" w14:textId="73B47669"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El órgano responsable de la resolución del procedimiento para el otorgamiento de las subvenciones será la Junta de Gobierno local, viste el decreto de alcaldía n.º 590/2023 de fecha 07/07/2023 de delegaciones de atribuciones publicado </w:t>
      </w:r>
      <w:r w:rsidR="005330E8">
        <w:rPr>
          <w:rFonts w:ascii="Arial" w:hAnsi="Arial" w:cs="Arial"/>
          <w:sz w:val="20"/>
          <w:szCs w:val="20"/>
        </w:rPr>
        <w:t xml:space="preserve">en el </w:t>
      </w:r>
      <w:r w:rsidRPr="00AA2C98">
        <w:rPr>
          <w:rFonts w:ascii="Arial" w:hAnsi="Arial" w:cs="Arial"/>
          <w:sz w:val="20"/>
          <w:szCs w:val="20"/>
        </w:rPr>
        <w:t xml:space="preserve">BOP en fecha 20/07/2023. </w:t>
      </w:r>
    </w:p>
    <w:p w14:paraId="1E98FA79" w14:textId="77777777" w:rsidR="00AA2C98" w:rsidRPr="00AA2C98" w:rsidRDefault="00AA2C98" w:rsidP="00AA2C98">
      <w:pPr>
        <w:jc w:val="both"/>
        <w:rPr>
          <w:rFonts w:ascii="Arial" w:hAnsi="Arial" w:cs="Arial"/>
          <w:sz w:val="20"/>
          <w:szCs w:val="20"/>
        </w:rPr>
      </w:pPr>
    </w:p>
    <w:p w14:paraId="6DCDC627"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El órgano competente para la concesión podrá, discrecionalmente, dejar desierto el concurso o no agotar el crédito total previsto.</w:t>
      </w:r>
    </w:p>
    <w:p w14:paraId="0A37A9FA"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10.</w:t>
      </w:r>
      <w:proofErr w:type="gramStart"/>
      <w:r w:rsidRPr="005330E8">
        <w:rPr>
          <w:rFonts w:ascii="Arial" w:hAnsi="Arial" w:cs="Arial"/>
          <w:b/>
          <w:bCs/>
          <w:sz w:val="20"/>
          <w:szCs w:val="20"/>
          <w:u w:val="single"/>
        </w:rPr>
        <w:t>-  Plazo</w:t>
      </w:r>
      <w:proofErr w:type="gramEnd"/>
      <w:r w:rsidRPr="005330E8">
        <w:rPr>
          <w:rFonts w:ascii="Arial" w:hAnsi="Arial" w:cs="Arial"/>
          <w:b/>
          <w:bCs/>
          <w:sz w:val="20"/>
          <w:szCs w:val="20"/>
          <w:u w:val="single"/>
        </w:rPr>
        <w:t xml:space="preserve"> de resolución y de notificación </w:t>
      </w:r>
    </w:p>
    <w:p w14:paraId="14808D33"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El plazo máximo para resolver la solicitud de la ayuda de material, libros, transporte y comedor es el 31 de diciembre. Si transcurrido este plazo no se ha dictado y publicado resolución exprés, la solicitud se entenderá desestimada.</w:t>
      </w:r>
    </w:p>
    <w:p w14:paraId="22B5ABE8" w14:textId="77777777" w:rsidR="00AA2C98" w:rsidRPr="005330E8" w:rsidRDefault="00AA2C98" w:rsidP="00AA2C98">
      <w:pPr>
        <w:jc w:val="both"/>
        <w:rPr>
          <w:rFonts w:ascii="Arial" w:hAnsi="Arial" w:cs="Arial"/>
          <w:b/>
          <w:bCs/>
          <w:sz w:val="20"/>
          <w:szCs w:val="20"/>
          <w:u w:val="single"/>
        </w:rPr>
      </w:pPr>
      <w:r w:rsidRPr="005330E8">
        <w:rPr>
          <w:rFonts w:ascii="Arial" w:hAnsi="Arial" w:cs="Arial"/>
          <w:b/>
          <w:bCs/>
          <w:sz w:val="20"/>
          <w:szCs w:val="20"/>
          <w:u w:val="single"/>
        </w:rPr>
        <w:t>11.- Régimen de recursos</w:t>
      </w:r>
    </w:p>
    <w:p w14:paraId="08151D10" w14:textId="310F778E"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Contra la resolución de la convocatoria, que es definitiva y pone fin a la vía administrativa, se podrá interponer recurso contencioso-administrativo en el plazo de dos meses contados a partir del día de la publicación en el azulejo de anuncios del otorgamiento o denegación de la ayuda. Potestativamente, se podrá interponer previamente recurso de reposición en el plazo de un mes contado desde el día de la publicación en el </w:t>
      </w:r>
      <w:r w:rsidR="002E3064">
        <w:rPr>
          <w:rFonts w:ascii="Arial" w:hAnsi="Arial" w:cs="Arial"/>
          <w:sz w:val="20"/>
          <w:szCs w:val="20"/>
        </w:rPr>
        <w:t>tablón</w:t>
      </w:r>
      <w:r w:rsidRPr="00AA2C98">
        <w:rPr>
          <w:rFonts w:ascii="Arial" w:hAnsi="Arial" w:cs="Arial"/>
          <w:sz w:val="20"/>
          <w:szCs w:val="20"/>
        </w:rPr>
        <w:t xml:space="preserve"> de anuncios de la resolución.</w:t>
      </w:r>
    </w:p>
    <w:p w14:paraId="2D08A237" w14:textId="77777777" w:rsidR="00AA2C98" w:rsidRPr="002E3064" w:rsidRDefault="00AA2C98" w:rsidP="00AA2C98">
      <w:pPr>
        <w:jc w:val="both"/>
        <w:rPr>
          <w:rFonts w:ascii="Arial" w:hAnsi="Arial" w:cs="Arial"/>
          <w:b/>
          <w:bCs/>
          <w:sz w:val="20"/>
          <w:szCs w:val="20"/>
          <w:u w:val="single"/>
        </w:rPr>
      </w:pPr>
      <w:r w:rsidRPr="002E3064">
        <w:rPr>
          <w:rFonts w:ascii="Arial" w:hAnsi="Arial" w:cs="Arial"/>
          <w:b/>
          <w:bCs/>
          <w:sz w:val="20"/>
          <w:szCs w:val="20"/>
          <w:u w:val="single"/>
        </w:rPr>
        <w:t>12.- Criterios objetivos de otorgamiento de la subvención e importes máximos</w:t>
      </w:r>
    </w:p>
    <w:p w14:paraId="3F43E2AF"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Las ayudas se otorgarán: </w:t>
      </w:r>
    </w:p>
    <w:p w14:paraId="2A5C3116"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En función de la puntuación obtenida de la aplicación del baremo descrita a las bases:</w:t>
      </w:r>
    </w:p>
    <w:p w14:paraId="2DD3E6D8"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a) Según composición familiar hasta 3 puntos</w:t>
      </w:r>
    </w:p>
    <w:p w14:paraId="354BBBBE"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b) Según valoración de aspectos sociales hasta 4 puntos</w:t>
      </w:r>
    </w:p>
    <w:p w14:paraId="356E489B"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c) Según aspectos de salud: 2 puntos</w:t>
      </w:r>
    </w:p>
    <w:p w14:paraId="62E44151"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lastRenderedPageBreak/>
        <w:t>d) Si se acredita violencia machista: 1 punto</w:t>
      </w:r>
    </w:p>
    <w:p w14:paraId="69AAA68D"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 Situación de riesgo de los menores: 2 puntos</w:t>
      </w:r>
    </w:p>
    <w:p w14:paraId="52C45F2A"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En función de la situación económica se puntuará hasta 6 puntos según el baremo siguiente:</w:t>
      </w:r>
    </w:p>
    <w:p w14:paraId="5283B655"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a) Igual o inferior a 107,</w:t>
      </w:r>
      <w:proofErr w:type="gramStart"/>
      <w:r w:rsidRPr="00AA2C98">
        <w:rPr>
          <w:rFonts w:ascii="Arial" w:hAnsi="Arial" w:cs="Arial"/>
          <w:sz w:val="20"/>
          <w:szCs w:val="20"/>
        </w:rPr>
        <w:t>97  €</w:t>
      </w:r>
      <w:proofErr w:type="gramEnd"/>
      <w:r w:rsidRPr="00AA2C98">
        <w:rPr>
          <w:rFonts w:ascii="Arial" w:hAnsi="Arial" w:cs="Arial"/>
          <w:sz w:val="20"/>
          <w:szCs w:val="20"/>
        </w:rPr>
        <w:t xml:space="preserve"> mensuales/persona: 6 puntos </w:t>
      </w:r>
    </w:p>
    <w:p w14:paraId="21F6C02F"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b) Más de 107,97 € e igual o inferior a 215,</w:t>
      </w:r>
      <w:proofErr w:type="gramStart"/>
      <w:r w:rsidRPr="00AA2C98">
        <w:rPr>
          <w:rFonts w:ascii="Arial" w:hAnsi="Arial" w:cs="Arial"/>
          <w:sz w:val="20"/>
          <w:szCs w:val="20"/>
        </w:rPr>
        <w:t>95  €</w:t>
      </w:r>
      <w:proofErr w:type="gramEnd"/>
      <w:r w:rsidRPr="00AA2C98">
        <w:rPr>
          <w:rFonts w:ascii="Arial" w:hAnsi="Arial" w:cs="Arial"/>
          <w:sz w:val="20"/>
          <w:szCs w:val="20"/>
        </w:rPr>
        <w:t xml:space="preserve"> mensuales/persona: 5 puntos </w:t>
      </w:r>
    </w:p>
    <w:p w14:paraId="123794BB"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c) Más de 215,95 € e igual o inferior a 323,</w:t>
      </w:r>
      <w:proofErr w:type="gramStart"/>
      <w:r w:rsidRPr="00AA2C98">
        <w:rPr>
          <w:rFonts w:ascii="Arial" w:hAnsi="Arial" w:cs="Arial"/>
          <w:sz w:val="20"/>
          <w:szCs w:val="20"/>
        </w:rPr>
        <w:t>93  €</w:t>
      </w:r>
      <w:proofErr w:type="gramEnd"/>
      <w:r w:rsidRPr="00AA2C98">
        <w:rPr>
          <w:rFonts w:ascii="Arial" w:hAnsi="Arial" w:cs="Arial"/>
          <w:sz w:val="20"/>
          <w:szCs w:val="20"/>
        </w:rPr>
        <w:t xml:space="preserve"> mensuales/persona: 4 puntos </w:t>
      </w:r>
    </w:p>
    <w:p w14:paraId="7951929C"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 xml:space="preserve">d) Más de 323,93 € e igual o inferior a 431,90 € mensuales/persona: 3 puntos </w:t>
      </w:r>
    </w:p>
    <w:p w14:paraId="49727238"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e) Más de 431,90 € e igual o inferior a 539,</w:t>
      </w:r>
      <w:proofErr w:type="gramStart"/>
      <w:r w:rsidRPr="00AA2C98">
        <w:rPr>
          <w:rFonts w:ascii="Arial" w:hAnsi="Arial" w:cs="Arial"/>
          <w:sz w:val="20"/>
          <w:szCs w:val="20"/>
        </w:rPr>
        <w:t>88  €</w:t>
      </w:r>
      <w:proofErr w:type="gramEnd"/>
      <w:r w:rsidRPr="00AA2C98">
        <w:rPr>
          <w:rFonts w:ascii="Arial" w:hAnsi="Arial" w:cs="Arial"/>
          <w:sz w:val="20"/>
          <w:szCs w:val="20"/>
        </w:rPr>
        <w:t xml:space="preserve"> mensuales/persona: 2 puntos </w:t>
      </w:r>
    </w:p>
    <w:p w14:paraId="46949873"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f) Más de 539,88 € e igual o inferior a 647,</w:t>
      </w:r>
      <w:proofErr w:type="gramStart"/>
      <w:r w:rsidRPr="00AA2C98">
        <w:rPr>
          <w:rFonts w:ascii="Arial" w:hAnsi="Arial" w:cs="Arial"/>
          <w:sz w:val="20"/>
          <w:szCs w:val="20"/>
        </w:rPr>
        <w:t>86  €</w:t>
      </w:r>
      <w:proofErr w:type="gramEnd"/>
      <w:r w:rsidRPr="00AA2C98">
        <w:rPr>
          <w:rFonts w:ascii="Arial" w:hAnsi="Arial" w:cs="Arial"/>
          <w:sz w:val="20"/>
          <w:szCs w:val="20"/>
        </w:rPr>
        <w:t xml:space="preserve"> mensuales/persona: 1 punto </w:t>
      </w:r>
    </w:p>
    <w:p w14:paraId="4DA93FE7"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Priorizando las puntuaciones más altas sobre las más bajas.</w:t>
      </w:r>
    </w:p>
    <w:p w14:paraId="71056FBC"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Los importes máximos a otorgar dependerá de la puntuación obtenida, el curso que se realice y el tipo de ayuda solicitada, se establecerán según las tablas siguientes:</w:t>
      </w:r>
    </w:p>
    <w:p w14:paraId="789C71EF" w14:textId="77777777" w:rsidR="00AA2C98" w:rsidRPr="00AA2C98" w:rsidRDefault="00AA2C98" w:rsidP="00AA2C98">
      <w:pPr>
        <w:jc w:val="both"/>
        <w:rPr>
          <w:rFonts w:ascii="Arial" w:hAnsi="Arial" w:cs="Arial"/>
          <w:sz w:val="20"/>
          <w:szCs w:val="20"/>
        </w:rPr>
      </w:pPr>
    </w:p>
    <w:tbl>
      <w:tblPr>
        <w:tblW w:w="8359" w:type="dxa"/>
        <w:jc w:val="center"/>
        <w:tblLayout w:type="fixed"/>
        <w:tblLook w:val="0000" w:firstRow="0" w:lastRow="0" w:firstColumn="0" w:lastColumn="0" w:noHBand="0" w:noVBand="0"/>
      </w:tblPr>
      <w:tblGrid>
        <w:gridCol w:w="1271"/>
        <w:gridCol w:w="1065"/>
        <w:gridCol w:w="1134"/>
        <w:gridCol w:w="1061"/>
        <w:gridCol w:w="1311"/>
        <w:gridCol w:w="1192"/>
        <w:gridCol w:w="1325"/>
      </w:tblGrid>
      <w:tr w:rsidR="002E3064" w:rsidRPr="002E3064" w14:paraId="76EC7C99" w14:textId="77777777" w:rsidTr="002E3064">
        <w:trPr>
          <w:jc w:val="center"/>
        </w:trPr>
        <w:tc>
          <w:tcPr>
            <w:tcW w:w="1271" w:type="dxa"/>
            <w:vMerge w:val="restart"/>
            <w:tcBorders>
              <w:top w:val="single" w:sz="4" w:space="0" w:color="000000"/>
              <w:left w:val="single" w:sz="4" w:space="0" w:color="000000"/>
              <w:bottom w:val="single" w:sz="4" w:space="0" w:color="000000"/>
            </w:tcBorders>
            <w:shd w:val="clear" w:color="auto" w:fill="auto"/>
            <w:vAlign w:val="center"/>
          </w:tcPr>
          <w:p w14:paraId="42E19DE6" w14:textId="3A5555A2"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PUNTUACIÓ</w:t>
            </w:r>
            <w:r>
              <w:rPr>
                <w:rFonts w:ascii="Arial" w:eastAsia="Times New Roman" w:hAnsi="Arial" w:cs="Arial"/>
                <w:i/>
                <w:iCs/>
                <w:w w:val="90"/>
                <w:sz w:val="18"/>
                <w:szCs w:val="18"/>
                <w:lang w:val="ca-ES" w:eastAsia="ca-ES"/>
              </w:rPr>
              <w:t>N</w:t>
            </w:r>
          </w:p>
          <w:p w14:paraId="64735020" w14:textId="2FC19545"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OBT</w:t>
            </w:r>
            <w:r>
              <w:rPr>
                <w:rFonts w:ascii="Arial" w:eastAsia="Times New Roman" w:hAnsi="Arial" w:cs="Arial"/>
                <w:i/>
                <w:iCs/>
                <w:w w:val="90"/>
                <w:sz w:val="18"/>
                <w:szCs w:val="18"/>
                <w:lang w:val="ca-ES" w:eastAsia="ca-ES"/>
              </w:rPr>
              <w:t>ENIDA</w:t>
            </w:r>
          </w:p>
        </w:tc>
        <w:tc>
          <w:tcPr>
            <w:tcW w:w="4571" w:type="dxa"/>
            <w:gridSpan w:val="4"/>
            <w:tcBorders>
              <w:top w:val="single" w:sz="4" w:space="0" w:color="000000"/>
              <w:left w:val="single" w:sz="4" w:space="0" w:color="000000"/>
              <w:bottom w:val="single" w:sz="4" w:space="0" w:color="000000"/>
            </w:tcBorders>
          </w:tcPr>
          <w:p w14:paraId="36D5D815" w14:textId="16DC5111" w:rsidR="002E3064" w:rsidRPr="002E3064" w:rsidRDefault="002E3064" w:rsidP="002E3064">
            <w:pPr>
              <w:spacing w:after="0" w:line="240" w:lineRule="auto"/>
              <w:jc w:val="center"/>
              <w:rPr>
                <w:rFonts w:ascii="Arial" w:eastAsia="Times New Roman" w:hAnsi="Arial" w:cs="Arial"/>
                <w:b/>
                <w:bCs/>
                <w:i/>
                <w:iCs/>
                <w:w w:val="90"/>
                <w:sz w:val="18"/>
                <w:szCs w:val="18"/>
                <w:lang w:val="ca-ES" w:eastAsia="ca-ES"/>
              </w:rPr>
            </w:pPr>
            <w:r w:rsidRPr="002E3064">
              <w:rPr>
                <w:rFonts w:ascii="Arial" w:eastAsia="Times New Roman" w:hAnsi="Arial" w:cs="Arial"/>
                <w:b/>
                <w:bCs/>
                <w:i/>
                <w:iCs/>
                <w:w w:val="90"/>
                <w:sz w:val="18"/>
                <w:szCs w:val="18"/>
                <w:lang w:val="ca-ES" w:eastAsia="ca-ES"/>
              </w:rPr>
              <w:t>A</w:t>
            </w:r>
            <w:r>
              <w:rPr>
                <w:rFonts w:ascii="Arial" w:eastAsia="Times New Roman" w:hAnsi="Arial" w:cs="Arial"/>
                <w:b/>
                <w:bCs/>
                <w:i/>
                <w:iCs/>
                <w:w w:val="90"/>
                <w:sz w:val="18"/>
                <w:szCs w:val="18"/>
                <w:lang w:val="ca-ES" w:eastAsia="ca-ES"/>
              </w:rPr>
              <w:t>YUDA</w:t>
            </w:r>
            <w:r w:rsidRPr="002E3064">
              <w:rPr>
                <w:rFonts w:ascii="Arial" w:eastAsia="Times New Roman" w:hAnsi="Arial" w:cs="Arial"/>
                <w:b/>
                <w:bCs/>
                <w:i/>
                <w:iCs/>
                <w:w w:val="90"/>
                <w:sz w:val="18"/>
                <w:szCs w:val="18"/>
                <w:lang w:val="ca-ES" w:eastAsia="ca-ES"/>
              </w:rPr>
              <w:t xml:space="preserve"> L</w:t>
            </w:r>
            <w:r>
              <w:rPr>
                <w:rFonts w:ascii="Arial" w:eastAsia="Times New Roman" w:hAnsi="Arial" w:cs="Arial"/>
                <w:b/>
                <w:bCs/>
                <w:i/>
                <w:iCs/>
                <w:w w:val="90"/>
                <w:sz w:val="18"/>
                <w:szCs w:val="18"/>
                <w:lang w:val="ca-ES" w:eastAsia="ca-ES"/>
              </w:rPr>
              <w:t>IBROS</w:t>
            </w:r>
            <w:r w:rsidRPr="002E3064">
              <w:rPr>
                <w:rFonts w:ascii="Arial" w:eastAsia="Times New Roman" w:hAnsi="Arial" w:cs="Arial"/>
                <w:b/>
                <w:bCs/>
                <w:i/>
                <w:iCs/>
                <w:w w:val="90"/>
                <w:sz w:val="18"/>
                <w:szCs w:val="18"/>
                <w:lang w:val="ca-ES" w:eastAsia="ca-ES"/>
              </w:rPr>
              <w:t xml:space="preserve"> </w:t>
            </w:r>
            <w:r>
              <w:rPr>
                <w:rFonts w:ascii="Arial" w:eastAsia="Times New Roman" w:hAnsi="Arial" w:cs="Arial"/>
                <w:b/>
                <w:bCs/>
                <w:i/>
                <w:iCs/>
                <w:w w:val="90"/>
                <w:sz w:val="18"/>
                <w:szCs w:val="18"/>
                <w:lang w:val="ca-ES" w:eastAsia="ca-ES"/>
              </w:rPr>
              <w:t>Y</w:t>
            </w:r>
            <w:r w:rsidRPr="002E3064">
              <w:rPr>
                <w:rFonts w:ascii="Arial" w:eastAsia="Times New Roman" w:hAnsi="Arial" w:cs="Arial"/>
                <w:b/>
                <w:bCs/>
                <w:i/>
                <w:iCs/>
                <w:w w:val="90"/>
                <w:sz w:val="18"/>
                <w:szCs w:val="18"/>
                <w:lang w:val="ca-ES" w:eastAsia="ca-ES"/>
              </w:rPr>
              <w:t xml:space="preserve"> MATERIAL</w:t>
            </w:r>
          </w:p>
        </w:tc>
        <w:tc>
          <w:tcPr>
            <w:tcW w:w="2517"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4CF6C27" w14:textId="6AC8F469" w:rsidR="002E3064" w:rsidRPr="002E3064" w:rsidRDefault="002E3064" w:rsidP="002E3064">
            <w:pPr>
              <w:spacing w:after="0" w:line="240" w:lineRule="auto"/>
              <w:jc w:val="center"/>
              <w:rPr>
                <w:rFonts w:ascii="Arial" w:eastAsia="Times New Roman" w:hAnsi="Arial" w:cs="Arial"/>
                <w:b/>
                <w:bCs/>
                <w:i/>
                <w:iCs/>
                <w:w w:val="90"/>
                <w:sz w:val="18"/>
                <w:szCs w:val="18"/>
                <w:lang w:val="ca-ES" w:eastAsia="ca-ES"/>
              </w:rPr>
            </w:pPr>
            <w:r w:rsidRPr="002E3064">
              <w:rPr>
                <w:rFonts w:ascii="Arial" w:eastAsia="Times New Roman" w:hAnsi="Arial" w:cs="Arial"/>
                <w:b/>
                <w:bCs/>
                <w:i/>
                <w:iCs/>
                <w:w w:val="90"/>
                <w:sz w:val="18"/>
                <w:szCs w:val="18"/>
                <w:lang w:val="ca-ES" w:eastAsia="ca-ES"/>
              </w:rPr>
              <w:t>A</w:t>
            </w:r>
            <w:r>
              <w:rPr>
                <w:rFonts w:ascii="Arial" w:eastAsia="Times New Roman" w:hAnsi="Arial" w:cs="Arial"/>
                <w:b/>
                <w:bCs/>
                <w:i/>
                <w:iCs/>
                <w:w w:val="90"/>
                <w:sz w:val="18"/>
                <w:szCs w:val="18"/>
                <w:lang w:val="ca-ES" w:eastAsia="ca-ES"/>
              </w:rPr>
              <w:t>YUDA</w:t>
            </w:r>
            <w:r w:rsidRPr="002E3064">
              <w:rPr>
                <w:rFonts w:ascii="Arial" w:eastAsia="Times New Roman" w:hAnsi="Arial" w:cs="Arial"/>
                <w:b/>
                <w:bCs/>
                <w:i/>
                <w:iCs/>
                <w:w w:val="90"/>
                <w:sz w:val="18"/>
                <w:szCs w:val="18"/>
                <w:lang w:val="ca-ES" w:eastAsia="ca-ES"/>
              </w:rPr>
              <w:t xml:space="preserve"> TRANSPORT</w:t>
            </w:r>
            <w:r>
              <w:rPr>
                <w:rFonts w:ascii="Arial" w:eastAsia="Times New Roman" w:hAnsi="Arial" w:cs="Arial"/>
                <w:b/>
                <w:bCs/>
                <w:i/>
                <w:iCs/>
                <w:w w:val="90"/>
                <w:sz w:val="18"/>
                <w:szCs w:val="18"/>
                <w:lang w:val="ca-ES" w:eastAsia="ca-ES"/>
              </w:rPr>
              <w:t>E</w:t>
            </w:r>
          </w:p>
          <w:p w14:paraId="6474FBCB"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b/>
                <w:bCs/>
                <w:i/>
                <w:iCs/>
                <w:w w:val="90"/>
                <w:sz w:val="18"/>
                <w:szCs w:val="18"/>
                <w:lang w:val="ca-ES" w:eastAsia="ca-ES"/>
              </w:rPr>
              <w:t>ESCOLAR</w:t>
            </w:r>
          </w:p>
        </w:tc>
      </w:tr>
      <w:tr w:rsidR="002E3064" w:rsidRPr="002E3064" w14:paraId="6DFB1A7B" w14:textId="77777777" w:rsidTr="002E3064">
        <w:trPr>
          <w:jc w:val="center"/>
        </w:trPr>
        <w:tc>
          <w:tcPr>
            <w:tcW w:w="1271" w:type="dxa"/>
            <w:vMerge/>
            <w:tcBorders>
              <w:top w:val="single" w:sz="4" w:space="0" w:color="000000"/>
              <w:left w:val="single" w:sz="4" w:space="0" w:color="000000"/>
              <w:bottom w:val="single" w:sz="4" w:space="0" w:color="000000"/>
            </w:tcBorders>
            <w:shd w:val="clear" w:color="auto" w:fill="auto"/>
            <w:vAlign w:val="center"/>
          </w:tcPr>
          <w:p w14:paraId="69750253" w14:textId="77777777" w:rsidR="002E3064" w:rsidRPr="002E3064" w:rsidRDefault="002E3064" w:rsidP="002E3064">
            <w:pPr>
              <w:snapToGrid w:val="0"/>
              <w:spacing w:after="0" w:line="240" w:lineRule="auto"/>
              <w:jc w:val="center"/>
              <w:rPr>
                <w:rFonts w:ascii="Arial" w:eastAsia="Times New Roman" w:hAnsi="Arial" w:cs="Arial"/>
                <w:i/>
                <w:iCs/>
                <w:w w:val="90"/>
                <w:sz w:val="18"/>
                <w:szCs w:val="18"/>
                <w:lang w:val="ca-ES" w:eastAsia="ca-ES"/>
              </w:rPr>
            </w:pPr>
          </w:p>
        </w:tc>
        <w:tc>
          <w:tcPr>
            <w:tcW w:w="1065" w:type="dxa"/>
            <w:tcBorders>
              <w:top w:val="single" w:sz="4" w:space="0" w:color="000000"/>
              <w:left w:val="single" w:sz="4" w:space="0" w:color="000000"/>
              <w:bottom w:val="single" w:sz="4" w:space="0" w:color="000000"/>
              <w:right w:val="single" w:sz="4" w:space="0" w:color="000000"/>
            </w:tcBorders>
          </w:tcPr>
          <w:p w14:paraId="48E71706" w14:textId="4CFA7AA3" w:rsidR="002E3064" w:rsidRPr="002E3064" w:rsidRDefault="00BA29F6" w:rsidP="002E3064">
            <w:pPr>
              <w:spacing w:after="0" w:line="240" w:lineRule="auto"/>
              <w:jc w:val="center"/>
              <w:rPr>
                <w:rFonts w:ascii="Arial" w:eastAsia="Times New Roman" w:hAnsi="Arial" w:cs="Arial"/>
                <w:i/>
                <w:iCs/>
                <w:w w:val="90"/>
                <w:sz w:val="18"/>
                <w:szCs w:val="18"/>
                <w:lang w:val="ca-ES" w:eastAsia="ca-ES"/>
              </w:rPr>
            </w:pPr>
            <w:r>
              <w:rPr>
                <w:rFonts w:ascii="Arial" w:eastAsia="Times New Roman" w:hAnsi="Arial" w:cs="Arial"/>
                <w:i/>
                <w:iCs/>
                <w:w w:val="90"/>
                <w:sz w:val="18"/>
                <w:szCs w:val="18"/>
                <w:lang w:val="ca-ES" w:eastAsia="ca-ES"/>
              </w:rPr>
              <w:t>GUARDERÍA</w:t>
            </w:r>
          </w:p>
        </w:tc>
        <w:tc>
          <w:tcPr>
            <w:tcW w:w="1134" w:type="dxa"/>
            <w:tcBorders>
              <w:top w:val="single" w:sz="4" w:space="0" w:color="000000"/>
              <w:left w:val="single" w:sz="4" w:space="0" w:color="000000"/>
              <w:bottom w:val="single" w:sz="4" w:space="0" w:color="000000"/>
            </w:tcBorders>
            <w:shd w:val="clear" w:color="auto" w:fill="auto"/>
            <w:vAlign w:val="center"/>
          </w:tcPr>
          <w:p w14:paraId="646B1818"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INFANTIL</w:t>
            </w:r>
          </w:p>
          <w:p w14:paraId="7B884587"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p-3, p-4 i p-5</w:t>
            </w:r>
          </w:p>
        </w:tc>
        <w:tc>
          <w:tcPr>
            <w:tcW w:w="1061" w:type="dxa"/>
            <w:tcBorders>
              <w:top w:val="single" w:sz="4" w:space="0" w:color="000000"/>
              <w:left w:val="single" w:sz="4" w:space="0" w:color="000000"/>
              <w:bottom w:val="single" w:sz="4" w:space="0" w:color="000000"/>
            </w:tcBorders>
            <w:shd w:val="clear" w:color="auto" w:fill="auto"/>
            <w:vAlign w:val="center"/>
          </w:tcPr>
          <w:p w14:paraId="35E05311"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PRIMÀRIA</w:t>
            </w:r>
          </w:p>
        </w:tc>
        <w:tc>
          <w:tcPr>
            <w:tcW w:w="1311" w:type="dxa"/>
            <w:tcBorders>
              <w:top w:val="single" w:sz="4" w:space="0" w:color="000000"/>
              <w:left w:val="single" w:sz="4" w:space="0" w:color="000000"/>
              <w:bottom w:val="single" w:sz="4" w:space="0" w:color="000000"/>
            </w:tcBorders>
            <w:shd w:val="clear" w:color="auto" w:fill="auto"/>
            <w:vAlign w:val="center"/>
          </w:tcPr>
          <w:p w14:paraId="79DF72F0"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SECUNDÀRIA</w:t>
            </w:r>
          </w:p>
        </w:tc>
        <w:tc>
          <w:tcPr>
            <w:tcW w:w="1192" w:type="dxa"/>
            <w:tcBorders>
              <w:top w:val="single" w:sz="4" w:space="0" w:color="000000"/>
              <w:left w:val="single" w:sz="4" w:space="0" w:color="000000"/>
              <w:bottom w:val="single" w:sz="4" w:space="0" w:color="000000"/>
            </w:tcBorders>
            <w:shd w:val="clear" w:color="auto" w:fill="auto"/>
            <w:vAlign w:val="center"/>
          </w:tcPr>
          <w:p w14:paraId="0C495122"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INFANTIL</w:t>
            </w:r>
          </w:p>
          <w:p w14:paraId="73BA4736" w14:textId="2A659609"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Pr>
                <w:rFonts w:ascii="Arial" w:eastAsia="Times New Roman" w:hAnsi="Arial" w:cs="Arial"/>
                <w:i/>
                <w:iCs/>
                <w:w w:val="90"/>
                <w:sz w:val="18"/>
                <w:szCs w:val="18"/>
                <w:lang w:val="ca-ES" w:eastAsia="ca-ES"/>
              </w:rPr>
              <w:t xml:space="preserve">Y </w:t>
            </w:r>
            <w:r w:rsidRPr="002E3064">
              <w:rPr>
                <w:rFonts w:ascii="Arial" w:eastAsia="Times New Roman" w:hAnsi="Arial" w:cs="Arial"/>
                <w:i/>
                <w:iCs/>
                <w:w w:val="90"/>
                <w:sz w:val="18"/>
                <w:szCs w:val="18"/>
                <w:lang w:val="ca-ES" w:eastAsia="ca-ES"/>
              </w:rPr>
              <w:t>PRIMÀRIA</w:t>
            </w:r>
          </w:p>
        </w:tc>
        <w:tc>
          <w:tcPr>
            <w:tcW w:w="132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4AD5DB" w14:textId="77777777" w:rsidR="002E3064" w:rsidRPr="002E3064" w:rsidRDefault="002E3064" w:rsidP="002E3064">
            <w:pPr>
              <w:spacing w:after="0" w:line="240" w:lineRule="auto"/>
              <w:jc w:val="center"/>
              <w:rPr>
                <w:rFonts w:ascii="Arial" w:eastAsia="Times New Roman" w:hAnsi="Arial" w:cs="Arial"/>
                <w:i/>
                <w:iCs/>
                <w:w w:val="90"/>
                <w:sz w:val="18"/>
                <w:szCs w:val="18"/>
                <w:lang w:val="ca-ES" w:eastAsia="ca-ES"/>
              </w:rPr>
            </w:pPr>
            <w:r w:rsidRPr="002E3064">
              <w:rPr>
                <w:rFonts w:ascii="Arial" w:eastAsia="Times New Roman" w:hAnsi="Arial" w:cs="Arial"/>
                <w:i/>
                <w:iCs/>
                <w:w w:val="90"/>
                <w:sz w:val="18"/>
                <w:szCs w:val="18"/>
                <w:lang w:val="ca-ES" w:eastAsia="ca-ES"/>
              </w:rPr>
              <w:t>SECUNDÀRIA</w:t>
            </w:r>
          </w:p>
        </w:tc>
      </w:tr>
      <w:tr w:rsidR="002E3064" w:rsidRPr="002E3064" w14:paraId="6F3BE2DF"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5533DE6A" w14:textId="6358783C"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 xml:space="preserve">15 o </w:t>
            </w:r>
            <w:proofErr w:type="spellStart"/>
            <w:r w:rsidRPr="002E3064">
              <w:rPr>
                <w:rFonts w:ascii="Arial" w:eastAsia="Times New Roman" w:hAnsi="Arial" w:cs="Arial"/>
                <w:i/>
                <w:iCs/>
                <w:sz w:val="18"/>
                <w:szCs w:val="18"/>
                <w:lang w:val="ca-ES" w:eastAsia="ca-ES"/>
              </w:rPr>
              <w:t>m</w:t>
            </w:r>
            <w:r w:rsidR="00BA29F6">
              <w:rPr>
                <w:rFonts w:ascii="Arial" w:eastAsia="Times New Roman" w:hAnsi="Arial" w:cs="Arial"/>
                <w:i/>
                <w:iCs/>
                <w:sz w:val="18"/>
                <w:szCs w:val="18"/>
                <w:lang w:val="ca-ES" w:eastAsia="ca-ES"/>
              </w:rPr>
              <w:t>á</w:t>
            </w:r>
            <w:r w:rsidRPr="002E3064">
              <w:rPr>
                <w:rFonts w:ascii="Arial" w:eastAsia="Times New Roman" w:hAnsi="Arial" w:cs="Arial"/>
                <w:i/>
                <w:iCs/>
                <w:sz w:val="18"/>
                <w:szCs w:val="18"/>
                <w:lang w:val="ca-ES" w:eastAsia="ca-ES"/>
              </w:rPr>
              <w:t>s</w:t>
            </w:r>
            <w:proofErr w:type="spellEnd"/>
          </w:p>
        </w:tc>
        <w:tc>
          <w:tcPr>
            <w:tcW w:w="1065" w:type="dxa"/>
            <w:tcBorders>
              <w:top w:val="single" w:sz="4" w:space="0" w:color="000000"/>
              <w:left w:val="single" w:sz="4" w:space="0" w:color="000000"/>
              <w:bottom w:val="single" w:sz="4" w:space="0" w:color="000000"/>
              <w:right w:val="single" w:sz="4" w:space="0" w:color="000000"/>
            </w:tcBorders>
          </w:tcPr>
          <w:p w14:paraId="41E85A8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100 €</w:t>
            </w:r>
          </w:p>
        </w:tc>
        <w:tc>
          <w:tcPr>
            <w:tcW w:w="1134" w:type="dxa"/>
            <w:tcBorders>
              <w:top w:val="single" w:sz="4" w:space="0" w:color="000000"/>
              <w:left w:val="single" w:sz="4" w:space="0" w:color="000000"/>
              <w:bottom w:val="single" w:sz="4" w:space="0" w:color="000000"/>
            </w:tcBorders>
            <w:shd w:val="clear" w:color="auto" w:fill="auto"/>
          </w:tcPr>
          <w:p w14:paraId="09E6CF75"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140 €</w:t>
            </w:r>
          </w:p>
        </w:tc>
        <w:tc>
          <w:tcPr>
            <w:tcW w:w="1061" w:type="dxa"/>
            <w:tcBorders>
              <w:top w:val="single" w:sz="4" w:space="0" w:color="000000"/>
              <w:left w:val="single" w:sz="4" w:space="0" w:color="000000"/>
              <w:bottom w:val="single" w:sz="4" w:space="0" w:color="000000"/>
            </w:tcBorders>
            <w:shd w:val="clear" w:color="auto" w:fill="auto"/>
          </w:tcPr>
          <w:p w14:paraId="76B1751F"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160 €</w:t>
            </w:r>
          </w:p>
        </w:tc>
        <w:tc>
          <w:tcPr>
            <w:tcW w:w="1311" w:type="dxa"/>
            <w:tcBorders>
              <w:top w:val="single" w:sz="4" w:space="0" w:color="000000"/>
              <w:left w:val="single" w:sz="4" w:space="0" w:color="000000"/>
              <w:bottom w:val="single" w:sz="4" w:space="0" w:color="000000"/>
            </w:tcBorders>
            <w:shd w:val="clear" w:color="auto" w:fill="auto"/>
          </w:tcPr>
          <w:p w14:paraId="10E71A41"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170 €</w:t>
            </w:r>
          </w:p>
        </w:tc>
        <w:tc>
          <w:tcPr>
            <w:tcW w:w="1192" w:type="dxa"/>
            <w:tcBorders>
              <w:top w:val="single" w:sz="4" w:space="0" w:color="000000"/>
              <w:left w:val="single" w:sz="4" w:space="0" w:color="000000"/>
              <w:bottom w:val="single" w:sz="4" w:space="0" w:color="000000"/>
            </w:tcBorders>
            <w:shd w:val="clear" w:color="auto" w:fill="auto"/>
          </w:tcPr>
          <w:p w14:paraId="0CE6E9FC"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160 €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11AB2F22"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170 €</w:t>
            </w:r>
          </w:p>
        </w:tc>
      </w:tr>
      <w:tr w:rsidR="002E3064" w:rsidRPr="002E3064" w14:paraId="2E0140D6"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677B75B4"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14 i 13</w:t>
            </w:r>
          </w:p>
        </w:tc>
        <w:tc>
          <w:tcPr>
            <w:tcW w:w="1065" w:type="dxa"/>
            <w:tcBorders>
              <w:top w:val="single" w:sz="4" w:space="0" w:color="000000"/>
              <w:left w:val="single" w:sz="4" w:space="0" w:color="000000"/>
              <w:bottom w:val="single" w:sz="4" w:space="0" w:color="000000"/>
              <w:right w:val="single" w:sz="4" w:space="0" w:color="000000"/>
            </w:tcBorders>
          </w:tcPr>
          <w:p w14:paraId="065F5B6D"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90 €</w:t>
            </w:r>
          </w:p>
        </w:tc>
        <w:tc>
          <w:tcPr>
            <w:tcW w:w="1134" w:type="dxa"/>
            <w:tcBorders>
              <w:top w:val="single" w:sz="4" w:space="0" w:color="000000"/>
              <w:left w:val="single" w:sz="4" w:space="0" w:color="000000"/>
              <w:bottom w:val="single" w:sz="4" w:space="0" w:color="000000"/>
            </w:tcBorders>
            <w:shd w:val="clear" w:color="auto" w:fill="auto"/>
          </w:tcPr>
          <w:p w14:paraId="134320B1"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130 €</w:t>
            </w:r>
          </w:p>
        </w:tc>
        <w:tc>
          <w:tcPr>
            <w:tcW w:w="1061" w:type="dxa"/>
            <w:tcBorders>
              <w:top w:val="single" w:sz="4" w:space="0" w:color="000000"/>
              <w:left w:val="single" w:sz="4" w:space="0" w:color="000000"/>
              <w:bottom w:val="single" w:sz="4" w:space="0" w:color="000000"/>
            </w:tcBorders>
            <w:shd w:val="clear" w:color="auto" w:fill="auto"/>
          </w:tcPr>
          <w:p w14:paraId="1149F3B4"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145 €</w:t>
            </w:r>
          </w:p>
        </w:tc>
        <w:tc>
          <w:tcPr>
            <w:tcW w:w="1311" w:type="dxa"/>
            <w:tcBorders>
              <w:top w:val="single" w:sz="4" w:space="0" w:color="000000"/>
              <w:left w:val="single" w:sz="4" w:space="0" w:color="000000"/>
              <w:bottom w:val="single" w:sz="4" w:space="0" w:color="000000"/>
            </w:tcBorders>
            <w:shd w:val="clear" w:color="auto" w:fill="auto"/>
          </w:tcPr>
          <w:p w14:paraId="5D170C37"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155 €</w:t>
            </w:r>
          </w:p>
        </w:tc>
        <w:tc>
          <w:tcPr>
            <w:tcW w:w="1192" w:type="dxa"/>
            <w:tcBorders>
              <w:top w:val="single" w:sz="4" w:space="0" w:color="000000"/>
              <w:left w:val="single" w:sz="4" w:space="0" w:color="000000"/>
              <w:bottom w:val="single" w:sz="4" w:space="0" w:color="000000"/>
            </w:tcBorders>
            <w:shd w:val="clear" w:color="auto" w:fill="auto"/>
          </w:tcPr>
          <w:p w14:paraId="583C934A"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145 €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26EB5AA5"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150 €</w:t>
            </w:r>
          </w:p>
        </w:tc>
      </w:tr>
      <w:tr w:rsidR="002E3064" w:rsidRPr="002E3064" w14:paraId="1F119752"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012123D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12 i 11</w:t>
            </w:r>
          </w:p>
        </w:tc>
        <w:tc>
          <w:tcPr>
            <w:tcW w:w="1065" w:type="dxa"/>
            <w:tcBorders>
              <w:top w:val="single" w:sz="4" w:space="0" w:color="000000"/>
              <w:left w:val="single" w:sz="4" w:space="0" w:color="000000"/>
              <w:bottom w:val="single" w:sz="4" w:space="0" w:color="000000"/>
              <w:right w:val="single" w:sz="4" w:space="0" w:color="000000"/>
            </w:tcBorders>
          </w:tcPr>
          <w:p w14:paraId="6F69B21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80 €</w:t>
            </w:r>
          </w:p>
        </w:tc>
        <w:tc>
          <w:tcPr>
            <w:tcW w:w="1134" w:type="dxa"/>
            <w:tcBorders>
              <w:top w:val="single" w:sz="4" w:space="0" w:color="000000"/>
              <w:left w:val="single" w:sz="4" w:space="0" w:color="000000"/>
              <w:bottom w:val="single" w:sz="4" w:space="0" w:color="000000"/>
            </w:tcBorders>
            <w:shd w:val="clear" w:color="auto" w:fill="auto"/>
          </w:tcPr>
          <w:p w14:paraId="44E32B20"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120 €</w:t>
            </w:r>
          </w:p>
        </w:tc>
        <w:tc>
          <w:tcPr>
            <w:tcW w:w="1061" w:type="dxa"/>
            <w:tcBorders>
              <w:top w:val="single" w:sz="4" w:space="0" w:color="000000"/>
              <w:left w:val="single" w:sz="4" w:space="0" w:color="000000"/>
              <w:bottom w:val="single" w:sz="4" w:space="0" w:color="000000"/>
            </w:tcBorders>
            <w:shd w:val="clear" w:color="auto" w:fill="auto"/>
          </w:tcPr>
          <w:p w14:paraId="59FA442A"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135 €</w:t>
            </w:r>
          </w:p>
        </w:tc>
        <w:tc>
          <w:tcPr>
            <w:tcW w:w="1311" w:type="dxa"/>
            <w:tcBorders>
              <w:top w:val="single" w:sz="4" w:space="0" w:color="000000"/>
              <w:left w:val="single" w:sz="4" w:space="0" w:color="000000"/>
              <w:bottom w:val="single" w:sz="4" w:space="0" w:color="000000"/>
            </w:tcBorders>
            <w:shd w:val="clear" w:color="auto" w:fill="auto"/>
          </w:tcPr>
          <w:p w14:paraId="7115DB6B"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140 €</w:t>
            </w:r>
          </w:p>
        </w:tc>
        <w:tc>
          <w:tcPr>
            <w:tcW w:w="1192" w:type="dxa"/>
            <w:tcBorders>
              <w:top w:val="single" w:sz="4" w:space="0" w:color="000000"/>
              <w:left w:val="single" w:sz="4" w:space="0" w:color="000000"/>
              <w:bottom w:val="single" w:sz="4" w:space="0" w:color="000000"/>
            </w:tcBorders>
            <w:shd w:val="clear" w:color="auto" w:fill="auto"/>
          </w:tcPr>
          <w:p w14:paraId="6E8F81B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125 €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12714931"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130 €</w:t>
            </w:r>
          </w:p>
        </w:tc>
      </w:tr>
      <w:tr w:rsidR="002E3064" w:rsidRPr="002E3064" w14:paraId="73BE8187"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00E6F950"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10 i 9</w:t>
            </w:r>
          </w:p>
        </w:tc>
        <w:tc>
          <w:tcPr>
            <w:tcW w:w="1065" w:type="dxa"/>
            <w:tcBorders>
              <w:top w:val="single" w:sz="4" w:space="0" w:color="000000"/>
              <w:left w:val="single" w:sz="4" w:space="0" w:color="000000"/>
              <w:bottom w:val="single" w:sz="4" w:space="0" w:color="000000"/>
              <w:right w:val="single" w:sz="4" w:space="0" w:color="000000"/>
            </w:tcBorders>
          </w:tcPr>
          <w:p w14:paraId="37F72158"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 xml:space="preserve">70 € </w:t>
            </w:r>
          </w:p>
        </w:tc>
        <w:tc>
          <w:tcPr>
            <w:tcW w:w="1134" w:type="dxa"/>
            <w:tcBorders>
              <w:top w:val="single" w:sz="4" w:space="0" w:color="000000"/>
              <w:left w:val="single" w:sz="4" w:space="0" w:color="000000"/>
              <w:bottom w:val="single" w:sz="4" w:space="0" w:color="000000"/>
            </w:tcBorders>
            <w:shd w:val="clear" w:color="auto" w:fill="auto"/>
          </w:tcPr>
          <w:p w14:paraId="1EC6F80D"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110 €</w:t>
            </w:r>
          </w:p>
        </w:tc>
        <w:tc>
          <w:tcPr>
            <w:tcW w:w="1061" w:type="dxa"/>
            <w:tcBorders>
              <w:top w:val="single" w:sz="4" w:space="0" w:color="000000"/>
              <w:left w:val="single" w:sz="4" w:space="0" w:color="000000"/>
              <w:bottom w:val="single" w:sz="4" w:space="0" w:color="000000"/>
            </w:tcBorders>
            <w:shd w:val="clear" w:color="auto" w:fill="auto"/>
          </w:tcPr>
          <w:p w14:paraId="5226C9D0"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120 €</w:t>
            </w:r>
          </w:p>
        </w:tc>
        <w:tc>
          <w:tcPr>
            <w:tcW w:w="1311" w:type="dxa"/>
            <w:tcBorders>
              <w:top w:val="single" w:sz="4" w:space="0" w:color="000000"/>
              <w:left w:val="single" w:sz="4" w:space="0" w:color="000000"/>
              <w:bottom w:val="single" w:sz="4" w:space="0" w:color="000000"/>
            </w:tcBorders>
            <w:shd w:val="clear" w:color="auto" w:fill="auto"/>
          </w:tcPr>
          <w:p w14:paraId="35190828"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130 €</w:t>
            </w:r>
          </w:p>
        </w:tc>
        <w:tc>
          <w:tcPr>
            <w:tcW w:w="1192" w:type="dxa"/>
            <w:tcBorders>
              <w:top w:val="single" w:sz="4" w:space="0" w:color="000000"/>
              <w:left w:val="single" w:sz="4" w:space="0" w:color="000000"/>
              <w:bottom w:val="single" w:sz="4" w:space="0" w:color="000000"/>
            </w:tcBorders>
            <w:shd w:val="clear" w:color="auto" w:fill="auto"/>
          </w:tcPr>
          <w:p w14:paraId="1C5AA6F9"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115 €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5CC45A06"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110 €</w:t>
            </w:r>
          </w:p>
        </w:tc>
      </w:tr>
      <w:tr w:rsidR="002E3064" w:rsidRPr="002E3064" w14:paraId="1E5A84DC"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6E7C00B7"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8 i 7</w:t>
            </w:r>
          </w:p>
        </w:tc>
        <w:tc>
          <w:tcPr>
            <w:tcW w:w="1065" w:type="dxa"/>
            <w:tcBorders>
              <w:top w:val="single" w:sz="4" w:space="0" w:color="000000"/>
              <w:left w:val="single" w:sz="4" w:space="0" w:color="000000"/>
              <w:bottom w:val="single" w:sz="4" w:space="0" w:color="000000"/>
              <w:right w:val="single" w:sz="4" w:space="0" w:color="000000"/>
            </w:tcBorders>
          </w:tcPr>
          <w:p w14:paraId="2634633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60 €</w:t>
            </w:r>
          </w:p>
        </w:tc>
        <w:tc>
          <w:tcPr>
            <w:tcW w:w="1134" w:type="dxa"/>
            <w:tcBorders>
              <w:top w:val="single" w:sz="4" w:space="0" w:color="000000"/>
              <w:left w:val="single" w:sz="4" w:space="0" w:color="000000"/>
              <w:bottom w:val="single" w:sz="4" w:space="0" w:color="000000"/>
            </w:tcBorders>
            <w:shd w:val="clear" w:color="auto" w:fill="auto"/>
          </w:tcPr>
          <w:p w14:paraId="42D0179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100 €</w:t>
            </w:r>
          </w:p>
        </w:tc>
        <w:tc>
          <w:tcPr>
            <w:tcW w:w="1061" w:type="dxa"/>
            <w:tcBorders>
              <w:top w:val="single" w:sz="4" w:space="0" w:color="000000"/>
              <w:left w:val="single" w:sz="4" w:space="0" w:color="000000"/>
              <w:bottom w:val="single" w:sz="4" w:space="0" w:color="000000"/>
            </w:tcBorders>
            <w:shd w:val="clear" w:color="auto" w:fill="auto"/>
          </w:tcPr>
          <w:p w14:paraId="4426D6EC"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110 €</w:t>
            </w:r>
          </w:p>
        </w:tc>
        <w:tc>
          <w:tcPr>
            <w:tcW w:w="1311" w:type="dxa"/>
            <w:tcBorders>
              <w:top w:val="single" w:sz="4" w:space="0" w:color="000000"/>
              <w:left w:val="single" w:sz="4" w:space="0" w:color="000000"/>
              <w:bottom w:val="single" w:sz="4" w:space="0" w:color="000000"/>
            </w:tcBorders>
            <w:shd w:val="clear" w:color="auto" w:fill="auto"/>
          </w:tcPr>
          <w:p w14:paraId="2110035D"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115 €</w:t>
            </w:r>
          </w:p>
        </w:tc>
        <w:tc>
          <w:tcPr>
            <w:tcW w:w="1192" w:type="dxa"/>
            <w:tcBorders>
              <w:top w:val="single" w:sz="4" w:space="0" w:color="000000"/>
              <w:left w:val="single" w:sz="4" w:space="0" w:color="000000"/>
              <w:bottom w:val="single" w:sz="4" w:space="0" w:color="000000"/>
            </w:tcBorders>
            <w:shd w:val="clear" w:color="auto" w:fill="auto"/>
          </w:tcPr>
          <w:p w14:paraId="7E5DC246"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95 €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6DF3002C"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100 €</w:t>
            </w:r>
          </w:p>
        </w:tc>
      </w:tr>
      <w:tr w:rsidR="002E3064" w:rsidRPr="002E3064" w14:paraId="7225B019"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11A79C8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6 i 5</w:t>
            </w:r>
          </w:p>
        </w:tc>
        <w:tc>
          <w:tcPr>
            <w:tcW w:w="1065" w:type="dxa"/>
            <w:tcBorders>
              <w:top w:val="single" w:sz="4" w:space="0" w:color="000000"/>
              <w:left w:val="single" w:sz="4" w:space="0" w:color="000000"/>
              <w:bottom w:val="single" w:sz="4" w:space="0" w:color="000000"/>
              <w:right w:val="single" w:sz="4" w:space="0" w:color="000000"/>
            </w:tcBorders>
          </w:tcPr>
          <w:p w14:paraId="662DA2A4"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50 €</w:t>
            </w:r>
          </w:p>
        </w:tc>
        <w:tc>
          <w:tcPr>
            <w:tcW w:w="1134" w:type="dxa"/>
            <w:tcBorders>
              <w:top w:val="single" w:sz="4" w:space="0" w:color="000000"/>
              <w:left w:val="single" w:sz="4" w:space="0" w:color="000000"/>
              <w:bottom w:val="single" w:sz="4" w:space="0" w:color="000000"/>
            </w:tcBorders>
            <w:shd w:val="clear" w:color="auto" w:fill="auto"/>
          </w:tcPr>
          <w:p w14:paraId="7FC54A1C"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90 €</w:t>
            </w:r>
          </w:p>
        </w:tc>
        <w:tc>
          <w:tcPr>
            <w:tcW w:w="1061" w:type="dxa"/>
            <w:tcBorders>
              <w:top w:val="single" w:sz="4" w:space="0" w:color="000000"/>
              <w:left w:val="single" w:sz="4" w:space="0" w:color="000000"/>
              <w:bottom w:val="single" w:sz="4" w:space="0" w:color="000000"/>
            </w:tcBorders>
            <w:shd w:val="clear" w:color="auto" w:fill="auto"/>
          </w:tcPr>
          <w:p w14:paraId="4EB920E3"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95 €</w:t>
            </w:r>
          </w:p>
        </w:tc>
        <w:tc>
          <w:tcPr>
            <w:tcW w:w="1311" w:type="dxa"/>
            <w:tcBorders>
              <w:top w:val="single" w:sz="4" w:space="0" w:color="000000"/>
              <w:left w:val="single" w:sz="4" w:space="0" w:color="000000"/>
              <w:bottom w:val="single" w:sz="4" w:space="0" w:color="000000"/>
            </w:tcBorders>
            <w:shd w:val="clear" w:color="auto" w:fill="auto"/>
          </w:tcPr>
          <w:p w14:paraId="2F2F831A"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100 €</w:t>
            </w:r>
          </w:p>
        </w:tc>
        <w:tc>
          <w:tcPr>
            <w:tcW w:w="1192" w:type="dxa"/>
            <w:tcBorders>
              <w:top w:val="single" w:sz="4" w:space="0" w:color="000000"/>
              <w:left w:val="single" w:sz="4" w:space="0" w:color="000000"/>
              <w:bottom w:val="single" w:sz="4" w:space="0" w:color="000000"/>
            </w:tcBorders>
            <w:shd w:val="clear" w:color="auto" w:fill="auto"/>
          </w:tcPr>
          <w:p w14:paraId="4CC53FBB"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75 €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462AC71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80 €</w:t>
            </w:r>
          </w:p>
        </w:tc>
      </w:tr>
      <w:tr w:rsidR="002E3064" w:rsidRPr="002E3064" w14:paraId="7888133B"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2AE1A5FF"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4 i 3</w:t>
            </w:r>
          </w:p>
        </w:tc>
        <w:tc>
          <w:tcPr>
            <w:tcW w:w="1065" w:type="dxa"/>
            <w:tcBorders>
              <w:top w:val="single" w:sz="4" w:space="0" w:color="000000"/>
              <w:left w:val="single" w:sz="4" w:space="0" w:color="000000"/>
              <w:bottom w:val="single" w:sz="4" w:space="0" w:color="000000"/>
              <w:right w:val="single" w:sz="4" w:space="0" w:color="000000"/>
            </w:tcBorders>
          </w:tcPr>
          <w:p w14:paraId="2DA9E54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40 €</w:t>
            </w:r>
          </w:p>
        </w:tc>
        <w:tc>
          <w:tcPr>
            <w:tcW w:w="1134" w:type="dxa"/>
            <w:tcBorders>
              <w:top w:val="single" w:sz="4" w:space="0" w:color="000000"/>
              <w:left w:val="single" w:sz="4" w:space="0" w:color="000000"/>
              <w:bottom w:val="single" w:sz="4" w:space="0" w:color="000000"/>
            </w:tcBorders>
            <w:shd w:val="clear" w:color="auto" w:fill="auto"/>
          </w:tcPr>
          <w:p w14:paraId="69CEA79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70 €</w:t>
            </w:r>
          </w:p>
        </w:tc>
        <w:tc>
          <w:tcPr>
            <w:tcW w:w="1061" w:type="dxa"/>
            <w:tcBorders>
              <w:top w:val="single" w:sz="4" w:space="0" w:color="000000"/>
              <w:left w:val="single" w:sz="4" w:space="0" w:color="000000"/>
              <w:bottom w:val="single" w:sz="4" w:space="0" w:color="000000"/>
            </w:tcBorders>
            <w:shd w:val="clear" w:color="auto" w:fill="auto"/>
          </w:tcPr>
          <w:p w14:paraId="380140C6"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75 €</w:t>
            </w:r>
          </w:p>
        </w:tc>
        <w:tc>
          <w:tcPr>
            <w:tcW w:w="1311" w:type="dxa"/>
            <w:tcBorders>
              <w:top w:val="single" w:sz="4" w:space="0" w:color="000000"/>
              <w:left w:val="single" w:sz="4" w:space="0" w:color="000000"/>
              <w:bottom w:val="single" w:sz="4" w:space="0" w:color="000000"/>
            </w:tcBorders>
            <w:shd w:val="clear" w:color="auto" w:fill="auto"/>
          </w:tcPr>
          <w:p w14:paraId="231EC6BF"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80 €</w:t>
            </w:r>
          </w:p>
        </w:tc>
        <w:tc>
          <w:tcPr>
            <w:tcW w:w="1192" w:type="dxa"/>
            <w:tcBorders>
              <w:top w:val="single" w:sz="4" w:space="0" w:color="000000"/>
              <w:left w:val="single" w:sz="4" w:space="0" w:color="000000"/>
              <w:bottom w:val="single" w:sz="4" w:space="0" w:color="000000"/>
            </w:tcBorders>
            <w:shd w:val="clear" w:color="auto" w:fill="auto"/>
          </w:tcPr>
          <w:p w14:paraId="6EBB468E"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60 €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218EA621"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65 €</w:t>
            </w:r>
          </w:p>
        </w:tc>
      </w:tr>
      <w:tr w:rsidR="002E3064" w:rsidRPr="002E3064" w14:paraId="5BA0F389" w14:textId="77777777" w:rsidTr="002E3064">
        <w:trPr>
          <w:jc w:val="center"/>
        </w:trPr>
        <w:tc>
          <w:tcPr>
            <w:tcW w:w="1271" w:type="dxa"/>
            <w:tcBorders>
              <w:top w:val="single" w:sz="4" w:space="0" w:color="000000"/>
              <w:left w:val="single" w:sz="4" w:space="0" w:color="000000"/>
              <w:bottom w:val="single" w:sz="4" w:space="0" w:color="000000"/>
            </w:tcBorders>
            <w:shd w:val="clear" w:color="auto" w:fill="auto"/>
          </w:tcPr>
          <w:p w14:paraId="1756B712"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2 i 1</w:t>
            </w:r>
          </w:p>
        </w:tc>
        <w:tc>
          <w:tcPr>
            <w:tcW w:w="1065" w:type="dxa"/>
            <w:tcBorders>
              <w:top w:val="single" w:sz="4" w:space="0" w:color="000000"/>
              <w:left w:val="single" w:sz="4" w:space="0" w:color="000000"/>
              <w:bottom w:val="single" w:sz="4" w:space="0" w:color="000000"/>
              <w:right w:val="single" w:sz="4" w:space="0" w:color="000000"/>
            </w:tcBorders>
          </w:tcPr>
          <w:p w14:paraId="74B9F218"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30 €</w:t>
            </w:r>
          </w:p>
        </w:tc>
        <w:tc>
          <w:tcPr>
            <w:tcW w:w="1134" w:type="dxa"/>
            <w:tcBorders>
              <w:top w:val="single" w:sz="4" w:space="0" w:color="000000"/>
              <w:left w:val="single" w:sz="4" w:space="0" w:color="000000"/>
              <w:bottom w:val="single" w:sz="4" w:space="0" w:color="000000"/>
            </w:tcBorders>
            <w:shd w:val="clear" w:color="auto" w:fill="auto"/>
          </w:tcPr>
          <w:p w14:paraId="1C898AA4"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50 €</w:t>
            </w:r>
          </w:p>
        </w:tc>
        <w:tc>
          <w:tcPr>
            <w:tcW w:w="1061" w:type="dxa"/>
            <w:tcBorders>
              <w:top w:val="single" w:sz="4" w:space="0" w:color="000000"/>
              <w:left w:val="single" w:sz="4" w:space="0" w:color="000000"/>
              <w:bottom w:val="single" w:sz="4" w:space="0" w:color="000000"/>
            </w:tcBorders>
            <w:shd w:val="clear" w:color="auto" w:fill="auto"/>
          </w:tcPr>
          <w:p w14:paraId="63987C3C"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55 €</w:t>
            </w:r>
          </w:p>
        </w:tc>
        <w:tc>
          <w:tcPr>
            <w:tcW w:w="1311" w:type="dxa"/>
            <w:tcBorders>
              <w:top w:val="single" w:sz="4" w:space="0" w:color="000000"/>
              <w:left w:val="single" w:sz="4" w:space="0" w:color="000000"/>
              <w:bottom w:val="single" w:sz="4" w:space="0" w:color="000000"/>
            </w:tcBorders>
            <w:shd w:val="clear" w:color="auto" w:fill="auto"/>
          </w:tcPr>
          <w:p w14:paraId="6BE2EEA6"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60 €</w:t>
            </w:r>
          </w:p>
        </w:tc>
        <w:tc>
          <w:tcPr>
            <w:tcW w:w="1192" w:type="dxa"/>
            <w:tcBorders>
              <w:top w:val="single" w:sz="4" w:space="0" w:color="000000"/>
              <w:left w:val="single" w:sz="4" w:space="0" w:color="000000"/>
              <w:bottom w:val="single" w:sz="4" w:space="0" w:color="000000"/>
            </w:tcBorders>
            <w:shd w:val="clear" w:color="auto" w:fill="auto"/>
          </w:tcPr>
          <w:p w14:paraId="7BEA42DF"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50 €</w:t>
            </w:r>
          </w:p>
        </w:tc>
        <w:tc>
          <w:tcPr>
            <w:tcW w:w="1325" w:type="dxa"/>
            <w:tcBorders>
              <w:top w:val="single" w:sz="4" w:space="0" w:color="000000"/>
              <w:left w:val="single" w:sz="4" w:space="0" w:color="000000"/>
              <w:bottom w:val="single" w:sz="4" w:space="0" w:color="000000"/>
              <w:right w:val="single" w:sz="4" w:space="0" w:color="000000"/>
            </w:tcBorders>
            <w:shd w:val="clear" w:color="auto" w:fill="auto"/>
          </w:tcPr>
          <w:p w14:paraId="65146CDB" w14:textId="77777777" w:rsidR="002E3064" w:rsidRPr="002E3064" w:rsidRDefault="002E3064" w:rsidP="002E3064">
            <w:pPr>
              <w:spacing w:after="0" w:line="240" w:lineRule="auto"/>
              <w:jc w:val="center"/>
              <w:rPr>
                <w:rFonts w:ascii="Arial" w:eastAsia="Times New Roman" w:hAnsi="Arial" w:cs="Arial"/>
                <w:i/>
                <w:iCs/>
                <w:sz w:val="18"/>
                <w:szCs w:val="18"/>
                <w:lang w:val="ca-ES" w:eastAsia="ca-ES"/>
              </w:rPr>
            </w:pPr>
            <w:r w:rsidRPr="002E3064">
              <w:rPr>
                <w:rFonts w:ascii="Arial" w:eastAsia="Times New Roman" w:hAnsi="Arial" w:cs="Arial"/>
                <w:i/>
                <w:iCs/>
                <w:sz w:val="18"/>
                <w:szCs w:val="18"/>
                <w:lang w:val="ca-ES" w:eastAsia="ca-ES"/>
              </w:rPr>
              <w:t>55 €</w:t>
            </w:r>
          </w:p>
        </w:tc>
      </w:tr>
    </w:tbl>
    <w:p w14:paraId="52AA590A" w14:textId="1309C073" w:rsidR="002E3064" w:rsidRDefault="002E3064" w:rsidP="00AA2C98">
      <w:pPr>
        <w:jc w:val="both"/>
        <w:rPr>
          <w:rFonts w:ascii="Arial" w:hAnsi="Arial" w:cs="Arial"/>
          <w:sz w:val="20"/>
          <w:szCs w:val="20"/>
        </w:rPr>
      </w:pPr>
    </w:p>
    <w:p w14:paraId="7828B625" w14:textId="4CE09663" w:rsidR="002E3064" w:rsidRDefault="002E3064" w:rsidP="00AA2C98">
      <w:pPr>
        <w:jc w:val="both"/>
        <w:rPr>
          <w:rFonts w:ascii="Arial" w:hAnsi="Arial" w:cs="Arial"/>
          <w:sz w:val="20"/>
          <w:szCs w:val="20"/>
        </w:rPr>
      </w:pPr>
    </w:p>
    <w:tbl>
      <w:tblPr>
        <w:tblW w:w="8359" w:type="dxa"/>
        <w:jc w:val="center"/>
        <w:tblLayout w:type="fixed"/>
        <w:tblLook w:val="0000" w:firstRow="0" w:lastRow="0" w:firstColumn="0" w:lastColumn="0" w:noHBand="0" w:noVBand="0"/>
      </w:tblPr>
      <w:tblGrid>
        <w:gridCol w:w="1555"/>
        <w:gridCol w:w="1984"/>
        <w:gridCol w:w="2410"/>
        <w:gridCol w:w="2410"/>
      </w:tblGrid>
      <w:tr w:rsidR="002E3064" w:rsidRPr="002E3064" w14:paraId="574A477A" w14:textId="77777777" w:rsidTr="00A3015F">
        <w:trPr>
          <w:jc w:val="center"/>
        </w:trPr>
        <w:tc>
          <w:tcPr>
            <w:tcW w:w="1555" w:type="dxa"/>
            <w:vMerge w:val="restart"/>
            <w:tcBorders>
              <w:top w:val="single" w:sz="4" w:space="0" w:color="000000"/>
              <w:left w:val="single" w:sz="4" w:space="0" w:color="000000"/>
              <w:bottom w:val="single" w:sz="4" w:space="0" w:color="000000"/>
            </w:tcBorders>
            <w:shd w:val="clear" w:color="auto" w:fill="auto"/>
          </w:tcPr>
          <w:p w14:paraId="25E90244" w14:textId="77777777" w:rsidR="002E3064" w:rsidRPr="002E3064" w:rsidRDefault="002E3064" w:rsidP="002E3064">
            <w:pPr>
              <w:spacing w:after="0" w:line="240" w:lineRule="auto"/>
              <w:jc w:val="center"/>
              <w:rPr>
                <w:rFonts w:ascii="Arial" w:eastAsia="Times New Roman" w:hAnsi="Arial" w:cs="Arial"/>
                <w:i/>
                <w:w w:val="90"/>
                <w:sz w:val="18"/>
                <w:szCs w:val="18"/>
                <w:lang w:val="ca-ES" w:eastAsia="ca-ES"/>
              </w:rPr>
            </w:pPr>
          </w:p>
          <w:p w14:paraId="7708C37D" w14:textId="16399FBB" w:rsidR="002E3064" w:rsidRPr="002E3064" w:rsidRDefault="002E3064" w:rsidP="002E3064">
            <w:pPr>
              <w:spacing w:after="0" w:line="240" w:lineRule="auto"/>
              <w:jc w:val="center"/>
              <w:rPr>
                <w:rFonts w:ascii="Arial" w:eastAsia="Times New Roman" w:hAnsi="Arial" w:cs="Arial"/>
                <w:i/>
                <w:w w:val="90"/>
                <w:sz w:val="18"/>
                <w:szCs w:val="18"/>
                <w:lang w:val="ca-ES" w:eastAsia="ca-ES"/>
              </w:rPr>
            </w:pPr>
            <w:r w:rsidRPr="002E3064">
              <w:rPr>
                <w:rFonts w:ascii="Arial" w:eastAsia="Times New Roman" w:hAnsi="Arial" w:cs="Arial"/>
                <w:i/>
                <w:w w:val="90"/>
                <w:sz w:val="18"/>
                <w:szCs w:val="18"/>
                <w:lang w:val="ca-ES" w:eastAsia="ca-ES"/>
              </w:rPr>
              <w:t>PUNTUACIÓ</w:t>
            </w:r>
            <w:r>
              <w:rPr>
                <w:rFonts w:ascii="Arial" w:eastAsia="Times New Roman" w:hAnsi="Arial" w:cs="Arial"/>
                <w:i/>
                <w:w w:val="90"/>
                <w:sz w:val="18"/>
                <w:szCs w:val="18"/>
                <w:lang w:val="ca-ES" w:eastAsia="ca-ES"/>
              </w:rPr>
              <w:t>N</w:t>
            </w:r>
          </w:p>
          <w:p w14:paraId="26409BFB" w14:textId="0A27AB8D" w:rsidR="002E3064" w:rsidRPr="002E3064" w:rsidRDefault="002E3064" w:rsidP="002E3064">
            <w:pPr>
              <w:spacing w:after="0" w:line="240" w:lineRule="auto"/>
              <w:jc w:val="center"/>
              <w:rPr>
                <w:rFonts w:ascii="Arial" w:eastAsia="Times New Roman" w:hAnsi="Arial" w:cs="Arial"/>
                <w:i/>
                <w:w w:val="90"/>
                <w:sz w:val="18"/>
                <w:szCs w:val="18"/>
                <w:lang w:val="ca-ES" w:eastAsia="ca-ES"/>
              </w:rPr>
            </w:pPr>
            <w:r w:rsidRPr="002E3064">
              <w:rPr>
                <w:rFonts w:ascii="Arial" w:eastAsia="Times New Roman" w:hAnsi="Arial" w:cs="Arial"/>
                <w:i/>
                <w:w w:val="90"/>
                <w:sz w:val="18"/>
                <w:szCs w:val="18"/>
                <w:lang w:val="ca-ES" w:eastAsia="ca-ES"/>
              </w:rPr>
              <w:t>OBT</w:t>
            </w:r>
            <w:r>
              <w:rPr>
                <w:rFonts w:ascii="Arial" w:eastAsia="Times New Roman" w:hAnsi="Arial" w:cs="Arial"/>
                <w:i/>
                <w:w w:val="90"/>
                <w:sz w:val="18"/>
                <w:szCs w:val="18"/>
                <w:lang w:val="ca-ES" w:eastAsia="ca-ES"/>
              </w:rPr>
              <w:t>ENIDA</w:t>
            </w:r>
          </w:p>
        </w:tc>
        <w:tc>
          <w:tcPr>
            <w:tcW w:w="6804" w:type="dxa"/>
            <w:gridSpan w:val="3"/>
            <w:tcBorders>
              <w:top w:val="single" w:sz="4" w:space="0" w:color="000000"/>
              <w:left w:val="single" w:sz="4" w:space="0" w:color="000000"/>
              <w:bottom w:val="single" w:sz="4" w:space="0" w:color="000000"/>
              <w:right w:val="single" w:sz="4" w:space="0" w:color="000000"/>
            </w:tcBorders>
          </w:tcPr>
          <w:p w14:paraId="17ACB28B" w14:textId="77777777" w:rsidR="002E3064" w:rsidRPr="002E3064" w:rsidRDefault="002E3064" w:rsidP="002E3064">
            <w:pPr>
              <w:spacing w:after="0" w:line="240" w:lineRule="auto"/>
              <w:jc w:val="center"/>
              <w:rPr>
                <w:rFonts w:ascii="Arial" w:eastAsia="Times New Roman" w:hAnsi="Arial" w:cs="Arial"/>
                <w:b/>
                <w:bCs/>
                <w:i/>
                <w:w w:val="90"/>
                <w:sz w:val="18"/>
                <w:szCs w:val="18"/>
                <w:lang w:val="ca-ES" w:eastAsia="ca-ES"/>
              </w:rPr>
            </w:pPr>
            <w:r w:rsidRPr="002E3064">
              <w:rPr>
                <w:rFonts w:ascii="Arial" w:eastAsia="Times New Roman" w:hAnsi="Arial" w:cs="Arial"/>
                <w:b/>
                <w:bCs/>
                <w:i/>
                <w:w w:val="90"/>
                <w:sz w:val="18"/>
                <w:szCs w:val="18"/>
                <w:lang w:val="ca-ES" w:eastAsia="ca-ES"/>
              </w:rPr>
              <w:t>AJUT MENJADOR ESCOLAR</w:t>
            </w:r>
          </w:p>
        </w:tc>
      </w:tr>
      <w:tr w:rsidR="002E3064" w:rsidRPr="002E3064" w14:paraId="04A4F68C" w14:textId="77777777" w:rsidTr="00A3015F">
        <w:trPr>
          <w:jc w:val="center"/>
        </w:trPr>
        <w:tc>
          <w:tcPr>
            <w:tcW w:w="1555" w:type="dxa"/>
            <w:vMerge/>
            <w:tcBorders>
              <w:top w:val="single" w:sz="4" w:space="0" w:color="000000"/>
              <w:left w:val="single" w:sz="4" w:space="0" w:color="000000"/>
              <w:bottom w:val="single" w:sz="4" w:space="0" w:color="000000"/>
            </w:tcBorders>
            <w:shd w:val="clear" w:color="auto" w:fill="auto"/>
          </w:tcPr>
          <w:p w14:paraId="57A4EA03" w14:textId="77777777" w:rsidR="002E3064" w:rsidRPr="002E3064" w:rsidRDefault="002E3064" w:rsidP="002E3064">
            <w:pPr>
              <w:spacing w:after="0" w:line="240" w:lineRule="auto"/>
              <w:jc w:val="center"/>
              <w:rPr>
                <w:rFonts w:ascii="Arial" w:eastAsia="Times New Roman" w:hAnsi="Arial" w:cs="Arial"/>
                <w:i/>
                <w:w w:val="90"/>
                <w:sz w:val="18"/>
                <w:szCs w:val="18"/>
                <w:lang w:val="ca-ES" w:eastAsia="ca-ES"/>
              </w:rPr>
            </w:pPr>
          </w:p>
        </w:tc>
        <w:tc>
          <w:tcPr>
            <w:tcW w:w="1984" w:type="dxa"/>
            <w:tcBorders>
              <w:top w:val="single" w:sz="4" w:space="0" w:color="000000"/>
              <w:left w:val="single" w:sz="4" w:space="0" w:color="000000"/>
              <w:bottom w:val="single" w:sz="4" w:space="0" w:color="000000"/>
            </w:tcBorders>
          </w:tcPr>
          <w:p w14:paraId="6CB254FF" w14:textId="4FB4BA8F" w:rsidR="002E3064" w:rsidRPr="002E3064" w:rsidRDefault="002E3064" w:rsidP="002E3064">
            <w:pPr>
              <w:spacing w:after="0" w:line="240" w:lineRule="auto"/>
              <w:jc w:val="center"/>
              <w:rPr>
                <w:rFonts w:ascii="Arial" w:eastAsia="Times New Roman" w:hAnsi="Arial" w:cs="Arial"/>
                <w:i/>
                <w:w w:val="90"/>
                <w:sz w:val="18"/>
                <w:szCs w:val="18"/>
                <w:lang w:val="ca-ES" w:eastAsia="ca-ES"/>
              </w:rPr>
            </w:pPr>
            <w:r>
              <w:rPr>
                <w:rFonts w:ascii="Arial" w:eastAsia="Times New Roman" w:hAnsi="Arial" w:cs="Arial"/>
                <w:i/>
                <w:w w:val="90"/>
                <w:sz w:val="18"/>
                <w:szCs w:val="18"/>
                <w:lang w:val="ca-ES" w:eastAsia="ca-ES"/>
              </w:rPr>
              <w:t>ALUMNOS DE</w:t>
            </w:r>
            <w:r w:rsidR="00BA29F6">
              <w:rPr>
                <w:rFonts w:ascii="Arial" w:eastAsia="Times New Roman" w:hAnsi="Arial" w:cs="Arial"/>
                <w:i/>
                <w:w w:val="90"/>
                <w:sz w:val="18"/>
                <w:szCs w:val="18"/>
                <w:lang w:val="ca-ES" w:eastAsia="ca-ES"/>
              </w:rPr>
              <w:t xml:space="preserve"> GUARDERÍA</w:t>
            </w:r>
          </w:p>
        </w:tc>
        <w:tc>
          <w:tcPr>
            <w:tcW w:w="2410" w:type="dxa"/>
            <w:tcBorders>
              <w:top w:val="single" w:sz="4" w:space="0" w:color="000000"/>
              <w:left w:val="single" w:sz="4" w:space="0" w:color="000000"/>
              <w:bottom w:val="single" w:sz="4" w:space="0" w:color="000000"/>
            </w:tcBorders>
            <w:shd w:val="clear" w:color="auto" w:fill="auto"/>
          </w:tcPr>
          <w:p w14:paraId="1073A7A9" w14:textId="45DBA81A" w:rsidR="002E3064" w:rsidRPr="002E3064" w:rsidRDefault="00BA29F6" w:rsidP="002E3064">
            <w:pPr>
              <w:spacing w:after="0" w:line="240" w:lineRule="auto"/>
              <w:jc w:val="center"/>
              <w:rPr>
                <w:rFonts w:ascii="Arial" w:eastAsia="Times New Roman" w:hAnsi="Arial" w:cs="Arial"/>
                <w:i/>
                <w:w w:val="90"/>
                <w:sz w:val="18"/>
                <w:szCs w:val="18"/>
                <w:lang w:val="ca-ES" w:eastAsia="ca-ES"/>
              </w:rPr>
            </w:pPr>
            <w:r>
              <w:rPr>
                <w:rFonts w:ascii="Arial" w:eastAsia="Times New Roman" w:hAnsi="Arial" w:cs="Arial"/>
                <w:i/>
                <w:w w:val="90"/>
                <w:sz w:val="18"/>
                <w:szCs w:val="18"/>
                <w:lang w:val="ca-ES" w:eastAsia="ca-ES"/>
              </w:rPr>
              <w:t>CON AYUDA</w:t>
            </w:r>
            <w:r w:rsidR="002E3064" w:rsidRPr="002E3064">
              <w:rPr>
                <w:rFonts w:ascii="Arial" w:eastAsia="Times New Roman" w:hAnsi="Arial" w:cs="Arial"/>
                <w:i/>
                <w:w w:val="90"/>
                <w:sz w:val="18"/>
                <w:szCs w:val="18"/>
                <w:lang w:val="ca-ES" w:eastAsia="ca-ES"/>
              </w:rPr>
              <w:t xml:space="preserve"> DEL CONSELL COMARCAL</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FF3BCF6" w14:textId="411C4F31" w:rsidR="002E3064" w:rsidRPr="002E3064" w:rsidRDefault="002E3064" w:rsidP="002E3064">
            <w:pPr>
              <w:spacing w:after="0" w:line="240" w:lineRule="auto"/>
              <w:jc w:val="center"/>
              <w:rPr>
                <w:rFonts w:ascii="Arial" w:eastAsia="Times New Roman" w:hAnsi="Arial" w:cs="Arial"/>
                <w:i/>
                <w:w w:val="90"/>
                <w:sz w:val="18"/>
                <w:szCs w:val="18"/>
                <w:lang w:val="ca-ES" w:eastAsia="ca-ES"/>
              </w:rPr>
            </w:pPr>
            <w:r w:rsidRPr="002E3064">
              <w:rPr>
                <w:rFonts w:ascii="Arial" w:eastAsia="Times New Roman" w:hAnsi="Arial" w:cs="Arial"/>
                <w:i/>
                <w:w w:val="90"/>
                <w:sz w:val="18"/>
                <w:szCs w:val="18"/>
                <w:lang w:val="ca-ES" w:eastAsia="ca-ES"/>
              </w:rPr>
              <w:t>S</w:t>
            </w:r>
            <w:r w:rsidR="00BA29F6">
              <w:rPr>
                <w:rFonts w:ascii="Arial" w:eastAsia="Times New Roman" w:hAnsi="Arial" w:cs="Arial"/>
                <w:i/>
                <w:w w:val="90"/>
                <w:sz w:val="18"/>
                <w:szCs w:val="18"/>
                <w:lang w:val="ca-ES" w:eastAsia="ca-ES"/>
              </w:rPr>
              <w:t>IN AYUDA</w:t>
            </w:r>
            <w:r w:rsidRPr="002E3064">
              <w:rPr>
                <w:rFonts w:ascii="Arial" w:eastAsia="Times New Roman" w:hAnsi="Arial" w:cs="Arial"/>
                <w:i/>
                <w:w w:val="90"/>
                <w:sz w:val="18"/>
                <w:szCs w:val="18"/>
                <w:lang w:val="ca-ES" w:eastAsia="ca-ES"/>
              </w:rPr>
              <w:t xml:space="preserve"> DEL CONSELL COMARCAL</w:t>
            </w:r>
          </w:p>
        </w:tc>
      </w:tr>
      <w:tr w:rsidR="002E3064" w:rsidRPr="002E3064" w14:paraId="30018DC1" w14:textId="77777777" w:rsidTr="00A3015F">
        <w:trPr>
          <w:jc w:val="center"/>
        </w:trPr>
        <w:tc>
          <w:tcPr>
            <w:tcW w:w="1555" w:type="dxa"/>
            <w:tcBorders>
              <w:top w:val="single" w:sz="4" w:space="0" w:color="000000"/>
              <w:left w:val="single" w:sz="4" w:space="0" w:color="000000"/>
              <w:bottom w:val="single" w:sz="4" w:space="0" w:color="000000"/>
            </w:tcBorders>
            <w:shd w:val="clear" w:color="auto" w:fill="auto"/>
          </w:tcPr>
          <w:p w14:paraId="47930FC8" w14:textId="08E173D5" w:rsidR="002E3064" w:rsidRPr="002E3064" w:rsidRDefault="002E3064" w:rsidP="002E3064">
            <w:pPr>
              <w:spacing w:after="0" w:line="240" w:lineRule="auto"/>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8 o m</w:t>
            </w:r>
            <w:r w:rsidR="00BA29F6">
              <w:rPr>
                <w:rFonts w:ascii="Arial" w:eastAsia="Times New Roman" w:hAnsi="Arial" w:cs="Arial"/>
                <w:i/>
                <w:sz w:val="18"/>
                <w:szCs w:val="18"/>
                <w:lang w:val="ca-ES" w:eastAsia="ca-ES"/>
              </w:rPr>
              <w:t>á</w:t>
            </w:r>
            <w:r w:rsidRPr="002E3064">
              <w:rPr>
                <w:rFonts w:ascii="Arial" w:eastAsia="Times New Roman" w:hAnsi="Arial" w:cs="Arial"/>
                <w:i/>
                <w:sz w:val="18"/>
                <w:szCs w:val="18"/>
                <w:lang w:val="ca-ES" w:eastAsia="ca-ES"/>
              </w:rPr>
              <w:t xml:space="preserve">s </w:t>
            </w:r>
            <w:proofErr w:type="spellStart"/>
            <w:r w:rsidRPr="002E3064">
              <w:rPr>
                <w:rFonts w:ascii="Arial" w:eastAsia="Times New Roman" w:hAnsi="Arial" w:cs="Arial"/>
                <w:i/>
                <w:sz w:val="18"/>
                <w:szCs w:val="18"/>
                <w:lang w:val="ca-ES" w:eastAsia="ca-ES"/>
              </w:rPr>
              <w:t>punt</w:t>
            </w:r>
            <w:r w:rsidR="00BA29F6">
              <w:rPr>
                <w:rFonts w:ascii="Arial" w:eastAsia="Times New Roman" w:hAnsi="Arial" w:cs="Arial"/>
                <w:i/>
                <w:sz w:val="18"/>
                <w:szCs w:val="18"/>
                <w:lang w:val="ca-ES" w:eastAsia="ca-ES"/>
              </w:rPr>
              <w:t>o</w:t>
            </w:r>
            <w:r w:rsidRPr="002E3064">
              <w:rPr>
                <w:rFonts w:ascii="Arial" w:eastAsia="Times New Roman" w:hAnsi="Arial" w:cs="Arial"/>
                <w:i/>
                <w:sz w:val="18"/>
                <w:szCs w:val="18"/>
                <w:lang w:val="ca-ES" w:eastAsia="ca-ES"/>
              </w:rPr>
              <w:t>s</w:t>
            </w:r>
            <w:proofErr w:type="spellEnd"/>
          </w:p>
        </w:tc>
        <w:tc>
          <w:tcPr>
            <w:tcW w:w="1984" w:type="dxa"/>
            <w:tcBorders>
              <w:top w:val="single" w:sz="4" w:space="0" w:color="000000"/>
              <w:left w:val="single" w:sz="4" w:space="0" w:color="000000"/>
              <w:bottom w:val="single" w:sz="4" w:space="0" w:color="000000"/>
            </w:tcBorders>
          </w:tcPr>
          <w:p w14:paraId="6FD14AF6"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500 €</w:t>
            </w:r>
          </w:p>
        </w:tc>
        <w:tc>
          <w:tcPr>
            <w:tcW w:w="2410" w:type="dxa"/>
            <w:tcBorders>
              <w:top w:val="single" w:sz="4" w:space="0" w:color="000000"/>
              <w:left w:val="single" w:sz="4" w:space="0" w:color="000000"/>
              <w:bottom w:val="single" w:sz="4" w:space="0" w:color="000000"/>
            </w:tcBorders>
            <w:shd w:val="clear" w:color="auto" w:fill="auto"/>
          </w:tcPr>
          <w:p w14:paraId="4B35C15E"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100 €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84812AE"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300 €</w:t>
            </w:r>
          </w:p>
        </w:tc>
      </w:tr>
      <w:tr w:rsidR="002E3064" w:rsidRPr="002E3064" w14:paraId="4B03E8B1" w14:textId="77777777" w:rsidTr="00A3015F">
        <w:trPr>
          <w:jc w:val="center"/>
        </w:trPr>
        <w:tc>
          <w:tcPr>
            <w:tcW w:w="1555" w:type="dxa"/>
            <w:tcBorders>
              <w:top w:val="single" w:sz="4" w:space="0" w:color="000000"/>
              <w:left w:val="single" w:sz="4" w:space="0" w:color="000000"/>
              <w:bottom w:val="single" w:sz="4" w:space="0" w:color="000000"/>
            </w:tcBorders>
            <w:shd w:val="clear" w:color="auto" w:fill="auto"/>
          </w:tcPr>
          <w:p w14:paraId="46A7F835" w14:textId="19C5E900" w:rsidR="002E3064" w:rsidRPr="002E3064" w:rsidRDefault="002E3064" w:rsidP="002E3064">
            <w:pPr>
              <w:spacing w:after="0" w:line="240" w:lineRule="auto"/>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 xml:space="preserve">6 o 7 </w:t>
            </w:r>
            <w:proofErr w:type="spellStart"/>
            <w:r w:rsidRPr="002E3064">
              <w:rPr>
                <w:rFonts w:ascii="Arial" w:eastAsia="Times New Roman" w:hAnsi="Arial" w:cs="Arial"/>
                <w:i/>
                <w:sz w:val="18"/>
                <w:szCs w:val="18"/>
                <w:lang w:val="ca-ES" w:eastAsia="ca-ES"/>
              </w:rPr>
              <w:t>punt</w:t>
            </w:r>
            <w:r w:rsidR="00BA29F6">
              <w:rPr>
                <w:rFonts w:ascii="Arial" w:eastAsia="Times New Roman" w:hAnsi="Arial" w:cs="Arial"/>
                <w:i/>
                <w:sz w:val="18"/>
                <w:szCs w:val="18"/>
                <w:lang w:val="ca-ES" w:eastAsia="ca-ES"/>
              </w:rPr>
              <w:t>o</w:t>
            </w:r>
            <w:r w:rsidRPr="002E3064">
              <w:rPr>
                <w:rFonts w:ascii="Arial" w:eastAsia="Times New Roman" w:hAnsi="Arial" w:cs="Arial"/>
                <w:i/>
                <w:sz w:val="18"/>
                <w:szCs w:val="18"/>
                <w:lang w:val="ca-ES" w:eastAsia="ca-ES"/>
              </w:rPr>
              <w:t>s</w:t>
            </w:r>
            <w:proofErr w:type="spellEnd"/>
          </w:p>
        </w:tc>
        <w:tc>
          <w:tcPr>
            <w:tcW w:w="1984" w:type="dxa"/>
            <w:tcBorders>
              <w:top w:val="single" w:sz="4" w:space="0" w:color="000000"/>
              <w:left w:val="single" w:sz="4" w:space="0" w:color="000000"/>
              <w:bottom w:val="single" w:sz="4" w:space="0" w:color="000000"/>
            </w:tcBorders>
          </w:tcPr>
          <w:p w14:paraId="34E9F3F4"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380 €</w:t>
            </w:r>
          </w:p>
        </w:tc>
        <w:tc>
          <w:tcPr>
            <w:tcW w:w="2410" w:type="dxa"/>
            <w:tcBorders>
              <w:top w:val="single" w:sz="4" w:space="0" w:color="000000"/>
              <w:left w:val="single" w:sz="4" w:space="0" w:color="000000"/>
              <w:bottom w:val="single" w:sz="4" w:space="0" w:color="000000"/>
            </w:tcBorders>
            <w:shd w:val="clear" w:color="auto" w:fill="auto"/>
          </w:tcPr>
          <w:p w14:paraId="0E40A44C"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80 €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60EBA41D"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200 €</w:t>
            </w:r>
          </w:p>
        </w:tc>
      </w:tr>
      <w:tr w:rsidR="002E3064" w:rsidRPr="002E3064" w14:paraId="400338EC" w14:textId="77777777" w:rsidTr="00A3015F">
        <w:trPr>
          <w:jc w:val="center"/>
        </w:trPr>
        <w:tc>
          <w:tcPr>
            <w:tcW w:w="1555" w:type="dxa"/>
            <w:tcBorders>
              <w:top w:val="single" w:sz="4" w:space="0" w:color="000000"/>
              <w:left w:val="single" w:sz="4" w:space="0" w:color="000000"/>
              <w:bottom w:val="single" w:sz="4" w:space="0" w:color="000000"/>
            </w:tcBorders>
            <w:shd w:val="clear" w:color="auto" w:fill="auto"/>
          </w:tcPr>
          <w:p w14:paraId="7002A750" w14:textId="58885F38" w:rsidR="002E3064" w:rsidRPr="002E3064" w:rsidRDefault="002E3064" w:rsidP="002E3064">
            <w:pPr>
              <w:spacing w:after="0" w:line="240" w:lineRule="auto"/>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 xml:space="preserve">4 o 5  </w:t>
            </w:r>
            <w:proofErr w:type="spellStart"/>
            <w:r w:rsidRPr="002E3064">
              <w:rPr>
                <w:rFonts w:ascii="Arial" w:eastAsia="Times New Roman" w:hAnsi="Arial" w:cs="Arial"/>
                <w:i/>
                <w:sz w:val="18"/>
                <w:szCs w:val="18"/>
                <w:lang w:val="ca-ES" w:eastAsia="ca-ES"/>
              </w:rPr>
              <w:t>punt</w:t>
            </w:r>
            <w:r w:rsidR="00BA29F6">
              <w:rPr>
                <w:rFonts w:ascii="Arial" w:eastAsia="Times New Roman" w:hAnsi="Arial" w:cs="Arial"/>
                <w:i/>
                <w:sz w:val="18"/>
                <w:szCs w:val="18"/>
                <w:lang w:val="ca-ES" w:eastAsia="ca-ES"/>
              </w:rPr>
              <w:t>o</w:t>
            </w:r>
            <w:r w:rsidRPr="002E3064">
              <w:rPr>
                <w:rFonts w:ascii="Arial" w:eastAsia="Times New Roman" w:hAnsi="Arial" w:cs="Arial"/>
                <w:i/>
                <w:sz w:val="18"/>
                <w:szCs w:val="18"/>
                <w:lang w:val="ca-ES" w:eastAsia="ca-ES"/>
              </w:rPr>
              <w:t>s</w:t>
            </w:r>
            <w:proofErr w:type="spellEnd"/>
          </w:p>
        </w:tc>
        <w:tc>
          <w:tcPr>
            <w:tcW w:w="1984" w:type="dxa"/>
            <w:tcBorders>
              <w:top w:val="single" w:sz="4" w:space="0" w:color="000000"/>
              <w:left w:val="single" w:sz="4" w:space="0" w:color="000000"/>
              <w:bottom w:val="single" w:sz="4" w:space="0" w:color="000000"/>
            </w:tcBorders>
          </w:tcPr>
          <w:p w14:paraId="30D9A02C"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200 €</w:t>
            </w:r>
          </w:p>
        </w:tc>
        <w:tc>
          <w:tcPr>
            <w:tcW w:w="2410" w:type="dxa"/>
            <w:tcBorders>
              <w:top w:val="single" w:sz="4" w:space="0" w:color="000000"/>
              <w:left w:val="single" w:sz="4" w:space="0" w:color="000000"/>
              <w:bottom w:val="single" w:sz="4" w:space="0" w:color="000000"/>
            </w:tcBorders>
            <w:shd w:val="clear" w:color="auto" w:fill="auto"/>
          </w:tcPr>
          <w:p w14:paraId="27E2986B"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60 €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3AFE11F2"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100 €</w:t>
            </w:r>
          </w:p>
        </w:tc>
      </w:tr>
      <w:tr w:rsidR="002E3064" w:rsidRPr="002E3064" w14:paraId="0C69B1F3" w14:textId="77777777" w:rsidTr="00A3015F">
        <w:trPr>
          <w:jc w:val="center"/>
        </w:trPr>
        <w:tc>
          <w:tcPr>
            <w:tcW w:w="1555" w:type="dxa"/>
            <w:tcBorders>
              <w:top w:val="single" w:sz="4" w:space="0" w:color="000000"/>
              <w:left w:val="single" w:sz="4" w:space="0" w:color="000000"/>
              <w:bottom w:val="single" w:sz="4" w:space="0" w:color="000000"/>
            </w:tcBorders>
            <w:shd w:val="clear" w:color="auto" w:fill="auto"/>
          </w:tcPr>
          <w:p w14:paraId="56AB7E90" w14:textId="02B9C65B" w:rsidR="002E3064" w:rsidRPr="002E3064" w:rsidRDefault="002E3064" w:rsidP="002E3064">
            <w:pPr>
              <w:spacing w:after="0" w:line="240" w:lineRule="auto"/>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 xml:space="preserve">De 1 a 3 </w:t>
            </w:r>
            <w:proofErr w:type="spellStart"/>
            <w:r w:rsidRPr="002E3064">
              <w:rPr>
                <w:rFonts w:ascii="Arial" w:eastAsia="Times New Roman" w:hAnsi="Arial" w:cs="Arial"/>
                <w:i/>
                <w:sz w:val="18"/>
                <w:szCs w:val="18"/>
                <w:lang w:val="ca-ES" w:eastAsia="ca-ES"/>
              </w:rPr>
              <w:t>punt</w:t>
            </w:r>
            <w:r w:rsidR="00BA29F6">
              <w:rPr>
                <w:rFonts w:ascii="Arial" w:eastAsia="Times New Roman" w:hAnsi="Arial" w:cs="Arial"/>
                <w:i/>
                <w:sz w:val="18"/>
                <w:szCs w:val="18"/>
                <w:lang w:val="ca-ES" w:eastAsia="ca-ES"/>
              </w:rPr>
              <w:t>o</w:t>
            </w:r>
            <w:r w:rsidRPr="002E3064">
              <w:rPr>
                <w:rFonts w:ascii="Arial" w:eastAsia="Times New Roman" w:hAnsi="Arial" w:cs="Arial"/>
                <w:i/>
                <w:sz w:val="18"/>
                <w:szCs w:val="18"/>
                <w:lang w:val="ca-ES" w:eastAsia="ca-ES"/>
              </w:rPr>
              <w:t>s</w:t>
            </w:r>
            <w:proofErr w:type="spellEnd"/>
          </w:p>
        </w:tc>
        <w:tc>
          <w:tcPr>
            <w:tcW w:w="1984" w:type="dxa"/>
            <w:tcBorders>
              <w:top w:val="single" w:sz="4" w:space="0" w:color="000000"/>
              <w:left w:val="single" w:sz="4" w:space="0" w:color="000000"/>
              <w:bottom w:val="single" w:sz="4" w:space="0" w:color="000000"/>
            </w:tcBorders>
          </w:tcPr>
          <w:p w14:paraId="0C23496F"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100 €</w:t>
            </w:r>
          </w:p>
        </w:tc>
        <w:tc>
          <w:tcPr>
            <w:tcW w:w="2410" w:type="dxa"/>
            <w:tcBorders>
              <w:top w:val="single" w:sz="4" w:space="0" w:color="000000"/>
              <w:left w:val="single" w:sz="4" w:space="0" w:color="000000"/>
              <w:bottom w:val="single" w:sz="4" w:space="0" w:color="000000"/>
            </w:tcBorders>
            <w:shd w:val="clear" w:color="auto" w:fill="auto"/>
          </w:tcPr>
          <w:p w14:paraId="40C4E91D"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40 €</w:t>
            </w:r>
          </w:p>
        </w:tc>
        <w:tc>
          <w:tcPr>
            <w:tcW w:w="2410" w:type="dxa"/>
            <w:tcBorders>
              <w:top w:val="single" w:sz="4" w:space="0" w:color="000000"/>
              <w:left w:val="single" w:sz="4" w:space="0" w:color="000000"/>
              <w:bottom w:val="single" w:sz="4" w:space="0" w:color="000000"/>
              <w:right w:val="single" w:sz="4" w:space="0" w:color="000000"/>
            </w:tcBorders>
            <w:shd w:val="clear" w:color="auto" w:fill="auto"/>
          </w:tcPr>
          <w:p w14:paraId="5D2FC371" w14:textId="77777777" w:rsidR="002E3064" w:rsidRPr="002E3064" w:rsidRDefault="002E3064" w:rsidP="002E3064">
            <w:pPr>
              <w:spacing w:after="0" w:line="240" w:lineRule="auto"/>
              <w:jc w:val="center"/>
              <w:rPr>
                <w:rFonts w:ascii="Arial" w:eastAsia="Times New Roman" w:hAnsi="Arial" w:cs="Arial"/>
                <w:i/>
                <w:sz w:val="18"/>
                <w:szCs w:val="18"/>
                <w:lang w:val="ca-ES" w:eastAsia="ca-ES"/>
              </w:rPr>
            </w:pPr>
            <w:r w:rsidRPr="002E3064">
              <w:rPr>
                <w:rFonts w:ascii="Arial" w:eastAsia="Times New Roman" w:hAnsi="Arial" w:cs="Arial"/>
                <w:i/>
                <w:sz w:val="18"/>
                <w:szCs w:val="18"/>
                <w:lang w:val="ca-ES" w:eastAsia="ca-ES"/>
              </w:rPr>
              <w:t>60 €</w:t>
            </w:r>
          </w:p>
        </w:tc>
      </w:tr>
    </w:tbl>
    <w:p w14:paraId="052EF69D" w14:textId="77777777" w:rsidR="00AA2C98" w:rsidRPr="00AA2C98" w:rsidRDefault="00AA2C98" w:rsidP="00AA2C98">
      <w:pPr>
        <w:jc w:val="both"/>
        <w:rPr>
          <w:rFonts w:ascii="Arial" w:hAnsi="Arial" w:cs="Arial"/>
          <w:sz w:val="20"/>
          <w:szCs w:val="20"/>
        </w:rPr>
      </w:pPr>
    </w:p>
    <w:p w14:paraId="75B7A4DF"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 xml:space="preserve">La nota de corte se asignará en función de la disponibilidad presupuestaria. </w:t>
      </w:r>
    </w:p>
    <w:p w14:paraId="213CF5ED"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w:t>
      </w:r>
      <w:r w:rsidRPr="00AA2C98">
        <w:rPr>
          <w:rFonts w:ascii="Arial" w:hAnsi="Arial" w:cs="Arial"/>
          <w:sz w:val="20"/>
          <w:szCs w:val="20"/>
        </w:rPr>
        <w:tab/>
        <w:t xml:space="preserve">Si se diera el caso que de acuerdo con la puntuación obtenida y aplicados los importes máximos correspondientes a cada tipo de ayuda, la suma total de ayudas superara el crédito presupuestario consignado a la convocatoria, el </w:t>
      </w:r>
      <w:proofErr w:type="gramStart"/>
      <w:r w:rsidRPr="00AA2C98">
        <w:rPr>
          <w:rFonts w:ascii="Arial" w:hAnsi="Arial" w:cs="Arial"/>
          <w:sz w:val="20"/>
          <w:szCs w:val="20"/>
        </w:rPr>
        <w:t>criterio seria</w:t>
      </w:r>
      <w:proofErr w:type="gramEnd"/>
      <w:r w:rsidRPr="00AA2C98">
        <w:rPr>
          <w:rFonts w:ascii="Arial" w:hAnsi="Arial" w:cs="Arial"/>
          <w:sz w:val="20"/>
          <w:szCs w:val="20"/>
        </w:rPr>
        <w:t xml:space="preserve"> aplicar una reducción proporcional a cada menor del tramo con más puntuación que no se ha podido otorgar por carencia de partida presupuestaría.</w:t>
      </w:r>
    </w:p>
    <w:p w14:paraId="3AB342C4" w14:textId="77777777" w:rsidR="00AA2C98" w:rsidRPr="00AA2C98" w:rsidRDefault="00AA2C98" w:rsidP="00AA2C98">
      <w:pPr>
        <w:jc w:val="both"/>
        <w:rPr>
          <w:rFonts w:ascii="Arial" w:hAnsi="Arial" w:cs="Arial"/>
          <w:sz w:val="20"/>
          <w:szCs w:val="20"/>
        </w:rPr>
      </w:pPr>
    </w:p>
    <w:p w14:paraId="0A151F7D" w14:textId="77777777" w:rsidR="00AA2C98" w:rsidRPr="00AA2C98" w:rsidRDefault="00AA2C98" w:rsidP="00AA2C98">
      <w:pPr>
        <w:jc w:val="both"/>
        <w:rPr>
          <w:rFonts w:ascii="Arial" w:hAnsi="Arial" w:cs="Arial"/>
          <w:sz w:val="20"/>
          <w:szCs w:val="20"/>
        </w:rPr>
      </w:pPr>
      <w:r w:rsidRPr="00AA2C98">
        <w:rPr>
          <w:rFonts w:ascii="Arial" w:hAnsi="Arial" w:cs="Arial"/>
          <w:sz w:val="20"/>
          <w:szCs w:val="20"/>
        </w:rPr>
        <w:t>Las ayudas se otorgarán sin necesidad de agotar la totalidad del gasto máximo autorizado.</w:t>
      </w:r>
    </w:p>
    <w:p w14:paraId="6765C06B" w14:textId="77777777" w:rsidR="00AA2C98" w:rsidRPr="002E3064" w:rsidRDefault="00AA2C98" w:rsidP="00AA2C98">
      <w:pPr>
        <w:jc w:val="both"/>
        <w:rPr>
          <w:rFonts w:ascii="Arial" w:hAnsi="Arial" w:cs="Arial"/>
          <w:b/>
          <w:bCs/>
          <w:sz w:val="20"/>
          <w:szCs w:val="20"/>
          <w:u w:val="single"/>
        </w:rPr>
      </w:pPr>
      <w:r w:rsidRPr="002E3064">
        <w:rPr>
          <w:rFonts w:ascii="Arial" w:hAnsi="Arial" w:cs="Arial"/>
          <w:b/>
          <w:bCs/>
          <w:sz w:val="20"/>
          <w:szCs w:val="20"/>
          <w:u w:val="single"/>
        </w:rPr>
        <w:t>13.- Medios de notificación o publicación</w:t>
      </w:r>
    </w:p>
    <w:p w14:paraId="7791CA35" w14:textId="4593CA0C" w:rsidR="00450D30" w:rsidRPr="00AA2C98" w:rsidRDefault="00AA2C98" w:rsidP="00AA2C98">
      <w:pPr>
        <w:jc w:val="both"/>
        <w:rPr>
          <w:rFonts w:ascii="Arial" w:hAnsi="Arial" w:cs="Arial"/>
          <w:sz w:val="20"/>
          <w:szCs w:val="20"/>
        </w:rPr>
      </w:pPr>
      <w:r w:rsidRPr="00AA2C98">
        <w:rPr>
          <w:rFonts w:ascii="Arial" w:hAnsi="Arial" w:cs="Arial"/>
          <w:sz w:val="20"/>
          <w:szCs w:val="20"/>
        </w:rPr>
        <w:t>Las subvenciones otorgadas al amparo de estas bases serán objeto de publicidad, con indicación de la convocatoria, la aplicación presupuestaria, el/la beneficiario/aria, la cantidad concedida, la finalidad de la subvención, los diferentes proyectos o programas subvencionados y los participantes en cada proyecto o programa subvencionado, conforme se vayan publicando al Sistema Nacional de Publicidad de Subvenciones, a través de su remisión a la Base de datos Nacional de Subvenciones.</w:t>
      </w:r>
    </w:p>
    <w:sectPr w:rsidR="00450D30" w:rsidRPr="00AA2C9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C98"/>
    <w:rsid w:val="002E3064"/>
    <w:rsid w:val="00450D30"/>
    <w:rsid w:val="005330E8"/>
    <w:rsid w:val="00AA2C98"/>
    <w:rsid w:val="00BA29F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74B4"/>
  <w15:chartTrackingRefBased/>
  <w15:docId w15:val="{73F02BA9-CB9E-40B4-8C43-2706BC5AF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2416</Words>
  <Characters>13288</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Iolanda Mercade</dc:creator>
  <cp:keywords/>
  <dc:description/>
  <cp:lastModifiedBy>Iolanda Mercade</cp:lastModifiedBy>
  <cp:revision>1</cp:revision>
  <dcterms:created xsi:type="dcterms:W3CDTF">2024-05-02T10:51:00Z</dcterms:created>
  <dcterms:modified xsi:type="dcterms:W3CDTF">2024-05-02T11:10:00Z</dcterms:modified>
</cp:coreProperties>
</file>