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jc w:val="right"/>
        <w:rPr>
          <w:b w:val="false"/>
          <w:b w:val="false"/>
          <w:bCs w:val="false"/>
          <w:color w:val="000000"/>
          <w:szCs w:val="22"/>
          <w:u w:val="none"/>
          <w:lang w:val="es-ES" w:eastAsia="zh-CN" w:bidi="ar-SA"/>
        </w:rPr>
      </w:pPr>
      <w:r>
        <w:rPr>
          <w:b w:val="false"/>
          <w:bCs w:val="false"/>
          <w:color w:val="000000"/>
          <w:szCs w:val="22"/>
          <w:u w:val="none"/>
          <w:lang w:val="es-ES" w:eastAsia="zh-CN" w:bidi="ar-SA"/>
        </w:rPr>
        <w:t>Versión castellano</w:t>
      </w:r>
    </w:p>
    <w:p>
      <w:pPr>
        <w:pStyle w:val="Normal"/>
        <w:bidi w:val="0"/>
        <w:spacing w:lineRule="auto" w:line="276" w:before="113" w:after="113"/>
        <w:jc w:val="both"/>
        <w:rPr>
          <w:lang w:val="es-ES"/>
        </w:rPr>
      </w:pPr>
      <w:r>
        <w:rPr>
          <w:b/>
          <w:bCs/>
          <w:color w:val="000000"/>
          <w:szCs w:val="22"/>
          <w:lang w:val="es-ES" w:eastAsia="zh-CN" w:bidi="ar-SA"/>
        </w:rPr>
        <w:t xml:space="preserve">ANUNCIO DEL AYUNTAMIENTO DE XERACO SOBRE SOBRE APROBACIÓN DE  CONVOCATORIA Y BASES ESPECÍFICAS REGULADORAS PARA LAS AYUDAS A DEPORTISTAS DE ÉLITE (PROMOCIÓN Y ALTA COMPETICIÓN) Y DEPORTISTAS DE ALTO NIVEL DE XERACO, EJERCICIO 2024 </w:t>
      </w:r>
      <w:r>
        <w:rPr>
          <w:rFonts w:eastAsia="Times New Roman" w:cs="Arial"/>
          <w:b/>
          <w:bCs/>
          <w:i w:val="false"/>
          <w:caps w:val="false"/>
          <w:smallCaps w:val="false"/>
          <w:color w:val="00000A"/>
          <w:spacing w:val="0"/>
          <w:sz w:val="22"/>
          <w:szCs w:val="22"/>
          <w:u w:val="none"/>
          <w:lang w:val="es-ES" w:eastAsia="zh-CN" w:bidi="ar-SA"/>
        </w:rPr>
        <w:t>DENTRO DEL ÁREA DE DEPORTES DEL AYUNTAMIENTO DE XERACO</w:t>
      </w:r>
      <w:r>
        <w:rPr>
          <w:rFonts w:eastAsia="Times New Roman" w:cs="Arial"/>
          <w:b/>
          <w:bCs/>
          <w:i w:val="false"/>
          <w:caps w:val="false"/>
          <w:smallCaps w:val="false"/>
          <w:color w:val="000000"/>
          <w:spacing w:val="0"/>
          <w:sz w:val="22"/>
          <w:szCs w:val="22"/>
          <w:u w:val="none"/>
          <w:lang w:val="es-ES" w:eastAsia="zh-CN" w:bidi="ar-SA"/>
        </w:rPr>
        <w:t>. EXP. 339/2024</w:t>
      </w:r>
      <w:r>
        <w:rPr>
          <w:rFonts w:eastAsia="Times New Roman" w:cs="Arial"/>
          <w:b/>
          <w:bCs/>
          <w:i w:val="false"/>
          <w:caps w:val="false"/>
          <w:smallCaps w:val="false"/>
          <w:color w:val="00000A"/>
          <w:spacing w:val="0"/>
          <w:sz w:val="22"/>
          <w:szCs w:val="22"/>
          <w:u w:val="none"/>
          <w:lang w:val="es-ES" w:eastAsia="zh-CN" w:bidi="ar-SA"/>
        </w:rPr>
        <w:t xml:space="preserve"> </w:t>
      </w:r>
    </w:p>
    <w:p>
      <w:pPr>
        <w:pStyle w:val="Normal"/>
        <w:widowControl/>
        <w:suppressAutoHyphens w:val="true"/>
        <w:bidi w:val="0"/>
        <w:spacing w:lineRule="auto" w:line="276" w:before="113" w:after="113"/>
        <w:ind w:left="0" w:right="0" w:hanging="0"/>
        <w:jc w:val="both"/>
        <w:rPr/>
      </w:pPr>
      <w:r>
        <w:rPr>
          <w:rFonts w:cs="Arial"/>
          <w:color w:val="000000"/>
          <w:sz w:val="22"/>
          <w:szCs w:val="22"/>
          <w:lang w:val="es-ES" w:eastAsia="zh-CN" w:bidi="ar-SA"/>
        </w:rPr>
        <w:t xml:space="preserve">La Concejalía delegada de Agricultura y Deportes del Ayuntamiento de Xeraco, en </w:t>
      </w:r>
      <w:r>
        <w:rPr>
          <w:rFonts w:eastAsia="Times New Roman" w:cs="Arial"/>
          <w:color w:val="000000"/>
          <w:sz w:val="22"/>
          <w:szCs w:val="22"/>
          <w:lang w:val="es-ES" w:eastAsia="zh-CN" w:bidi="ar-SA"/>
        </w:rPr>
        <w:t xml:space="preserve">fecha </w:t>
      </w:r>
      <w:r>
        <w:rPr>
          <w:rFonts w:eastAsia="Times New Roman" w:cs="Arial"/>
          <w:color w:val="000000"/>
          <w:sz w:val="22"/>
          <w:szCs w:val="22"/>
          <w:lang w:val="es-ES" w:eastAsia="zh-CN" w:bidi="ar-SA"/>
        </w:rPr>
        <w:t>25</w:t>
      </w:r>
      <w:r>
        <w:rPr>
          <w:rFonts w:eastAsia="Times New Roman" w:cs="Arial"/>
          <w:color w:val="000000"/>
          <w:sz w:val="22"/>
          <w:szCs w:val="22"/>
          <w:lang w:val="es-ES" w:eastAsia="zh-CN" w:bidi="ar-SA"/>
        </w:rPr>
        <w:t xml:space="preserve"> de abril de 2024</w:t>
      </w:r>
      <w:r>
        <w:rPr>
          <w:rFonts w:cs="Arial"/>
          <w:color w:val="000000"/>
          <w:sz w:val="22"/>
          <w:szCs w:val="22"/>
          <w:lang w:val="es-ES" w:eastAsia="zh-CN" w:bidi="ar-SA"/>
        </w:rPr>
        <w:t xml:space="preserve">, ha adoptado la resolución núm. </w:t>
      </w:r>
      <w:r>
        <w:rPr>
          <w:rFonts w:cs="Arial"/>
          <w:color w:val="000000"/>
          <w:sz w:val="22"/>
          <w:szCs w:val="22"/>
          <w:lang w:val="es-ES" w:eastAsia="zh-CN" w:bidi="ar-SA"/>
        </w:rPr>
        <w:t>202</w:t>
      </w:r>
      <w:r>
        <w:rPr>
          <w:rFonts w:cs="Arial"/>
          <w:color w:val="000000"/>
          <w:sz w:val="22"/>
          <w:szCs w:val="22"/>
          <w:lang w:val="es-ES" w:eastAsia="zh-CN" w:bidi="ar-SA"/>
        </w:rPr>
        <w:t>4</w:t>
      </w:r>
      <w:r>
        <w:rPr>
          <w:rFonts w:eastAsia="Times New Roman" w:cs="Arial"/>
          <w:color w:val="000000"/>
          <w:sz w:val="22"/>
          <w:szCs w:val="22"/>
          <w:lang w:val="es-ES" w:eastAsia="zh-CN" w:bidi="ar-SA"/>
        </w:rPr>
        <w:t>-0</w:t>
      </w:r>
      <w:r>
        <w:rPr>
          <w:rFonts w:eastAsia="Times New Roman" w:cs="Arial"/>
          <w:color w:val="000000"/>
          <w:sz w:val="22"/>
          <w:szCs w:val="22"/>
          <w:lang w:val="es-ES" w:eastAsia="zh-CN" w:bidi="ar-SA"/>
        </w:rPr>
        <w:t>356</w:t>
      </w:r>
      <w:r>
        <w:rPr>
          <w:rFonts w:cs="Arial"/>
          <w:color w:val="000000"/>
          <w:sz w:val="22"/>
          <w:szCs w:val="22"/>
          <w:lang w:val="es-ES" w:eastAsia="zh-CN" w:bidi="ar-SA"/>
        </w:rPr>
        <w:t xml:space="preserve"> cuya parte dispositiva resuelve lo siguiente: </w:t>
      </w:r>
    </w:p>
    <w:p>
      <w:pPr>
        <w:pStyle w:val="Normal"/>
        <w:widowControl/>
        <w:suppressAutoHyphens w:val="true"/>
        <w:bidi w:val="0"/>
        <w:spacing w:lineRule="auto" w:line="276" w:before="113" w:after="113"/>
        <w:ind w:left="0" w:right="21" w:hanging="0"/>
        <w:jc w:val="both"/>
        <w:rPr>
          <w:lang w:val="es-ES"/>
        </w:rPr>
      </w:pPr>
      <w:r>
        <w:rPr>
          <w:rFonts w:cs="Arial"/>
          <w:b/>
          <w:bCs/>
          <w:color w:val="000000"/>
          <w:sz w:val="22"/>
          <w:szCs w:val="22"/>
          <w:lang w:val="es-ES" w:eastAsia="zh-CN" w:bidi="ar-SA"/>
        </w:rPr>
        <w:t xml:space="preserve">« PRIMERO. </w:t>
      </w:r>
      <w:r>
        <w:rPr>
          <w:rFonts w:cs="Arial"/>
          <w:b w:val="false"/>
          <w:bCs w:val="false"/>
          <w:color w:val="000000"/>
          <w:sz w:val="22"/>
          <w:szCs w:val="22"/>
          <w:lang w:val="es-ES" w:eastAsia="zh-CN" w:bidi="ar-SA"/>
        </w:rPr>
        <w:t>Aprobar las bases reguladoras para la concesión directa de ayudas económico-deportivas a deportistas de élite y alta competición y deportistas de alto nivel del municipio de Xeraco, según el anexo de bases que figura en el expediente.</w:t>
      </w:r>
    </w:p>
    <w:p>
      <w:pPr>
        <w:pStyle w:val="Normal"/>
        <w:widowControl/>
        <w:suppressAutoHyphens w:val="true"/>
        <w:bidi w:val="0"/>
        <w:spacing w:lineRule="auto" w:line="276" w:before="113" w:after="113"/>
        <w:ind w:left="0" w:right="21" w:hanging="0"/>
        <w:jc w:val="both"/>
        <w:rPr>
          <w:lang w:val="es-ES"/>
        </w:rPr>
      </w:pPr>
      <w:r>
        <w:rPr>
          <w:rFonts w:eastAsia="Lucida Sans Unicode" w:cs="Arial"/>
          <w:b/>
          <w:bCs/>
          <w:color w:val="000000"/>
          <w:sz w:val="22"/>
          <w:szCs w:val="22"/>
          <w:lang w:val="es-ES" w:eastAsia="zh-CN" w:bidi="ar-SA"/>
        </w:rPr>
        <w:t xml:space="preserve">SEGUNDO. </w:t>
      </w:r>
      <w:r>
        <w:rPr>
          <w:rFonts w:eastAsia="Lucida Sans Unicode" w:cs="Arial"/>
          <w:b w:val="false"/>
          <w:bCs w:val="false"/>
          <w:color w:val="000000"/>
          <w:sz w:val="22"/>
          <w:szCs w:val="22"/>
          <w:lang w:val="es-ES" w:eastAsia="zh-CN" w:bidi="ar-SA"/>
        </w:rPr>
        <w:t>Aprobar la convocatoria para la concesión directa de ayudas económico-deportivas a deportistas de élite y alta competición y deportistas de alto nivel del municipio de Xeraco correspondiendo al ejercicio 2024, de acuerdo con aquello establecido en la Ordenanza General de Concesión de subvenciones de Xeraco, con la Ley General de Subvenciones y con las bases reguladoras de esta convocatoria.</w:t>
      </w:r>
    </w:p>
    <w:p>
      <w:pPr>
        <w:pStyle w:val="Normal"/>
        <w:widowControl/>
        <w:suppressAutoHyphens w:val="true"/>
        <w:bidi w:val="0"/>
        <w:spacing w:lineRule="auto" w:line="276" w:before="113" w:after="113"/>
        <w:ind w:left="0" w:right="21" w:hanging="0"/>
        <w:jc w:val="both"/>
        <w:rPr>
          <w:lang w:val="es-ES"/>
        </w:rPr>
      </w:pPr>
      <w:r>
        <w:rPr>
          <w:rFonts w:eastAsia="Lucida Sans Unicode" w:cs="Arial"/>
          <w:b/>
          <w:bCs/>
          <w:color w:val="000000"/>
          <w:sz w:val="22"/>
          <w:szCs w:val="22"/>
          <w:lang w:val="es-ES" w:eastAsia="zh-CN" w:bidi="ar-SA"/>
        </w:rPr>
        <w:t xml:space="preserve">TERCERO. </w:t>
      </w:r>
      <w:r>
        <w:rPr>
          <w:rFonts w:eastAsia="Lucida Sans Unicode" w:cs="Arial"/>
          <w:b w:val="false"/>
          <w:bCs w:val="false"/>
          <w:color w:val="000000"/>
          <w:sz w:val="22"/>
          <w:szCs w:val="22"/>
          <w:lang w:val="es-ES" w:eastAsia="zh-CN" w:bidi="ar-SA"/>
        </w:rPr>
        <w:t>Autorizar el gasto asociado a la convocatoria, que asciende a la cantidad de 5.000 euros, con cargo a la aplicación n.º 3410-48017 "Becas Deportistas de Élite" del presupuesto municipal del ejercicio 2024.</w:t>
      </w:r>
    </w:p>
    <w:p>
      <w:pPr>
        <w:pStyle w:val="Normal"/>
        <w:widowControl/>
        <w:suppressAutoHyphens w:val="true"/>
        <w:bidi w:val="0"/>
        <w:spacing w:lineRule="auto" w:line="276" w:before="113" w:after="113"/>
        <w:ind w:left="0" w:right="21" w:hanging="0"/>
        <w:jc w:val="both"/>
        <w:rPr>
          <w:lang w:val="es-ES"/>
        </w:rPr>
      </w:pPr>
      <w:r>
        <w:rPr>
          <w:rFonts w:eastAsia="Lucida Sans Unicode" w:cs="Arial"/>
          <w:b/>
          <w:bCs/>
          <w:color w:val="000000"/>
          <w:sz w:val="22"/>
          <w:szCs w:val="22"/>
          <w:lang w:val="es-ES" w:eastAsia="zh-CN" w:bidi="ar-SA"/>
        </w:rPr>
        <w:t>CUARTO.</w:t>
      </w:r>
      <w:r>
        <w:rPr>
          <w:rFonts w:eastAsia="Lucida Sans Unicode" w:cs="Arial"/>
          <w:b w:val="false"/>
          <w:bCs w:val="false"/>
          <w:color w:val="000000"/>
          <w:sz w:val="22"/>
          <w:szCs w:val="22"/>
          <w:lang w:val="es-ES" w:eastAsia="zh-CN" w:bidi="ar-SA"/>
        </w:rPr>
        <w:t xml:space="preserve"> Dar la publicidad en las presentes bases y convocatoria en la forma establecida en la Ordenanza General de Concesión de Subvenciones de Xeraco y en la LGS, a través de la BDNS, anuncio en el Tablón de anuncios, web municipal y enlace en el Portal de Transparencia.</w:t>
      </w:r>
    </w:p>
    <w:p>
      <w:pPr>
        <w:pStyle w:val="Normal"/>
        <w:widowControl/>
        <w:suppressAutoHyphens w:val="true"/>
        <w:bidi w:val="0"/>
        <w:spacing w:lineRule="auto" w:line="276" w:before="113" w:after="113"/>
        <w:ind w:left="0" w:right="21" w:hanging="0"/>
        <w:jc w:val="both"/>
        <w:rPr>
          <w:lang w:val="es-ES"/>
        </w:rPr>
      </w:pPr>
      <w:r>
        <w:rPr>
          <w:rFonts w:eastAsia="Lucida Sans Unicode" w:cs="Arial"/>
          <w:b/>
          <w:bCs/>
          <w:color w:val="000000"/>
          <w:sz w:val="22"/>
          <w:szCs w:val="22"/>
          <w:lang w:val="es-ES" w:eastAsia="zh-CN" w:bidi="ar-SA"/>
        </w:rPr>
        <w:t>QUINTO.</w:t>
      </w:r>
      <w:r>
        <w:rPr>
          <w:rFonts w:eastAsia="Lucida Sans Unicode" w:cs="Arial"/>
          <w:b w:val="false"/>
          <w:bCs w:val="false"/>
          <w:color w:val="000000"/>
          <w:sz w:val="22"/>
          <w:szCs w:val="22"/>
          <w:lang w:val="es-ES" w:eastAsia="zh-CN" w:bidi="ar-SA"/>
        </w:rPr>
        <w:t xml:space="preserve"> Contra el acto administrativo transcrito, que es definitivo en vía administrativa y en conformidad con aquello establecido en la Ley 39/2015, de 1 de octubre, del Procedimiento Administrativo Común de las Administraciones Públicas y en la Ley reguladora de la Jurisdicción contencioso-administrativa se podrá interponer recurso potestativo de reposición ante el mismo órgano que lo ha dictado, en el plazo de un mes desde el día siguiente al de la notificación, o directamente recurso contencioso-administrativo ante el Juzgado de lo contencioso-administrativo de Valencia, en el plazo de dos meses desde el día siguiente al de la notificación, todo esto sin perjuicio que pueda utilizar cualquier otra vía de recurso que se estime procedente.</w:t>
      </w:r>
      <w:r>
        <w:rPr>
          <w:rFonts w:eastAsia="Lucida Sans Unicode" w:cs="Arial"/>
          <w:b w:val="false"/>
          <w:bCs w:val="false"/>
          <w:color w:val="00000A"/>
          <w:sz w:val="22"/>
          <w:szCs w:val="24"/>
          <w:lang w:val="es-ES" w:eastAsia="zxx" w:bidi="zxx"/>
        </w:rPr>
        <w:t xml:space="preserve"> </w:t>
      </w:r>
      <w:r>
        <w:rPr>
          <w:rFonts w:cs="Arial"/>
          <w:b/>
          <w:bCs/>
          <w:color w:val="000000"/>
          <w:sz w:val="22"/>
          <w:szCs w:val="22"/>
          <w:lang w:val="es-ES" w:eastAsia="zh-CN" w:bidi="ar-SA"/>
        </w:rPr>
        <w:t>»</w:t>
      </w:r>
    </w:p>
    <w:p>
      <w:pPr>
        <w:pStyle w:val="Normal"/>
        <w:widowControl/>
        <w:suppressAutoHyphens w:val="true"/>
        <w:bidi w:val="0"/>
        <w:spacing w:lineRule="auto" w:line="276" w:before="113" w:after="113"/>
        <w:ind w:left="0" w:right="0" w:hanging="0"/>
        <w:jc w:val="both"/>
        <w:rPr>
          <w:lang w:val="es-ES"/>
        </w:rPr>
      </w:pPr>
      <w:r>
        <w:rPr>
          <w:bCs/>
          <w:color w:val="000000"/>
          <w:szCs w:val="22"/>
          <w:lang w:val="es-ES" w:eastAsia="zh-CN" w:bidi="ar-SA"/>
        </w:rPr>
        <w:t>Lo que se</w:t>
      </w:r>
      <w:r>
        <w:rPr>
          <w:color w:val="000000"/>
          <w:szCs w:val="22"/>
          <w:lang w:val="es-ES" w:eastAsia="zh-CN" w:bidi="ar-SA"/>
        </w:rPr>
        <w:t xml:space="preserve"> hace público para su conocimiento general, y de conformidad con lo que lo dispuesto en el  el  artículo 70.2 de la Ley 7/1985, de 2 de abril, Reguladora de las Bases de Régimen Local y el artículo 18 de la </w:t>
      </w:r>
      <w:r>
        <w:rPr>
          <w:rFonts w:cs="Arial"/>
          <w:b w:val="false"/>
          <w:bCs w:val="false"/>
          <w:i w:val="false"/>
          <w:caps w:val="false"/>
          <w:smallCaps w:val="false"/>
          <w:color w:val="000000"/>
          <w:spacing w:val="0"/>
          <w:szCs w:val="22"/>
          <w:lang w:val="es-ES" w:eastAsia="zh-CN" w:bidi="ar-SA"/>
        </w:rPr>
        <w:t>Ley 38/2003, de 17 de noviembre, General de Subvenciones.</w:t>
      </w:r>
    </w:p>
    <w:p>
      <w:pPr>
        <w:pStyle w:val="Normal"/>
        <w:bidi w:val="0"/>
        <w:spacing w:lineRule="auto" w:line="276" w:before="113" w:after="113"/>
        <w:ind w:left="0" w:right="21" w:hanging="0"/>
        <w:jc w:val="both"/>
        <w:rPr>
          <w:lang w:val="es-ES"/>
        </w:rPr>
      </w:pPr>
      <w:r>
        <w:rPr>
          <w:rFonts w:eastAsia="Arial" w:cs="Arial"/>
          <w:b w:val="false"/>
          <w:bCs w:val="false"/>
          <w:i w:val="false"/>
          <w:iCs w:val="false"/>
          <w:color w:val="000000"/>
          <w:sz w:val="22"/>
          <w:szCs w:val="32"/>
          <w:u w:val="none"/>
          <w:lang w:val="es-ES" w:eastAsia="zh-CN" w:bidi="ar-SA"/>
        </w:rPr>
        <w:t xml:space="preserve">PRESENTACIÓN DE INSTANCIAS </w:t>
      </w:r>
      <w:r>
        <w:rPr>
          <w:rFonts w:eastAsia="Arial" w:cs="Arial"/>
          <w:b/>
          <w:bCs/>
          <w:i w:val="false"/>
          <w:iCs w:val="false"/>
          <w:color w:val="000000"/>
          <w:sz w:val="22"/>
          <w:szCs w:val="32"/>
          <w:u w:val="none"/>
          <w:lang w:val="es-ES" w:eastAsia="zh-CN" w:bidi="ar-SA"/>
        </w:rPr>
        <w:t>(HAY QUE ESTAR PENDIENTES DE LA PUBLICACIÓN DEL ANUNCIO EN EL BOP DE VALENCIA)</w:t>
      </w:r>
    </w:p>
    <w:p>
      <w:pPr>
        <w:pStyle w:val="Normal"/>
        <w:bidi w:val="0"/>
        <w:spacing w:lineRule="auto" w:line="276" w:before="113" w:after="113"/>
        <w:ind w:left="0" w:right="21" w:hanging="0"/>
        <w:jc w:val="both"/>
        <w:rPr>
          <w:lang w:val="es-ES"/>
        </w:rPr>
      </w:pPr>
      <w:r>
        <w:rPr>
          <w:rFonts w:eastAsia="Arial" w:cs="Arial"/>
          <w:b w:val="false"/>
          <w:bCs w:val="false"/>
          <w:i w:val="false"/>
          <w:iCs w:val="false"/>
          <w:color w:val="000000"/>
          <w:sz w:val="22"/>
          <w:szCs w:val="32"/>
          <w:u w:val="none"/>
          <w:lang w:val="es-ES" w:eastAsia="zh-CN" w:bidi="ar-SA"/>
        </w:rPr>
        <w:t xml:space="preserve">Las instancias se dirigirán a la Concejalía de Agricultura y Deportes del Ayuntamiento de Xeraco </w:t>
      </w:r>
      <w:r>
        <w:rPr>
          <w:rFonts w:eastAsia="Arial" w:cs="Arial"/>
          <w:b/>
          <w:bCs/>
          <w:i w:val="false"/>
          <w:iCs w:val="false"/>
          <w:color w:val="000000"/>
          <w:sz w:val="22"/>
          <w:szCs w:val="32"/>
          <w:u w:val="single"/>
          <w:lang w:val="es-ES" w:eastAsia="zh-CN" w:bidi="ar-SA"/>
        </w:rPr>
        <w:t>y se tienen que presentar</w:t>
      </w:r>
      <w:r>
        <w:rPr>
          <w:rFonts w:eastAsia="Arial" w:cs="Arial"/>
          <w:b/>
          <w:bCs/>
          <w:i w:val="false"/>
          <w:iCs w:val="false"/>
          <w:color w:val="000000"/>
          <w:sz w:val="22"/>
          <w:szCs w:val="32"/>
          <w:u w:val="none"/>
          <w:lang w:val="es-ES" w:eastAsia="zh-CN" w:bidi="ar-SA"/>
        </w:rPr>
        <w:t xml:space="preserve"> </w:t>
      </w:r>
      <w:r>
        <w:rPr>
          <w:rFonts w:eastAsia="Arial" w:cs="Arial"/>
          <w:b w:val="false"/>
          <w:bCs w:val="false"/>
          <w:i w:val="false"/>
          <w:iCs w:val="false"/>
          <w:color w:val="000000"/>
          <w:sz w:val="22"/>
          <w:szCs w:val="32"/>
          <w:u w:val="none"/>
          <w:lang w:val="es-ES" w:eastAsia="zh-CN" w:bidi="ar-SA"/>
        </w:rPr>
        <w:t xml:space="preserve">en la forma que determina el artículo 16.4 de la Ley 39/2015, de 1 de octubre del Procedimiento Administrativo Común de los Administraciones Públicas, </w:t>
      </w:r>
      <w:r>
        <w:rPr>
          <w:rFonts w:eastAsia="Arial" w:cs="Arial"/>
          <w:b/>
          <w:bCs/>
          <w:i w:val="false"/>
          <w:iCs w:val="false"/>
          <w:color w:val="000000"/>
          <w:sz w:val="22"/>
          <w:szCs w:val="32"/>
          <w:u w:val="single"/>
          <w:lang w:val="es-ES" w:eastAsia="zh-CN" w:bidi="ar-SA"/>
        </w:rPr>
        <w:t xml:space="preserve">a partir del día siguiente al de la publicación del extracto de la convocatoria en el </w:t>
      </w:r>
      <w:r>
        <w:rPr>
          <w:rFonts w:eastAsia="Arial" w:cs="Arial"/>
          <w:b/>
          <w:bCs/>
          <w:i/>
          <w:iCs/>
          <w:color w:val="000000"/>
          <w:sz w:val="22"/>
          <w:szCs w:val="32"/>
          <w:u w:val="single"/>
          <w:lang w:val="es-ES" w:eastAsia="zh-CN" w:bidi="ar-SA"/>
        </w:rPr>
        <w:t>Boletín oficial de la Provincia de Valencia y en la BDNS.</w:t>
      </w:r>
      <w:r>
        <w:rPr>
          <w:rFonts w:eastAsia="Arial" w:cs="Arial"/>
          <w:b w:val="false"/>
          <w:bCs w:val="false"/>
          <w:i/>
          <w:iCs/>
          <w:color w:val="000000"/>
          <w:sz w:val="22"/>
          <w:szCs w:val="32"/>
          <w:u w:val="none"/>
          <w:lang w:val="es-ES" w:eastAsia="zh-CN" w:bidi="ar-SA"/>
        </w:rPr>
        <w:t xml:space="preserve"> </w:t>
      </w:r>
    </w:p>
    <w:p>
      <w:pPr>
        <w:pStyle w:val="Normal"/>
        <w:bidi w:val="0"/>
        <w:spacing w:lineRule="auto" w:line="276" w:before="113" w:after="113"/>
        <w:jc w:val="both"/>
        <w:rPr>
          <w:color w:val="000000"/>
          <w:szCs w:val="22"/>
          <w:lang w:val="es-ES" w:eastAsia="zh-CN" w:bidi="ar-SA"/>
        </w:rPr>
      </w:pPr>
      <w:r>
        <w:rPr>
          <w:color w:val="000000"/>
          <w:szCs w:val="22"/>
          <w:lang w:val="es-ES" w:eastAsia="zh-CN" w:bidi="ar-SA"/>
        </w:rPr>
        <w:t>Xeraco, a la fecha de la firma electrónica.</w:t>
      </w:r>
    </w:p>
    <w:p>
      <w:pPr>
        <w:pStyle w:val="Normal"/>
        <w:bidi w:val="0"/>
        <w:spacing w:before="0" w:after="113"/>
        <w:jc w:val="both"/>
        <w:rPr>
          <w:lang w:val="es-ES"/>
        </w:rPr>
      </w:pPr>
      <w:r>
        <w:rPr>
          <w:rFonts w:cs="Arial"/>
          <w:b w:val="false"/>
          <w:bCs w:val="false"/>
          <w:color w:val="00000A"/>
          <w:sz w:val="22"/>
          <w:szCs w:val="22"/>
          <w:u w:val="none"/>
          <w:lang w:val="es-ES" w:eastAsia="zh-CN" w:bidi="ar-SA"/>
        </w:rPr>
        <w:t>El concejal delegado de Agricultura y Deportes,</w:t>
      </w:r>
    </w:p>
    <w:p>
      <w:pPr>
        <w:sectPr>
          <w:headerReference w:type="default" r:id="rId2"/>
          <w:footerReference w:type="default" r:id="rId3"/>
          <w:type w:val="nextPage"/>
          <w:pgSz w:w="11906" w:h="16838"/>
          <w:pgMar w:left="1701" w:right="1418" w:header="1077" w:top="1418" w:footer="709" w:bottom="1418" w:gutter="0"/>
          <w:pgNumType w:fmt="decimal"/>
          <w:formProt w:val="false"/>
          <w:textDirection w:val="lrTb"/>
          <w:docGrid w:type="default" w:linePitch="360" w:charSpace="0"/>
        </w:sectPr>
        <w:pStyle w:val="Normal"/>
        <w:bidi w:val="0"/>
        <w:spacing w:before="0" w:after="113"/>
        <w:jc w:val="both"/>
        <w:rPr>
          <w:lang w:val="es-ES"/>
        </w:rPr>
      </w:pPr>
      <w:r>
        <w:rPr>
          <w:rFonts w:cs="Arial"/>
          <w:b w:val="false"/>
          <w:bCs w:val="false"/>
          <w:color w:val="00000A"/>
          <w:sz w:val="22"/>
          <w:szCs w:val="22"/>
          <w:u w:val="none"/>
          <w:lang w:val="es-ES" w:eastAsia="zh-CN" w:bidi="ar-SA"/>
        </w:rPr>
        <w:t>Evaristo Salom Rubio</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76" w:before="120" w:after="120"/>
        <w:jc w:val="right"/>
        <w:rPr>
          <w:b/>
          <w:b/>
          <w:bCs/>
          <w:szCs w:val="22"/>
          <w:lang w:val="ca-ES-valencia" w:bidi="ar-SA"/>
        </w:rPr>
      </w:pPr>
      <w:r>
        <w:rPr>
          <w:b/>
          <w:bCs/>
          <w:szCs w:val="22"/>
          <w:lang w:val="ca-ES-valencia" w:bidi="ar-SA"/>
        </w:rPr>
        <w:t>Versión castellano</w:t>
      </w:r>
    </w:p>
    <w:p>
      <w:pPr>
        <w:pStyle w:val="Cuerpodetexto"/>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76" w:before="120" w:after="120"/>
        <w:jc w:val="both"/>
        <w:rPr>
          <w:b/>
          <w:b/>
          <w:szCs w:val="22"/>
          <w:lang w:val="ca-ES-valencia" w:bidi="ar-SA"/>
        </w:rPr>
      </w:pPr>
      <w:r>
        <w:rPr>
          <w:b/>
          <w:szCs w:val="22"/>
          <w:lang w:val="ca-ES-valencia" w:bidi="ar-SA"/>
        </w:rPr>
        <w:t>BASES ESPECÍFICAS REGULADORAS PARA LAS AYUDAS A DEPORTISTAS DE ÉLITE (PROMOCIÓN Y ALTA COMPETICIÓN) Y DEPORTISTAS DE ALTO NIVEL DE XERACO, EN EL EJERCICIO 2024. EXP. 339/2024</w:t>
      </w:r>
    </w:p>
    <w:p>
      <w:pPr>
        <w:pStyle w:val="Cuerpodetexto"/>
        <w:spacing w:lineRule="auto" w:line="276" w:before="120" w:after="120"/>
        <w:ind w:left="0" w:right="0" w:hanging="0"/>
        <w:jc w:val="both"/>
        <w:rPr>
          <w:b/>
          <w:b/>
        </w:rPr>
      </w:pPr>
      <w:r>
        <w:rPr>
          <w:b/>
        </w:rPr>
        <w:t>1. OBJETO Y DESTINO</w:t>
      </w:r>
    </w:p>
    <w:p>
      <w:pPr>
        <w:pStyle w:val="Cuerpodetexto"/>
        <w:spacing w:lineRule="auto" w:line="276" w:before="120" w:after="120"/>
        <w:ind w:left="0" w:right="0" w:hanging="0"/>
        <w:jc w:val="both"/>
        <w:rPr/>
      </w:pPr>
      <w:r>
        <w:rPr/>
        <w:t>Es objeto de la siguiente convocatoria la concesión de ayudas económico-deportivas a deportistas de élite y alta competición y deportistas de alto nivel del municipio de Xeraco, dentro del Programa de ayudas a Deportistas de Élite del municipio de Xeraco, correspondiente al ejercicio 2024, en materia de deportes, siendo su finalidad la de colaborar en los gastos que la formación, preparación deportiva y la competición exige a los deportistas de élite promoción y alta competición y deportistas de alto nivel, convertidos en referente y modelo para la juventud, favoreciendo su perfeccionamiento, en orden al logro de un más alto nivel en un futuro próximo.</w:t>
      </w:r>
    </w:p>
    <w:p>
      <w:pPr>
        <w:pStyle w:val="Cuerpodetexto"/>
        <w:spacing w:lineRule="auto" w:line="276" w:before="120" w:after="120"/>
        <w:ind w:left="0" w:right="0" w:hanging="0"/>
        <w:jc w:val="both"/>
        <w:rPr>
          <w:b/>
          <w:b/>
        </w:rPr>
      </w:pPr>
      <w:r>
        <w:rPr>
          <w:b/>
        </w:rPr>
        <w:t>2. DESTINATARIOS/AS Y REQUISITOS</w:t>
      </w:r>
    </w:p>
    <w:p>
      <w:pPr>
        <w:pStyle w:val="Cuerpodetexto"/>
        <w:spacing w:lineRule="auto" w:line="276" w:before="120" w:after="120"/>
        <w:ind w:left="0" w:right="0" w:hanging="0"/>
        <w:jc w:val="both"/>
        <w:rPr>
          <w:b/>
          <w:b/>
        </w:rPr>
      </w:pPr>
      <w:r>
        <w:rPr>
          <w:b/>
        </w:rPr>
        <w:t>2.1. Requisitos generales</w:t>
      </w:r>
    </w:p>
    <w:p>
      <w:pPr>
        <w:pStyle w:val="Cuerpodetexto"/>
        <w:spacing w:lineRule="auto" w:line="276" w:before="120" w:after="120"/>
        <w:ind w:left="0" w:right="0" w:hanging="0"/>
        <w:jc w:val="both"/>
        <w:rPr/>
      </w:pPr>
      <w:r>
        <w:rPr/>
        <w:t>Las personas beneficiarias han de estar empadronadas en Xeraco por un periodo de, al menos, dos años anteriores a la fecha de la publicación de la Convocatoria de estas ayudas en el Boletín Oficial de la Provincia, circunstancia que será comprobada de oficio por el departamento de Cultura, Juventud y Deportes.</w:t>
      </w:r>
    </w:p>
    <w:p>
      <w:pPr>
        <w:pStyle w:val="Cuerpodetexto"/>
        <w:spacing w:lineRule="auto" w:line="276" w:before="120" w:after="120"/>
        <w:ind w:left="0" w:right="0" w:hanging="0"/>
        <w:jc w:val="both"/>
        <w:rPr/>
      </w:pPr>
      <w:r>
        <w:rPr/>
        <w:t>La persona solicitante no debe estar incursa en ninguna de las circunstancias que prohíben tener la condición de beneficiario, previstas en el artículo 13 de la ley 38/2003, de 17 de noviembre, General de Subvenciones; así como no tener deudas tributarias y no tributarias locales, con la Administración Estatal de la Agencia Tributaria, y/o con la Seguridad Social. En caso en el que la persona deportista sea menor de edad, será el padre, madre, tutor/tutora o representante legal de la misma quien deberá hallarse en cumplimiento de dicho artículo 13. Dichos requisitos se acreditarán mediante presentación de declaración responsable de no estar incurso en dicho supuesto, según modelo establecido al efecto, o en su caso, aportando los certificados oportunos.</w:t>
      </w:r>
    </w:p>
    <w:p>
      <w:pPr>
        <w:pStyle w:val="Cuerpodetexto"/>
        <w:spacing w:lineRule="auto" w:line="276" w:before="120" w:after="120"/>
        <w:ind w:left="0" w:right="0" w:hanging="0"/>
        <w:jc w:val="both"/>
        <w:rPr>
          <w:b/>
          <w:b/>
        </w:rPr>
      </w:pPr>
      <w:r>
        <w:rPr>
          <w:b/>
        </w:rPr>
        <w:t>2.2. Requisitos particulares para acreditar las categorías de “DEPORTISTAS DE ÉLITE PROMOCIÓN Y ALTA COMPETICIÓN” Y “DEPORTISTAS DE ALTO NIVEL”</w:t>
      </w:r>
    </w:p>
    <w:p>
      <w:pPr>
        <w:pStyle w:val="Cuerpodetexto"/>
        <w:spacing w:lineRule="auto" w:line="276" w:before="120" w:after="120"/>
        <w:ind w:left="0" w:right="0" w:hanging="0"/>
        <w:jc w:val="both"/>
        <w:rPr/>
      </w:pPr>
      <w:r>
        <w:rPr/>
        <w:t xml:space="preserve">Son requisitos particulares que deben reunir los beneficiarios de estas ayudas los siguientes: </w:t>
      </w:r>
    </w:p>
    <w:p>
      <w:pPr>
        <w:pStyle w:val="Cuerpodetexto"/>
        <w:spacing w:lineRule="auto" w:line="276" w:before="120" w:after="120"/>
        <w:ind w:left="0" w:right="0" w:hanging="0"/>
        <w:jc w:val="both"/>
        <w:rPr/>
      </w:pPr>
      <w:r>
        <w:rPr/>
        <w:t>a) Estar en posesión de la licencia federativa del ejercicio 2024 o de la temporada 2023/2024 o certificado acreditativo equivalente, de la modalidad deportiva correspondiente en vigor, expedida por la Federación oportuna.</w:t>
      </w:r>
    </w:p>
    <w:p>
      <w:pPr>
        <w:pStyle w:val="Cuerpodetexto"/>
        <w:spacing w:lineRule="auto" w:line="276" w:before="120" w:after="120"/>
        <w:ind w:left="0" w:right="0" w:hanging="0"/>
        <w:jc w:val="both"/>
        <w:rPr/>
      </w:pPr>
      <w:r>
        <w:rPr/>
        <w:t>b) La ayuda económico-deportiva va destinada a las personas que realizan deporte de alto nivel denominados aquellos que han sido acreditados como DAN (deportistas de alto nivel) por resolución del órgano competente del Consejo Superior de Deportes incluyendo la relación de deportistas de alto nivel que se publicará en el BOE y los acreditados como deportistas de élite promoción y alta competición que se publicarán en las listas como “Deportistas de Élite” publicadas por la Conselleria de Educación, Cultura y Deporte (DOGV).</w:t>
      </w:r>
    </w:p>
    <w:p>
      <w:pPr>
        <w:pStyle w:val="Cuerpodetexto"/>
        <w:spacing w:lineRule="auto" w:line="276" w:before="120" w:after="120"/>
        <w:ind w:left="0" w:right="0" w:hanging="0"/>
        <w:jc w:val="both"/>
        <w:rPr/>
      </w:pPr>
      <w:r>
        <w:rPr/>
        <w:t>c) Las personas deportistas que figuren acreditadas como Deportistas de alto nivel, relacionados en la resolución del presidente del Consejo Superior de Deportes publicado en el BOE, y los deportistas de élite que figuren en las listas de Deportistas de Élite publicadas de manera oficial en la Conselleria de Educación, Cultura y Deportes u organismo público análogo, en más de una disciplina distinta, podrán solicitar la ayuda para las distintas disciplinas deportivas en las que sean reconocidos con tales niveles.</w:t>
      </w:r>
    </w:p>
    <w:p>
      <w:pPr>
        <w:pStyle w:val="Cuerpodetexto"/>
        <w:spacing w:lineRule="auto" w:line="276" w:before="120" w:after="120"/>
        <w:ind w:left="0" w:right="0" w:hanging="0"/>
        <w:jc w:val="both"/>
        <w:rPr/>
      </w:pPr>
      <w:r>
        <w:rPr/>
        <w:t>No podrán beneficiarse de esta ayuda los que no estén incluidos en dichas listas BOE como “DAN” y DOGV para “Deportistas de Élite promoción y alta competición”:</w:t>
      </w:r>
    </w:p>
    <w:p>
      <w:pPr>
        <w:pStyle w:val="Cuerpodetexto"/>
        <w:spacing w:lineRule="auto" w:line="276" w:before="120" w:after="120"/>
        <w:ind w:left="0" w:right="0" w:hanging="0"/>
        <w:jc w:val="both"/>
        <w:rPr/>
      </w:pPr>
      <w:r>
        <w:rPr/>
        <w:t>1. En base a lo establecido en los artículos 3, 4 y 16 del Real Decreto 971/2007 de 13 de julio sobre deportistas de Alto Nivel, los beneficios que se establecen en dicho Real Decreto por la ostentación de la condición de deportistas de Alto Nivel se mantiene, salvo evidencia en contrario, durante los cinco años (salvo que dicho deportista haya sido medallista olímpico o paralímpico, en cuyo caso el plazo de duración será de siete años) siguientes a la última publicación de la lista en la resolución del presidente del Consejo Superior de Deportes publicado en el BOE, donde se le reconoce su condición de deportista de Alto Nivel.</w:t>
      </w:r>
    </w:p>
    <w:p>
      <w:pPr>
        <w:pStyle w:val="Cuerpodetexto"/>
        <w:spacing w:lineRule="auto" w:line="276" w:before="120" w:after="120"/>
        <w:ind w:left="0" w:right="0" w:hanging="0"/>
        <w:jc w:val="both"/>
        <w:rPr/>
      </w:pPr>
      <w:r>
        <w:rPr/>
        <w:t>2. En base a los artículos 2 “Deportistas de élite de la Comunitat Valenciana” y 17 “Pérdida del derecho a las medidas de protección y apoyo”, del Decreto 39/2020, de 20 de marzo, del Consell, de medidas de apoyo a deportistas de élite y al personal técnico, entrenador, arbitral y juez de élite de la Comunitat Valenciana (DOGV Nº 8784 de 08/04/2020), los beneficios que se establecen en dicho decreto por la ostentación de la condición de deportista de élite y la condición de deportista de élite se mantiene, salvo evidencia en contrario, durante los tres años siguientes a la última publicación de la lista en el Diari Oficial de la Comunitat Valenciana o boletín oficial organismo público análogo correspondiente donde se le reconoce su condición de deportista de élite.</w:t>
      </w:r>
    </w:p>
    <w:p>
      <w:pPr>
        <w:pStyle w:val="Cuerpodetexto"/>
        <w:spacing w:lineRule="auto" w:line="276" w:before="120" w:after="120"/>
        <w:ind w:left="0" w:right="0" w:hanging="0"/>
        <w:jc w:val="both"/>
        <w:rPr/>
      </w:pPr>
      <w:r>
        <w:rPr/>
        <w:t>3. De acuerdo a la disposición transitoria única del Decreto 39/2020, de 20 de marzo, del Consell, de medidas de apoyo a deportistas de élite y al personal técnico, entrenador, arbitral y juez de élite de la Comunitat Valenciana, las personas calificadas como deportistas de élite Nivel A y Nivel B en aplicación del Decreto 13/2006, de 20 de enero, del Consell, sobre los deportistas de élite de la Comunitat Valenciana, serán equivalentes a las personas deportistas de élite alta competición reguladas en el presente decreto, y las personas deportistas de élite de nivel promoción según el Decreto 13/2006 serán equivalentes a las de élite promoción reguladas el decreto 39/2020.</w:t>
      </w:r>
    </w:p>
    <w:p>
      <w:pPr>
        <w:pStyle w:val="Cuerpodetexto"/>
        <w:spacing w:lineRule="auto" w:line="276" w:before="120" w:after="120"/>
        <w:ind w:left="0" w:right="0" w:hanging="0"/>
        <w:jc w:val="both"/>
        <w:rPr/>
      </w:pPr>
      <w:r>
        <w:rPr/>
        <w:t>Lo establecido en el Real Decreto 971/2007 de 13 de julio sobre deportistas de Alto Nivel y alto rendimiento y Decreto 39/2020, de 20 de marzo, del Consell, de medidas de apoyo a deportistas de élite y al personal técnico, entrenador, arbitral y juez de élite de la Comunitat Valenciana (Nº 8784 de 08/04/2020), se hace extensible a lo establecido en las presentes Bases Reguladoras de las ayudas de la Convocatoria de subvenciones destinadas a ayudas a deportistas de élite promoción y alta competición y deportistas de alto nivel de Xeraco para el ejercicio 2024.</w:t>
      </w:r>
    </w:p>
    <w:p>
      <w:pPr>
        <w:pStyle w:val="Cuerpodetexto"/>
        <w:spacing w:lineRule="auto" w:line="276" w:before="120" w:after="120"/>
        <w:ind w:left="0" w:right="0" w:hanging="0"/>
        <w:jc w:val="both"/>
        <w:rPr>
          <w:b/>
          <w:b/>
        </w:rPr>
      </w:pPr>
      <w:r>
        <w:rPr>
          <w:b/>
        </w:rPr>
        <w:t>3. SOLICITUDES</w:t>
      </w:r>
    </w:p>
    <w:p>
      <w:pPr>
        <w:pStyle w:val="Cuerpodetexto"/>
        <w:spacing w:lineRule="auto" w:line="276" w:before="120" w:after="120"/>
        <w:ind w:left="0" w:right="0" w:hanging="0"/>
        <w:jc w:val="both"/>
        <w:rPr/>
      </w:pPr>
      <w:r>
        <w:rPr>
          <w:b/>
        </w:rPr>
        <w:t>3.1.</w:t>
      </w:r>
      <w:r>
        <w:rPr/>
        <w:t xml:space="preserve"> Para solicitar la ayuda se presentarán cumplimentados el ANEXO I (solicitud/declaración responsable) y, en su caso, el ANEXO II (ficha de mantenimiento de terceros).</w:t>
      </w:r>
    </w:p>
    <w:p>
      <w:pPr>
        <w:pStyle w:val="Cuerpodetexto"/>
        <w:spacing w:lineRule="auto" w:line="276" w:before="120" w:after="120"/>
        <w:ind w:left="0" w:right="0" w:hanging="0"/>
        <w:jc w:val="both"/>
        <w:rPr/>
      </w:pPr>
      <w:r>
        <w:rPr/>
        <w:t>Los anexos se hallarán publicados en la página web.</w:t>
      </w:r>
    </w:p>
    <w:p>
      <w:pPr>
        <w:pStyle w:val="Cuerpodetexto"/>
        <w:spacing w:lineRule="auto" w:line="276" w:before="120" w:after="120"/>
        <w:ind w:left="0" w:right="0" w:hanging="0"/>
        <w:jc w:val="both"/>
        <w:rPr/>
      </w:pPr>
      <w:r>
        <w:rPr>
          <w:b/>
        </w:rPr>
        <w:t xml:space="preserve">3.2. </w:t>
      </w:r>
      <w:r>
        <w:rPr/>
        <w:t xml:space="preserve">Las solicitudes y la documentación correspondiente se presentarán preferentemente de manera telemática, a través de la Sede Electrónica del Ayuntamiento de Xeraco: </w:t>
      </w:r>
      <w:hyperlink r:id="rId4">
        <w:r>
          <w:rPr>
            <w:rStyle w:val="EnlacedeInternet"/>
            <w:color w:val="0000FF"/>
          </w:rPr>
          <w:t>https://xeraco.sedelectronica.es/info.0</w:t>
        </w:r>
      </w:hyperlink>
      <w:r>
        <w:rPr/>
        <w:t>: Trámites destacados, precisando para ello de la identificación digital oportuna. De manera alternativa, podrá realizarse mediante la presentación de la solicitud y documentación en el Registro de Entrada del Ayuntamiento de Xeraco, sito en Plaza de la Iglesia, 3, en el horario vigente durante el plazo de solicitud o en cualquiera de los lugares a que se refiere el artículo 16.4 de la Ley 39/2015, de 1 de octubre, de Procedimiento Administrativo Común de las Administraciones Públicas.</w:t>
      </w:r>
    </w:p>
    <w:p>
      <w:pPr>
        <w:pStyle w:val="Cuerpodetexto"/>
        <w:spacing w:lineRule="auto" w:line="276" w:before="120" w:after="120"/>
        <w:ind w:left="0" w:right="0" w:hanging="0"/>
        <w:jc w:val="both"/>
        <w:rPr/>
      </w:pPr>
      <w:r>
        <w:rPr/>
        <w:t>El modelo de solicitud normalizado para la obtención de las subvenciones reguladas en la presente convocatoria estará disponible en la sede electrónica municipal (www.xeraco.es).</w:t>
      </w:r>
    </w:p>
    <w:p>
      <w:pPr>
        <w:pStyle w:val="Cuerpodetexto"/>
        <w:spacing w:lineRule="auto" w:line="276" w:before="120" w:after="120"/>
        <w:ind w:left="0" w:right="0" w:hanging="0"/>
        <w:jc w:val="both"/>
        <w:rPr/>
      </w:pPr>
      <w:r>
        <w:rPr>
          <w:b/>
        </w:rPr>
        <w:t xml:space="preserve">3.3. </w:t>
      </w:r>
      <w:r>
        <w:rPr/>
        <w:t xml:space="preserve">El plazo de presentación de solicitudes será de </w:t>
      </w:r>
      <w:r>
        <w:rPr>
          <w:b/>
        </w:rPr>
        <w:t>QUINCE (15) días hábiles a contar desde el día siguiente</w:t>
      </w:r>
      <w:r>
        <w:rPr/>
        <w:t xml:space="preserve"> a la publicación del extracto de la Convocatoria de estas ayudas en el Boletín Oficial de la Provincia.</w:t>
      </w:r>
    </w:p>
    <w:p>
      <w:pPr>
        <w:pStyle w:val="Cuerpodetexto"/>
        <w:spacing w:lineRule="auto" w:line="276" w:before="120" w:after="120"/>
        <w:ind w:left="0" w:right="0" w:hanging="0"/>
        <w:jc w:val="both"/>
        <w:rPr/>
      </w:pPr>
      <w:r>
        <w:rPr>
          <w:b/>
        </w:rPr>
        <w:t>3.4.</w:t>
      </w:r>
      <w:r>
        <w:rPr/>
        <w:t xml:space="preserve"> Si, analizadas las solicitudes, se observara que son incompletas o que no reúnen los requisitos exigidos, se requerirá al interesado/a para que, en un plazo de diez días hábiles, subsane la falta o acompañe los documentos preceptivos con indicación de que, si así no lo hiciera, se le tendrá por desistido de su solicitud, previa resolución expresa.</w:t>
      </w:r>
    </w:p>
    <w:p>
      <w:pPr>
        <w:pStyle w:val="Cuerpodetexto"/>
        <w:spacing w:lineRule="auto" w:line="276" w:before="120" w:after="120"/>
        <w:ind w:left="0" w:right="0" w:hanging="0"/>
        <w:jc w:val="both"/>
        <w:rPr/>
      </w:pPr>
      <w:r>
        <w:rPr>
          <w:b/>
        </w:rPr>
        <w:t>3.5.</w:t>
      </w:r>
      <w:r>
        <w:rPr/>
        <w:t xml:space="preserve"> No serán admitidas a trámite las solicitudes presentadas fuera del plazo establecido, resolviéndose la inadmisión de las mismas.</w:t>
      </w:r>
    </w:p>
    <w:p>
      <w:pPr>
        <w:pStyle w:val="Cuerpodetexto"/>
        <w:spacing w:lineRule="auto" w:line="276" w:before="120" w:after="120"/>
        <w:ind w:left="0" w:right="0" w:hanging="0"/>
        <w:jc w:val="both"/>
        <w:rPr/>
      </w:pPr>
      <w:r>
        <w:rPr>
          <w:b/>
        </w:rPr>
        <w:t>3.6.</w:t>
      </w:r>
      <w:r>
        <w:rPr/>
        <w:t xml:space="preserve"> El impreso de solicitud/declaración responsable (ANEXO I) irá acompañado de la siguiente documentación:</w:t>
      </w:r>
    </w:p>
    <w:p>
      <w:pPr>
        <w:pStyle w:val="Cuerpodetexto"/>
        <w:spacing w:lineRule="auto" w:line="276" w:before="120" w:after="120"/>
        <w:ind w:left="397" w:right="0" w:hanging="340"/>
        <w:jc w:val="both"/>
        <w:rPr/>
      </w:pPr>
      <w:r>
        <w:rPr>
          <w:rFonts w:ascii="Wingdings" w:hAnsi="Wingdings"/>
          <w:lang w:val="ca-ES"/>
        </w:rPr>
        <w:t>è</w:t>
      </w:r>
      <w:r>
        <w:rPr>
          <w:rFonts w:ascii="Wingdings" w:hAnsi="Wingdings"/>
          <w:caps w:val="false"/>
          <w:smallCaps w:val="false"/>
          <w:lang w:val="ca-ES"/>
        </w:rPr>
        <w:t xml:space="preserve"> </w:t>
      </w:r>
      <w:r>
        <w:rPr/>
        <w:t>Licencia federativa del ejercicio 2024 o de la Temporada 2023/2024 o certificado acreditativo equivalente, de la modalidad deportiva correspondiente en vigor, expedida por la Federación oportuna.</w:t>
      </w:r>
    </w:p>
    <w:p>
      <w:pPr>
        <w:pStyle w:val="Cuerpodetexto"/>
        <w:spacing w:lineRule="auto" w:line="276" w:before="120" w:after="120"/>
        <w:ind w:left="397" w:right="0" w:hanging="340"/>
        <w:jc w:val="both"/>
        <w:rPr/>
      </w:pPr>
      <w:r>
        <w:rPr>
          <w:rFonts w:ascii="Wingdings" w:hAnsi="Wingdings"/>
        </w:rPr>
        <w:t>è</w:t>
      </w:r>
      <w:r>
        <w:rPr>
          <w:rFonts w:ascii="Wingdings" w:hAnsi="Wingdings"/>
          <w:caps w:val="false"/>
          <w:smallCaps w:val="false"/>
        </w:rPr>
        <w:t xml:space="preserve"> </w:t>
      </w:r>
      <w:r>
        <w:rPr/>
        <w:t>Acreditación del número de cuenta bancaria incluido en la Solicitud (Anexo I) a través de uno de los siguientes medios:</w:t>
      </w:r>
    </w:p>
    <w:p>
      <w:pPr>
        <w:pStyle w:val="Cuerpodetexto"/>
        <w:spacing w:lineRule="auto" w:line="276" w:before="120" w:after="120"/>
        <w:ind w:left="720" w:right="0" w:hanging="360"/>
        <w:jc w:val="both"/>
        <w:rPr/>
      </w:pPr>
      <w:r>
        <w:rPr>
          <w:rFonts w:ascii="Wingdings" w:hAnsi="Wingdings"/>
        </w:rPr>
        <w:t>ü</w:t>
      </w:r>
      <w:r>
        <w:rPr>
          <w:rFonts w:ascii="Wingdings" w:hAnsi="Wingdings"/>
          <w:caps w:val="false"/>
          <w:smallCaps w:val="false"/>
        </w:rPr>
        <w:t xml:space="preserve"> </w:t>
      </w:r>
      <w:r>
        <w:rPr/>
        <w:t>La presentación del ANEXO II Ficha de mantenimiento de terceros, cumplimentado y debidamente firmado.</w:t>
      </w:r>
    </w:p>
    <w:p>
      <w:pPr>
        <w:pStyle w:val="Cuerpodetexto"/>
        <w:spacing w:lineRule="auto" w:line="276" w:before="120" w:after="120"/>
        <w:ind w:left="720" w:right="0" w:hanging="360"/>
        <w:jc w:val="both"/>
        <w:rPr/>
      </w:pPr>
      <w:r>
        <w:rPr>
          <w:rFonts w:ascii="Wingdings" w:hAnsi="Wingdings"/>
        </w:rPr>
        <w:t>ü</w:t>
      </w:r>
      <w:r>
        <w:rPr>
          <w:rFonts w:ascii="Wingdings" w:hAnsi="Wingdings"/>
          <w:caps w:val="false"/>
          <w:smallCaps w:val="false"/>
        </w:rPr>
        <w:t xml:space="preserve"> </w:t>
      </w:r>
      <w:r>
        <w:rPr/>
        <w:t>A través de la presentación del certificado de titularidad bancaria obtenido vía electrónica o presencial.</w:t>
      </w:r>
    </w:p>
    <w:p>
      <w:pPr>
        <w:pStyle w:val="Cuerpodetexto"/>
        <w:spacing w:lineRule="auto" w:line="276" w:before="120" w:after="120"/>
        <w:ind w:left="0" w:right="0" w:hanging="0"/>
        <w:jc w:val="both"/>
        <w:rPr/>
      </w:pPr>
      <w:r>
        <w:rPr/>
        <w:t>En caso de que dichos datos obren en poder de la administración, no será necesario aportarlo y deberá marcar en la solicitud, que ya obra en poder de la administración por haber sido presentado con anterioridad, marcando la casilla habilitada en el Anexo II a estos efectos, no siendo necesario aportar los documentos anteriores.</w:t>
      </w:r>
    </w:p>
    <w:p>
      <w:pPr>
        <w:pStyle w:val="Cuerpodetexto"/>
        <w:spacing w:lineRule="auto" w:line="276" w:before="120" w:after="120"/>
        <w:ind w:left="0" w:right="0" w:hanging="0"/>
        <w:jc w:val="both"/>
        <w:rPr/>
      </w:pPr>
      <w:r>
        <w:rPr>
          <w:u w:val="single"/>
        </w:rPr>
        <w:t>Para acreditar la condición de ser Deportista de Élite promoción o alta competición</w:t>
      </w:r>
      <w:r>
        <w:rPr/>
        <w:t>: Aportar Certificado o Justificante de figurar en la lista publicada por la Conselleria de deportes u organismo público análogo (DOGV/BOE), de ostentar la condición de Deportista de Élite. En caso de no ser aportado junto con la solicitud por el interesado o, incluso habiéndose aportado, para su verificación, este extremo podrá ser comprobado de oficio por el Ayuntamiento de Xeraco tras consulta en los listados oficiales oportunos.</w:t>
      </w:r>
    </w:p>
    <w:p>
      <w:pPr>
        <w:pStyle w:val="Cuerpodetexto"/>
        <w:spacing w:lineRule="auto" w:line="276" w:before="120" w:after="120"/>
        <w:ind w:left="0" w:right="0" w:hanging="0"/>
        <w:jc w:val="both"/>
        <w:rPr/>
      </w:pPr>
      <w:r>
        <w:rPr>
          <w:u w:val="single"/>
        </w:rPr>
        <w:t>Para acreditar la condición de Alto Nivel</w:t>
      </w:r>
      <w:r>
        <w:rPr/>
        <w:t>: Aportar Certificado o Justificante de figurar en la lista publicada por el BOE, según el Real Decreto 971/2007 de 13 de julio, sobre deportistas de Alto Nivel y Alto Rendimiento, de ostentar dicha condición. En caso de no ser aportado junto con la solicitud por la persona interesada o, incluso habiéndose aportado, para su verificación, este extremo podrá ser comprobado de oficio por el Ayuntamiento de Xeraco tras consulta en los listados oficiales oportunos.</w:t>
      </w:r>
    </w:p>
    <w:p>
      <w:pPr>
        <w:pStyle w:val="Cuerpodetexto"/>
        <w:spacing w:lineRule="auto" w:line="276" w:before="120" w:after="120"/>
        <w:ind w:left="0" w:right="0" w:hanging="0"/>
        <w:jc w:val="both"/>
        <w:rPr/>
      </w:pPr>
      <w:r>
        <w:rPr>
          <w:b/>
        </w:rPr>
        <w:t xml:space="preserve">3.7. </w:t>
      </w:r>
      <w:r>
        <w:rPr/>
        <w:t>La mera presentación de la solicitud en esta convocatoria supone la plena aceptación de estas Bases y la recepción del hecho subvencionable, así como el compromiso de que el/la solicitante cumple las obligaciones y deberes que se desprenden de las mismas.</w:t>
      </w:r>
    </w:p>
    <w:p>
      <w:pPr>
        <w:pStyle w:val="Cuerpodetexto"/>
        <w:spacing w:lineRule="auto" w:line="276" w:before="120" w:after="120"/>
        <w:ind w:left="0" w:right="0" w:hanging="0"/>
        <w:jc w:val="both"/>
        <w:rPr>
          <w:b/>
          <w:b/>
        </w:rPr>
      </w:pPr>
      <w:r>
        <w:rPr>
          <w:b/>
        </w:rPr>
        <w:t>4. TIPO, CUANTÍA Y CRÉDITO PRESUPUESTARIO</w:t>
      </w:r>
    </w:p>
    <w:p>
      <w:pPr>
        <w:pStyle w:val="Cuerpodetexto"/>
        <w:spacing w:lineRule="auto" w:line="276" w:before="120" w:after="120"/>
        <w:ind w:left="0" w:right="0" w:hanging="0"/>
        <w:jc w:val="both"/>
        <w:rPr/>
      </w:pPr>
      <w:r>
        <w:rPr>
          <w:b/>
        </w:rPr>
        <w:t xml:space="preserve">4.1. </w:t>
      </w:r>
      <w:r>
        <w:rPr/>
        <w:t>El importe total estimado de la ayuda será de un máximo de 5.000 €, y las ayudas se harán efectivas con cargo a la aplicación presupuestaria 3410.48020, partida denominada “Becas Deportistas de Élite”, quedando condicionada la concesión al presupuesto de gastos del Ayuntamiento de Xeraco para el ejercicio 2024.</w:t>
      </w:r>
    </w:p>
    <w:p>
      <w:pPr>
        <w:pStyle w:val="Cuerpodetexto"/>
        <w:spacing w:lineRule="auto" w:line="276" w:before="120" w:after="120"/>
        <w:ind w:left="0" w:right="0" w:hanging="0"/>
        <w:jc w:val="both"/>
        <w:rPr/>
      </w:pPr>
      <w:r>
        <w:rPr/>
        <w:t>En el caso de que el crédito consignado sea insuficiente atendiendo al número de solicitudes presentadas y una vez finalizado el plazo de presentación, el importe se repartirá de forma proporcional entre las ayudas concedidas minorando el importe de cada ayuda, salvo que se habilite crédito si concurren las circunstancias y requisitos previstos en el artículo 58 del Real Decreto 887/2006, de 21 de julio, por el que aprueba el Reglamento de la Ley 38/2003, de 17 de noviembre, General de Subvenciones.</w:t>
      </w:r>
    </w:p>
    <w:p>
      <w:pPr>
        <w:pStyle w:val="Cuerpodetexto"/>
        <w:spacing w:lineRule="auto" w:line="276" w:before="120" w:after="120"/>
        <w:ind w:left="0" w:right="0" w:hanging="0"/>
        <w:jc w:val="both"/>
        <w:rPr/>
      </w:pPr>
      <w:r>
        <w:rPr>
          <w:b/>
        </w:rPr>
        <w:t xml:space="preserve">4.2. </w:t>
      </w:r>
      <w:r>
        <w:rPr/>
        <w:t>Para la determinación del importe fijo de las ayudas económico-deportivas se tomarán como referencia la siguiente tabla adjunta:</w:t>
      </w:r>
    </w:p>
    <w:tbl>
      <w:tblPr>
        <w:tblW w:w="8787" w:type="dxa"/>
        <w:jc w:val="left"/>
        <w:tblInd w:w="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28" w:type="dxa"/>
          <w:left w:w="18" w:type="dxa"/>
          <w:bottom w:w="28" w:type="dxa"/>
          <w:right w:w="28" w:type="dxa"/>
        </w:tblCellMar>
      </w:tblPr>
      <w:tblGrid>
        <w:gridCol w:w="6512"/>
        <w:gridCol w:w="2274"/>
      </w:tblGrid>
      <w:tr>
        <w:trPr/>
        <w:tc>
          <w:tcPr>
            <w:tcW w:w="8786"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pacing w:before="0" w:after="283"/>
              <w:jc w:val="center"/>
              <w:rPr>
                <w:b/>
                <w:b/>
              </w:rPr>
            </w:pPr>
            <w:r>
              <w:rPr>
                <w:b/>
              </w:rPr>
              <w:t>CUADRO DE IMPORTES DE AYUDA A CONCEDER</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before="0" w:after="283"/>
              <w:jc w:val="center"/>
              <w:rPr>
                <w:b/>
                <w:b/>
              </w:rPr>
            </w:pPr>
            <w:r>
              <w:rPr>
                <w:b/>
              </w:rPr>
              <w:t>Nivel</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before="0" w:after="283"/>
              <w:jc w:val="center"/>
              <w:rPr>
                <w:b/>
                <w:b/>
              </w:rPr>
            </w:pPr>
            <w:r>
              <w:rPr>
                <w:b/>
              </w:rPr>
              <w:t>Importe ayuda</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52" w:before="57" w:after="57"/>
              <w:ind w:left="0" w:right="0" w:hanging="0"/>
              <w:jc w:val="both"/>
              <w:rPr>
                <w:sz w:val="18"/>
              </w:rPr>
            </w:pPr>
            <w:r>
              <w:rPr>
                <w:sz w:val="18"/>
              </w:rPr>
              <w:t>Deportista de Alto Nivel del Consejo Superior del Deporte</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lineRule="auto" w:line="252" w:before="57" w:after="57"/>
              <w:ind w:left="0" w:right="0" w:hanging="0"/>
              <w:jc w:val="center"/>
              <w:rPr/>
            </w:pPr>
            <w:r>
              <w:rPr/>
              <w:t>1.000,00 €</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52" w:before="57" w:after="57"/>
              <w:ind w:left="0" w:right="0" w:hanging="0"/>
              <w:jc w:val="both"/>
              <w:rPr>
                <w:sz w:val="18"/>
              </w:rPr>
            </w:pPr>
            <w:r>
              <w:rPr>
                <w:sz w:val="18"/>
              </w:rPr>
              <w:t>Deportista de élite “Alta competición” de la Comunidad Valenciana (nivel equivalente para deportistas de élite Nivel A y Nivel B según Decreto 13/2006, de 20 de enero, del Consell, sobre los deportistas de élite de la  C.V.)</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lineRule="auto" w:line="252" w:before="57" w:after="57"/>
              <w:ind w:left="0" w:right="0" w:hanging="0"/>
              <w:jc w:val="center"/>
              <w:rPr/>
            </w:pPr>
            <w:r>
              <w:rPr/>
              <w:t>700,00 €</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52" w:before="57" w:after="57"/>
              <w:ind w:left="0" w:right="0" w:hanging="0"/>
              <w:jc w:val="both"/>
              <w:rPr>
                <w:sz w:val="18"/>
              </w:rPr>
            </w:pPr>
            <w:r>
              <w:rPr>
                <w:sz w:val="18"/>
              </w:rPr>
              <w:t>Deportista de élite “Promoción” de la Comunidad Valenciana</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lineRule="auto" w:line="252" w:before="57" w:after="57"/>
              <w:ind w:left="0" w:right="0" w:hanging="0"/>
              <w:jc w:val="center"/>
              <w:rPr/>
            </w:pPr>
            <w:r>
              <w:rPr/>
              <w:t>400,00 €</w:t>
            </w:r>
          </w:p>
        </w:tc>
      </w:tr>
    </w:tbl>
    <w:p>
      <w:pPr>
        <w:pStyle w:val="Cuerpodetexto"/>
        <w:spacing w:lineRule="auto" w:line="276" w:before="120" w:after="120"/>
        <w:ind w:left="0" w:right="0" w:hanging="0"/>
        <w:jc w:val="both"/>
        <w:rPr/>
      </w:pPr>
      <w:r>
        <w:rPr>
          <w:b/>
        </w:rPr>
        <w:t xml:space="preserve">4.3. </w:t>
      </w:r>
      <w:r>
        <w:rPr/>
        <w:t>El ingreso de la ayuda será efectivo una vez finalizado el plazo de recepción de solicitudes y comprobados el cumplimiento de los requisitos para los beneficiarios, una vez emitida la resolución de Alcaldía por la que se concedan las ayudas, a través de transferencia bancaria al número de cuenta indicado por las personas beneficiarias a tales efectos en su solicitud.</w:t>
      </w:r>
    </w:p>
    <w:p>
      <w:pPr>
        <w:pStyle w:val="Cuerpodetexto"/>
        <w:spacing w:lineRule="auto" w:line="276" w:before="120" w:after="120"/>
        <w:ind w:left="0" w:right="0" w:hanging="0"/>
        <w:jc w:val="both"/>
        <w:rPr>
          <w:b/>
          <w:b/>
        </w:rPr>
      </w:pPr>
      <w:r>
        <w:rPr>
          <w:b/>
        </w:rPr>
        <w:t>5. PROCEDIMIENTO DE CONCESIÓN</w:t>
      </w:r>
    </w:p>
    <w:p>
      <w:pPr>
        <w:pStyle w:val="Cuerpodetexto"/>
        <w:spacing w:lineRule="auto" w:line="276" w:before="120" w:after="120"/>
        <w:ind w:left="0" w:right="0" w:hanging="0"/>
        <w:jc w:val="both"/>
        <w:rPr/>
      </w:pPr>
      <w:r>
        <w:rPr/>
        <w:t>El procedimiento de concesión de estas ayudas se tramitará bajo convocatoria pública, en régimen de concesión directa, de acuerdo con lo previsto en el artículo 22.2.c) de la Ley</w:t>
      </w:r>
      <w:r>
        <w:rPr>
          <w:color w:val="000000"/>
        </w:rPr>
        <w:t xml:space="preserve"> 38/2003, de 17 de noviembre, General de Subvenciones, por concurrir razones de interés público relacionadas con la finalidad de estas ayudas, dirigidas a colaborar </w:t>
      </w:r>
      <w:r>
        <w:rPr>
          <w:rFonts w:ascii="Liberation Sans;sans-serif" w:hAnsi="Liberation Sans;sans-serif"/>
          <w:color w:val="000000"/>
          <w:lang w:val="ca-ES"/>
        </w:rPr>
        <w:t xml:space="preserve">en </w:t>
      </w:r>
      <w:r>
        <w:rPr>
          <w:rFonts w:ascii="Liberation Sans;sans-serif" w:hAnsi="Liberation Sans;sans-serif"/>
          <w:color w:val="000000"/>
        </w:rPr>
        <w:t>los</w:t>
      </w:r>
      <w:r>
        <w:rPr>
          <w:color w:val="000000"/>
        </w:rPr>
        <w:t xml:space="preserve"> </w:t>
      </w:r>
      <w:r>
        <w:rPr>
          <w:rFonts w:ascii="Liberation Sans;sans-serif" w:hAnsi="Liberation Sans;sans-serif"/>
          <w:color w:val="000000"/>
        </w:rPr>
        <w:t xml:space="preserve">gastos que la formación, la preparación deportiva y la competición exige a los deportistas de élite, promoción y alta competición y deportistas de alto nivel, convertidos en referente y modelo para la juventud, favoreciendo su perfeccionamiento, de cara al consecución de uno más alto nivel en un futuro próximo, sin que pueda excluirse a ningún candidato o sector de la población que reúna estas condiciones. </w:t>
      </w:r>
    </w:p>
    <w:p>
      <w:pPr>
        <w:pStyle w:val="Cuerpodetexto"/>
        <w:spacing w:lineRule="auto" w:line="276" w:before="120" w:after="120"/>
        <w:ind w:left="0" w:right="0" w:hanging="0"/>
        <w:jc w:val="both"/>
        <w:rPr/>
      </w:pPr>
      <w:r>
        <w:rPr/>
        <w:t>El procedimiento de concesión de la subvención se iniciará de oficio, con carácter anual, por la convocatoria correspondiente realizada por el órgano competente.</w:t>
      </w:r>
    </w:p>
    <w:p>
      <w:pPr>
        <w:pStyle w:val="Cuerpodetexto"/>
        <w:spacing w:lineRule="auto" w:line="276" w:before="120" w:after="120"/>
        <w:ind w:left="0" w:right="0" w:hanging="0"/>
        <w:jc w:val="both"/>
        <w:rPr/>
      </w:pPr>
      <w:r>
        <w:rPr/>
        <w:t>Para el examen de las solicitudes de subvenciones se constituirá una Comisión evaluadora que estará integrada por los siguientes miembros:</w:t>
      </w:r>
    </w:p>
    <w:p>
      <w:pPr>
        <w:pStyle w:val="Cuerpodetexto"/>
        <w:spacing w:lineRule="auto" w:line="276" w:before="120" w:after="120"/>
        <w:ind w:left="227" w:right="0" w:hanging="0"/>
        <w:jc w:val="both"/>
        <w:rPr/>
      </w:pPr>
      <w:r>
        <w:rPr/>
        <w:t>1. El Concejal Delegado de Deportes o concejal en quien se delegue.</w:t>
      </w:r>
    </w:p>
    <w:p>
      <w:pPr>
        <w:pStyle w:val="Cuerpodetexto"/>
        <w:spacing w:lineRule="auto" w:line="276" w:before="120" w:after="120"/>
        <w:ind w:left="227" w:right="0" w:hanging="0"/>
        <w:jc w:val="both"/>
        <w:rPr/>
      </w:pPr>
      <w:r>
        <w:rPr/>
        <w:t>2. La técnica del área de Juventud del Ayuntamiento de Xeraco o personal funcionario o empleado público sustituto que se designe.</w:t>
      </w:r>
    </w:p>
    <w:p>
      <w:pPr>
        <w:pStyle w:val="Cuerpodetexto"/>
        <w:spacing w:lineRule="auto" w:line="276" w:before="120" w:after="120"/>
        <w:ind w:left="227" w:right="0" w:hanging="0"/>
        <w:jc w:val="both"/>
        <w:rPr/>
      </w:pPr>
      <w:r>
        <w:rPr/>
        <w:t>3. Funcionario/a de la Corporación que se designe.</w:t>
      </w:r>
    </w:p>
    <w:p>
      <w:pPr>
        <w:pStyle w:val="Cuerpodetexto"/>
        <w:spacing w:lineRule="auto" w:line="276" w:before="120" w:after="120"/>
        <w:ind w:left="0" w:right="0" w:hanging="0"/>
        <w:jc w:val="both"/>
        <w:rPr/>
      </w:pPr>
      <w:r>
        <w:rPr/>
        <w:t>Una vez valoradas las solicitudes, la comisión de valoración redactará el acta de valoración con indicación de las cuantías que corresponden a cada uno de los beneficiarios con indicación de las solicitudes que se estiman y las que se desestiman, siendo estas últimas motivadas, con indicación del importe concedido y la actividad concreta que se subvenciona, y formulará la propuesta de resolución provisional, debidamente motivada, que deberá publicarse en el Tablón de Edictos del Ayuntamiento y en la página web municipal (www.Xeraco.es), y se concederá un plazo de 10 días para presentar alegaciones.</w:t>
      </w:r>
    </w:p>
    <w:p>
      <w:pPr>
        <w:pStyle w:val="Cuerpodetexto"/>
        <w:spacing w:lineRule="auto" w:line="276" w:before="120" w:after="120"/>
        <w:ind w:left="0" w:right="0" w:hanging="0"/>
        <w:jc w:val="both"/>
        <w:rPr/>
      </w:pPr>
      <w:r>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pPr>
        <w:pStyle w:val="Cuerpodetexto"/>
        <w:spacing w:lineRule="auto" w:line="276" w:before="120" w:after="120"/>
        <w:ind w:left="0" w:right="0" w:hanging="0"/>
        <w:jc w:val="both"/>
        <w:rPr/>
      </w:pPr>
      <w:r>
        <w:rPr/>
        <w:t>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pPr>
        <w:pStyle w:val="Cuerpodetexto"/>
        <w:spacing w:lineRule="auto" w:line="276" w:before="120" w:after="120"/>
        <w:ind w:left="0" w:right="0" w:hanging="0"/>
        <w:jc w:val="both"/>
        <w:rPr>
          <w:b/>
          <w:b/>
        </w:rPr>
      </w:pPr>
      <w:r>
        <w:rPr>
          <w:b/>
        </w:rPr>
        <w:t>6. ÓRGANO COMPETENTE</w:t>
      </w:r>
    </w:p>
    <w:p>
      <w:pPr>
        <w:pStyle w:val="Cuerpodetexto"/>
        <w:spacing w:lineRule="auto" w:line="276" w:before="120" w:after="120"/>
        <w:ind w:left="0" w:right="0" w:hanging="0"/>
        <w:jc w:val="both"/>
        <w:rPr/>
      </w:pPr>
      <w:r>
        <w:rPr/>
        <w:t>El órgano competente para la aprobación de la convocatoria que contiene las bases específicas reguladoras de las presentes ayudas, la ordenación, e instrucción del expediente, la resolución de la concesión de ayudas y simultánea justificación será el Concejal de Deportes del Ayuntamiento de Xeraco, en virtud de atribuciones delegadas por resolución de alcaldía núm. 637/2023, de 19 de junio de 2023.</w:t>
      </w:r>
    </w:p>
    <w:p>
      <w:pPr>
        <w:pStyle w:val="Cuerpodetexto"/>
        <w:spacing w:lineRule="auto" w:line="276" w:before="120" w:after="120"/>
        <w:ind w:left="0" w:right="0" w:hanging="0"/>
        <w:jc w:val="both"/>
        <w:rPr>
          <w:b/>
          <w:b/>
        </w:rPr>
      </w:pPr>
      <w:r>
        <w:rPr>
          <w:b/>
        </w:rPr>
        <w:t>7. COMPATIBILIDAD</w:t>
      </w:r>
    </w:p>
    <w:p>
      <w:pPr>
        <w:pStyle w:val="Cuerpodetexto"/>
        <w:spacing w:lineRule="auto" w:line="276" w:before="120" w:after="120"/>
        <w:ind w:left="0" w:right="0" w:hanging="0"/>
        <w:jc w:val="both"/>
        <w:rPr/>
      </w:pPr>
      <w:r>
        <w:rPr/>
        <w:t>Las subvenciones que se concedan en el marco de las correspondientes convocatorias serán compatibles con otras de carácter público o privado que las entidades beneficiarias puedan obtener por la misma finalidad, sin que en ningún caso el total de ingresos obtenidos por esta vía pueda ser superior al de los gastos soportados por las mismas.</w:t>
      </w:r>
    </w:p>
    <w:p>
      <w:pPr>
        <w:pStyle w:val="Cuerpodetexto"/>
        <w:spacing w:lineRule="auto" w:line="276" w:before="120" w:after="120"/>
        <w:ind w:left="0" w:right="0" w:hanging="0"/>
        <w:jc w:val="both"/>
        <w:rPr/>
      </w:pPr>
      <w:r>
        <w:rPr/>
        <w:t>Las personas beneficiarias se obligan a comunicar al Ayuntamiento la obtención de subvenciones, ayudas, ingresos o recursos para la misma finalidad procedentes de cualquier Administración o ente público o privado, mediante la declaración responsable del ANEXO I.</w:t>
      </w:r>
    </w:p>
    <w:p>
      <w:pPr>
        <w:pStyle w:val="Cuerpodetexto"/>
        <w:spacing w:lineRule="auto" w:line="276" w:before="120" w:after="120"/>
        <w:ind w:left="0" w:right="0" w:hanging="0"/>
        <w:jc w:val="both"/>
        <w:rPr>
          <w:b/>
          <w:b/>
        </w:rPr>
      </w:pPr>
      <w:r>
        <w:rPr>
          <w:b/>
        </w:rPr>
        <w:t>8. JUSTIFICACIÓN</w:t>
      </w:r>
    </w:p>
    <w:p>
      <w:pPr>
        <w:pStyle w:val="Cuerpodetexto"/>
        <w:spacing w:lineRule="auto" w:line="276" w:before="120" w:after="120"/>
        <w:ind w:left="0" w:right="0" w:hanging="0"/>
        <w:jc w:val="both"/>
        <w:rPr/>
      </w:pPr>
      <w:r>
        <w:rPr/>
        <w:t>La justificación de la presente ayuda se realizará de conformidad con lo establecido en el artículo 30.7 de la Ley 38/2003, 17 de noviembre, General de Subvenciones.</w:t>
      </w:r>
    </w:p>
    <w:p>
      <w:pPr>
        <w:pStyle w:val="Cuerpodetexto"/>
        <w:spacing w:lineRule="auto" w:line="276" w:before="120" w:after="120"/>
        <w:ind w:left="0" w:right="0" w:hanging="0"/>
        <w:jc w:val="both"/>
        <w:rPr/>
      </w:pPr>
      <w:r>
        <w:rPr/>
        <w:t>La justificación de la ayuda se realizará con el certificado o justificante de figurar como deportistas en niveles “promoción” y “alta competición” (o equivalentes “A” y “B”, según disposición transitoria única del Decreto 39/2020, de 20 de marzo, del Consell, de medidas de apoyo a deportistas de élite y al personal técnico, entrenador, arbitral y juez de élite de la Comunitat Valenciana) o deportistas de “alto nivel”, siendo válida la aportación del listado publicado en el DOGV/BOE, documento presentado al solicitar la subvención, requisito que también podrá ser consultado de oficio por el órgano concedente.</w:t>
      </w:r>
    </w:p>
    <w:p>
      <w:pPr>
        <w:pStyle w:val="Cuerpodetexto"/>
        <w:spacing w:lineRule="auto" w:line="276" w:before="120" w:after="120"/>
        <w:ind w:left="0" w:right="0" w:hanging="0"/>
        <w:jc w:val="both"/>
        <w:rPr/>
      </w:pPr>
      <w:r>
        <w:rPr/>
        <w:t>Una vez resuelta la convocatoria se procederá al pago a través de transferencia bancaria en el número de cuenta que figure indicado en la solicitud (anexo I), respaldado con el número de cuenta incluido en la ficha de terceros (anexo II) o certificado de titularidad bancaria, que ha de corresponder al beneficiario de la ayuda o, en caso de menor de edad, a su padre, madre o tutor/tutora legal.</w:t>
      </w:r>
    </w:p>
    <w:p>
      <w:pPr>
        <w:pStyle w:val="Cuerpodetexto"/>
        <w:spacing w:lineRule="auto" w:line="276" w:before="120" w:after="120"/>
        <w:ind w:left="0" w:right="0" w:hanging="0"/>
        <w:jc w:val="both"/>
        <w:rPr>
          <w:b/>
          <w:b/>
        </w:rPr>
      </w:pPr>
      <w:r>
        <w:rPr>
          <w:b/>
        </w:rPr>
        <w:t>9. CAUSAS Y PROCEDIMIENTO DE REINTEGRO</w:t>
      </w:r>
    </w:p>
    <w:p>
      <w:pPr>
        <w:pStyle w:val="Cuerpodetexto"/>
        <w:spacing w:lineRule="auto" w:line="276" w:before="120" w:after="120"/>
        <w:ind w:left="0" w:right="0" w:hanging="0"/>
        <w:jc w:val="both"/>
        <w:rPr/>
      </w:pPr>
      <w:r>
        <w:rPr/>
        <w:t>Procederá el reintegro por parte de beneficiario con la exigencia del interés de demora del pago desde la fecha en que se acuerde el reintegro, en los casos previstos en el artículo 37 de la Ley 38/2003, de 17 de noviembre, General de Subvenciones y en el caso de incumplimiento de las obligaciones establecidas en estas bases y convocatoria.</w:t>
      </w:r>
    </w:p>
    <w:p>
      <w:pPr>
        <w:pStyle w:val="Cuerpodetexto"/>
        <w:spacing w:lineRule="auto" w:line="276" w:before="120" w:after="120"/>
        <w:ind w:left="0" w:right="0" w:hanging="0"/>
        <w:jc w:val="both"/>
        <w:rPr>
          <w:b/>
          <w:b/>
        </w:rPr>
      </w:pPr>
      <w:r>
        <w:rPr>
          <w:b/>
        </w:rPr>
        <w:t>10. PUBLICIDAD</w:t>
      </w:r>
    </w:p>
    <w:p>
      <w:pPr>
        <w:pStyle w:val="Cuerpodetexto"/>
        <w:spacing w:lineRule="auto" w:line="276" w:before="120" w:after="120"/>
        <w:ind w:left="0" w:right="0" w:hanging="0"/>
        <w:jc w:val="both"/>
        <w:rPr/>
      </w:pPr>
      <w:r>
        <w:rPr/>
        <w:t>El acuerdo de resolución por la que se apruebe la Convocatoria que contiene las bases específicas de la presente subvención se publicará en la Base de Datos Nacional de subvenciones, en el Portal de Transparencia a través de la web del Ayuntamiento de Xeraco y un extracto de la misma en el Boletín Oficial de la Provincia por conducto de la Base de Datos Nacional de Subvenciones.</w:t>
      </w:r>
    </w:p>
    <w:p>
      <w:pPr>
        <w:pStyle w:val="Cuerpodetexto"/>
        <w:spacing w:lineRule="auto" w:line="276" w:before="120" w:after="120"/>
        <w:ind w:left="0" w:right="0" w:hanging="0"/>
        <w:jc w:val="both"/>
        <w:rPr/>
      </w:pPr>
      <w:r>
        <w:rPr/>
        <w:t>El acuerdo de resolución por la que se concedan las ayudas, se publicará en la Base de Datos Nacional de subvenciones y en el Portal de Transparencia a través de la web del Ayuntamiento de Xeraco.</w:t>
      </w:r>
    </w:p>
    <w:p>
      <w:pPr>
        <w:pStyle w:val="Cuerpodetexto"/>
        <w:spacing w:lineRule="auto" w:line="276" w:before="120" w:after="120"/>
        <w:ind w:left="0" w:right="0" w:hanging="0"/>
        <w:jc w:val="both"/>
        <w:rPr>
          <w:b/>
          <w:b/>
        </w:rPr>
      </w:pPr>
      <w:r>
        <w:rPr>
          <w:b/>
        </w:rPr>
        <w:t>11. NORMATIVA APLICABLE</w:t>
      </w:r>
    </w:p>
    <w:p>
      <w:pPr>
        <w:pStyle w:val="Cuerpodetexto"/>
        <w:spacing w:lineRule="auto" w:line="276" w:before="120" w:after="120"/>
        <w:ind w:left="0" w:right="0" w:hanging="0"/>
        <w:jc w:val="both"/>
        <w:rPr/>
      </w:pPr>
      <w:r>
        <w:rPr/>
        <w:t>El presente procedimiento de subvención se rige por la Ley 38/2003, de 17 de noviembre, General de Subvenciones, por el Real Decreto 887/2006, de 21 de julio, por el que se aprueba el Reglamento de la Ley 38/2003, de 17 de noviembre, General de Subvenciones, por la Ordenanza General de subvenciones del ayuntamiento de Xeraco, y por la presente convocatoria.</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76" w:before="120" w:after="120"/>
        <w:jc w:val="both"/>
        <w:rPr>
          <w:szCs w:val="22"/>
          <w:lang w:val="ca-ES-valencia" w:bidi="ar-SA"/>
        </w:rPr>
      </w:pPr>
      <w:r>
        <w:rPr>
          <w:szCs w:val="22"/>
          <w:lang w:val="ca-ES-valencia" w:bidi="ar-SA"/>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76" w:before="120" w:after="120"/>
        <w:jc w:val="both"/>
        <w:rPr>
          <w:szCs w:val="22"/>
          <w:lang w:val="ca-ES-valencia" w:bidi="ar-SA"/>
        </w:rPr>
      </w:pPr>
      <w:r>
        <w:rPr>
          <w:szCs w:val="22"/>
          <w:lang w:val="ca-ES-valencia" w:bidi="ar-SA"/>
        </w:rPr>
      </w:r>
      <w:r>
        <w:br w:type="page"/>
      </w:r>
    </w:p>
    <w:p>
      <w:pPr>
        <w:pStyle w:val="Normal"/>
        <w:bidi w:val="0"/>
        <w:spacing w:lineRule="auto" w:line="276" w:before="113" w:after="113"/>
        <w:jc w:val="right"/>
        <w:rPr>
          <w:b/>
          <w:b/>
          <w:bCs/>
          <w:sz w:val="22"/>
          <w:szCs w:val="22"/>
          <w:lang w:val="ca-ES-valencia"/>
        </w:rPr>
      </w:pPr>
      <w:r>
        <w:rPr>
          <w:b/>
          <w:bCs/>
          <w:sz w:val="22"/>
          <w:szCs w:val="22"/>
          <w:lang w:val="ca-ES-valencia"/>
        </w:rPr>
        <w:t>Versió en valencià</w:t>
      </w:r>
    </w:p>
    <w:p>
      <w:pPr>
        <w:pStyle w:val="Cuerpodetexto"/>
        <w:bidi w:val="0"/>
        <w:spacing w:lineRule="auto" w:line="276" w:before="113" w:after="113"/>
        <w:jc w:val="both"/>
        <w:rPr>
          <w:b w:val="false"/>
          <w:b w:val="false"/>
          <w:bCs w:val="false"/>
          <w:sz w:val="22"/>
          <w:szCs w:val="22"/>
          <w:lang w:val="ca-ES" w:bidi="ar-SA"/>
        </w:rPr>
      </w:pPr>
      <w:r>
        <w:rPr>
          <w:b/>
          <w:bCs w:val="false"/>
          <w:sz w:val="22"/>
          <w:szCs w:val="22"/>
          <w:lang w:val="ca-ES" w:bidi="ar-SA"/>
        </w:rPr>
        <w:t>CONVOCATÒRIA I BASES ESPECÍFIQUES REGULADORES PER A LES AJUDES A ESPORTISTES D'ELIT (PROMOCIÓ I ALTA COMPETICIÓ) I ESPORTISTES D'ALT NIVELL DE XERACO, EN L'EXERCICI 2024. EXP. 339/2024</w:t>
      </w:r>
    </w:p>
    <w:p>
      <w:pPr>
        <w:pStyle w:val="Cuerpodetexto"/>
        <w:spacing w:lineRule="auto" w:line="276" w:before="113" w:after="113"/>
        <w:ind w:left="0" w:right="0" w:hanging="0"/>
        <w:jc w:val="both"/>
        <w:rPr>
          <w:b/>
          <w:b/>
          <w:lang w:val="ca-ES"/>
        </w:rPr>
      </w:pPr>
      <w:r>
        <w:rPr>
          <w:b/>
          <w:lang w:val="ca-ES"/>
        </w:rPr>
        <w:t>1. OBJECTE I DESTÍ</w:t>
      </w:r>
    </w:p>
    <w:p>
      <w:pPr>
        <w:pStyle w:val="Cuerpodetexto"/>
        <w:spacing w:lineRule="auto" w:line="276" w:before="113" w:after="113"/>
        <w:ind w:left="0" w:right="0" w:hanging="0"/>
        <w:jc w:val="both"/>
        <w:rPr>
          <w:lang w:val="ca-ES"/>
        </w:rPr>
      </w:pPr>
      <w:r>
        <w:rPr>
          <w:lang w:val="ca-ES"/>
        </w:rPr>
        <w:t>És objecte de la següent convocatòria la concessió d'ajudes econòmic-esportives a esportistes d'elit i alta competició i esportistes d'alt nivell del municipi de Xeraco, dins del Programa d'ajudes a Esportistes d'Elit del municipi de Xeraco, corresponent a l'exercici 2024, en matèria d'esports, sent la seua finalitat la de col·laborar en les despeses que la formació, preparació esportiva i la competició exigeix als esportistes d'elit promoció i alta competició i esportistes d'alt nivell, convertits en referent i model per a la joventut, afavorint el seu perfeccionament, amb vista a l'assoliment d'un més alt nivell en un futur pròxim.</w:t>
      </w:r>
    </w:p>
    <w:p>
      <w:pPr>
        <w:pStyle w:val="Cuerpodetexto"/>
        <w:spacing w:lineRule="auto" w:line="276" w:before="113" w:after="113"/>
        <w:ind w:left="0" w:right="0" w:hanging="0"/>
        <w:jc w:val="both"/>
        <w:rPr>
          <w:b/>
          <w:b/>
          <w:lang w:val="ca-ES"/>
        </w:rPr>
      </w:pPr>
      <w:r>
        <w:rPr>
          <w:b/>
          <w:lang w:val="ca-ES"/>
        </w:rPr>
        <w:t>2. DESTINATARIS/ÀRIES I REQUISITS</w:t>
      </w:r>
    </w:p>
    <w:p>
      <w:pPr>
        <w:pStyle w:val="Cuerpodetexto"/>
        <w:spacing w:lineRule="auto" w:line="276" w:before="113" w:after="113"/>
        <w:ind w:left="0" w:right="0" w:hanging="0"/>
        <w:jc w:val="both"/>
        <w:rPr>
          <w:b/>
          <w:b/>
          <w:lang w:val="ca-ES"/>
        </w:rPr>
      </w:pPr>
      <w:r>
        <w:rPr>
          <w:b/>
          <w:lang w:val="ca-ES"/>
        </w:rPr>
        <w:t>2.1. Requisits generals</w:t>
      </w:r>
    </w:p>
    <w:p>
      <w:pPr>
        <w:pStyle w:val="Cuerpodetexto"/>
        <w:spacing w:lineRule="auto" w:line="276" w:before="113" w:after="113"/>
        <w:ind w:left="0" w:right="0" w:hanging="0"/>
        <w:jc w:val="both"/>
        <w:rPr>
          <w:lang w:val="ca-ES"/>
        </w:rPr>
      </w:pPr>
      <w:r>
        <w:rPr>
          <w:lang w:val="ca-ES"/>
        </w:rPr>
        <w:t>Les persones beneficiàries han d'estar empadronades a Xeraco per un període de, almenys, dos anys anteriors a la data de la publicació de la Convocatòria d'aquestes ajudes en el Butlletí Oficial de la Província, circumstància que serà comprovada d'ofici pel departament de Cultura, Joventut i Esports.</w:t>
      </w:r>
    </w:p>
    <w:p>
      <w:pPr>
        <w:pStyle w:val="Cuerpodetexto"/>
        <w:spacing w:lineRule="auto" w:line="276" w:before="113" w:after="113"/>
        <w:ind w:left="0" w:right="0" w:hanging="0"/>
        <w:jc w:val="both"/>
        <w:rPr>
          <w:lang w:val="ca-ES"/>
        </w:rPr>
      </w:pPr>
      <w:r>
        <w:rPr>
          <w:lang w:val="ca-ES"/>
        </w:rPr>
        <w:t>La persona sol·licitant no ha d'estar incursa en cap de les circumstàncies que prohibeixen tenir la condició de beneficiari, previstes en l'article 13 de la llei 38/2003, de 17 de novembre, General de Subvencions; així com no tenir deutes tributaris i no tributàries locals, amb l'Administració Estatal de l'Agència Tributària, i/o amb la Seguretat Social. En cas en el qual la persona esportista siga menor d'edat, serà el pare, mare, tutor/tutora o representant legal de la mateixa qui haurà de trobar-se en compliment d'aquest article 13. Aquests requisits s'acreditaran mitjançant presentació de declaració responsable de no estar culpable en aquest supòsit, segons model establit a aquest efecte, o en el seu cas, aportant els certificats oportuns.</w:t>
      </w:r>
    </w:p>
    <w:p>
      <w:pPr>
        <w:pStyle w:val="Cuerpodetexto"/>
        <w:spacing w:lineRule="auto" w:line="276" w:before="113" w:after="113"/>
        <w:ind w:left="0" w:right="0" w:hanging="0"/>
        <w:jc w:val="both"/>
        <w:rPr>
          <w:b/>
          <w:b/>
          <w:lang w:val="ca-ES"/>
        </w:rPr>
      </w:pPr>
      <w:r>
        <w:rPr>
          <w:b/>
          <w:lang w:val="ca-ES"/>
        </w:rPr>
        <w:t>2.2. Requisits particulars per a acreditar les categories de "ESPORTISTES D'ELIT PROMOCIÓ I ALTA COMPETICIÓ" I "ESPORTISTES D'ALT NIVELL"</w:t>
      </w:r>
    </w:p>
    <w:p>
      <w:pPr>
        <w:pStyle w:val="Cuerpodetexto"/>
        <w:spacing w:lineRule="auto" w:line="276" w:before="113" w:after="113"/>
        <w:ind w:left="0" w:right="0" w:hanging="0"/>
        <w:jc w:val="both"/>
        <w:rPr>
          <w:lang w:val="ca-ES"/>
        </w:rPr>
      </w:pPr>
      <w:r>
        <w:rPr>
          <w:lang w:val="ca-ES"/>
        </w:rPr>
        <w:t>Són requisits particulars que han de reunir els beneficiaris d'aquestes ajudes els següents:</w:t>
      </w:r>
    </w:p>
    <w:p>
      <w:pPr>
        <w:pStyle w:val="Cuerpodetexto"/>
        <w:spacing w:lineRule="auto" w:line="276" w:before="113" w:after="113"/>
        <w:ind w:left="0" w:right="0" w:hanging="0"/>
        <w:jc w:val="both"/>
        <w:rPr>
          <w:lang w:val="ca-ES"/>
        </w:rPr>
      </w:pPr>
      <w:r>
        <w:rPr>
          <w:lang w:val="ca-ES"/>
        </w:rPr>
        <w:t>a) Estar en possessió de la llicència federativa de l'exercici 2024 o de la temporada 2023/2024, o certificat acreditatiu equivalent, de la modalitat esportiva corresponent en vigor, expedida per la Federació oportuna.</w:t>
      </w:r>
    </w:p>
    <w:p>
      <w:pPr>
        <w:pStyle w:val="Cuerpodetexto"/>
        <w:spacing w:lineRule="auto" w:line="276" w:before="113" w:after="113"/>
        <w:ind w:left="0" w:right="0" w:hanging="0"/>
        <w:jc w:val="both"/>
        <w:rPr>
          <w:lang w:val="ca-ES"/>
        </w:rPr>
      </w:pPr>
      <w:r>
        <w:rPr>
          <w:lang w:val="ca-ES"/>
        </w:rPr>
        <w:t>b) L'ajuda econòmic-esportiva va destinada a les persones que realitzen esport d'alt nivell denominats aquells que han estat acreditats com DAN (esportistes d'alt nivell) per resolució de l'òrgan competent del Consell Superior d'Esports incloent la relació d'esportistes d'alt nivell que es publicarà en el BOE i els acreditats com a esportistes d'elit promoció i alta competició que es publicaran en les llistes com a "Esportistes d'Elit" publicades per la Conselleria d'Educació, Cultura i Esport (DOGV).</w:t>
      </w:r>
    </w:p>
    <w:p>
      <w:pPr>
        <w:pStyle w:val="Cuerpodetexto"/>
        <w:spacing w:lineRule="auto" w:line="276" w:before="113" w:after="113"/>
        <w:ind w:left="0" w:right="0" w:hanging="0"/>
        <w:jc w:val="both"/>
        <w:rPr>
          <w:lang w:val="ca-ES"/>
        </w:rPr>
      </w:pPr>
      <w:r>
        <w:rPr>
          <w:lang w:val="ca-ES"/>
        </w:rPr>
        <w:t>c) Les persones esportistes que figuren acreditades com a Esportistes d'alt nivell, relacionats en la resolució del president del Consell Superior d'Esports publicat en el BOE, i els esportistes d'elit que figuren en les llistes d'Esportistes d'Elit publicades de manera oficial en la Conselleria d'educació, cultura i esports o organisme públic anàleg, en més d'una disciplina diferent, podran sol·licitar l'ajuda per a les diferents disciplines esportives en les quals siguen reconeguts amb tals nivells.</w:t>
      </w:r>
    </w:p>
    <w:p>
      <w:pPr>
        <w:pStyle w:val="Cuerpodetexto"/>
        <w:spacing w:lineRule="auto" w:line="276" w:before="113" w:after="113"/>
        <w:ind w:left="0" w:right="0" w:hanging="0"/>
        <w:jc w:val="both"/>
        <w:rPr>
          <w:lang w:val="ca-ES"/>
        </w:rPr>
      </w:pPr>
      <w:r>
        <w:rPr>
          <w:lang w:val="ca-ES"/>
        </w:rPr>
        <w:t>No podran beneficiar-se d'aquesta ajuda els que no estiguen inclosos en aquestes llestes BOE com "DONEN" i DOGV per a "Esportistes d'Elit promoció i alta competició":</w:t>
      </w:r>
    </w:p>
    <w:p>
      <w:pPr>
        <w:pStyle w:val="Cuerpodetexto"/>
        <w:spacing w:lineRule="auto" w:line="276" w:before="113" w:after="113"/>
        <w:ind w:left="0" w:right="0" w:hanging="0"/>
        <w:jc w:val="both"/>
        <w:rPr>
          <w:lang w:val="ca-ES"/>
        </w:rPr>
      </w:pPr>
      <w:r>
        <w:rPr>
          <w:lang w:val="ca-ES"/>
        </w:rPr>
        <w:t>1. Sobre la base del que s'estableix en els articles 3, 4 i 16 del Reial decret 971/2007 de 13 de juliol sobre esportistes d'Alt Nivell, els beneficis que s'estableixen en aquest Reial decret per l'ostentació de la condició d'esportistes d'Alt Nivell es manté, excepte evidència en contra, durant els cinc anys (tret que aquest esportista haja estat medallista olímpic o paralímpic, i en aquest cas el termini de durada serà de set anys) següents a l'última publicació de la llista en la resolució del president del Consell Superior d'Esports publicat en el BOE, on se'l reconeix la seua condició d'esportista d'Alt Nivell.</w:t>
      </w:r>
    </w:p>
    <w:p>
      <w:pPr>
        <w:pStyle w:val="Cuerpodetexto"/>
        <w:spacing w:lineRule="auto" w:line="276" w:before="113" w:after="113"/>
        <w:ind w:left="0" w:right="0" w:hanging="0"/>
        <w:jc w:val="both"/>
        <w:rPr>
          <w:lang w:val="ca-ES"/>
        </w:rPr>
      </w:pPr>
      <w:r>
        <w:rPr>
          <w:lang w:val="ca-ES"/>
        </w:rPr>
        <w:t>2. Sobre la base dels articles 2 "Esportistes d'elit de la Comunitat Valenciana" i 17 "Pèrdua del dret a les mesures de protecció i suport", del Decret 39/2020, de 20 de març, del Consell, de mesures de suport a esportistes d'elit i al personal tècnic, entrenador, arbitral i jutge d'elit de la Comunitat Valenciana (DOGV Núm. 8784 de 08/04/2020), els beneficis que s'estableixen en aquest decret per l'ostentació de la condició d'esportista d'elit i la condició d'esportista d'elit es manté, excepte evidència en contra, durant els tres anys següents a l'última publicació de la llista en el Diari Oficial de la Generalitat Valenciana o butlletí oficial organisme públic anàleg corresponent on se'l reconeix la seua condició d'esportista d'elit.</w:t>
      </w:r>
    </w:p>
    <w:p>
      <w:pPr>
        <w:pStyle w:val="Cuerpodetexto"/>
        <w:spacing w:lineRule="auto" w:line="276" w:before="113" w:after="113"/>
        <w:ind w:left="0" w:right="0" w:hanging="0"/>
        <w:jc w:val="both"/>
        <w:rPr>
          <w:lang w:val="ca-ES"/>
        </w:rPr>
      </w:pPr>
      <w:r>
        <w:rPr>
          <w:lang w:val="ca-ES"/>
        </w:rPr>
        <w:t>3. D'acord amb la disposició transitòria única del Decret 39/2020, de 20 de març, del Consell, de mesures de suport a esportistes d'elit i al personal tècnic, entrenador, arbitral i jutge d'elit de la Comunitat Valenciana, les persones definides com a esportistes d'elit Nivell A i Nivell B en aplicació del Decret 13/2006, de 20 de gener, del Consell, sobre els esportistes d'elit de la Comunitat Valenciana, seran equivalents a les persones esportistes d'elit d’alta competició regulades en el present decret, i les persones esportistes d'elit de nivell promoció segons el Decret 13/2006 seran equivalents a les d'elit promoció regulades el decret 39/2020.</w:t>
      </w:r>
    </w:p>
    <w:p>
      <w:pPr>
        <w:pStyle w:val="Cuerpodetexto"/>
        <w:spacing w:lineRule="auto" w:line="276" w:before="113" w:after="113"/>
        <w:ind w:left="0" w:right="0" w:hanging="0"/>
        <w:jc w:val="both"/>
        <w:rPr>
          <w:lang w:val="ca-ES"/>
        </w:rPr>
      </w:pPr>
      <w:r>
        <w:rPr>
          <w:lang w:val="ca-ES"/>
        </w:rPr>
        <w:t>El que s'estableix en el Reial decret 971/2007 de 13 de juliol sobre esportistes d'Alt Nivell i alt rendiment i Decret 39/2020, de 20 de març, del Consell, de mesures de suport a esportistes d'elit i al personal tècnic, entrenador, arbitral i jutge d'elit de la Comunitat Valenciana (Núm. 8784 de 08/04/2020), es fa extensible al que s'estableix en les presents Bases Reguladores de les ajudes de la Convocatòria de subvencions destinades a ajudes a esportistes d'elit promoció i alta competició i esportistes d'alt nivell de Xeraco per a l'exercici 2024.</w:t>
      </w:r>
    </w:p>
    <w:p>
      <w:pPr>
        <w:pStyle w:val="Cuerpodetexto"/>
        <w:spacing w:lineRule="auto" w:line="276" w:before="113" w:after="113"/>
        <w:ind w:left="0" w:right="0" w:hanging="0"/>
        <w:jc w:val="both"/>
        <w:rPr>
          <w:b/>
          <w:b/>
          <w:lang w:val="ca-ES"/>
        </w:rPr>
      </w:pPr>
      <w:r>
        <w:rPr>
          <w:b/>
          <w:lang w:val="ca-ES"/>
        </w:rPr>
        <w:t>3. SOL·LICITUDS</w:t>
      </w:r>
    </w:p>
    <w:p>
      <w:pPr>
        <w:pStyle w:val="Cuerpodetexto"/>
        <w:spacing w:lineRule="auto" w:line="276" w:before="113" w:after="113"/>
        <w:ind w:left="0" w:right="0" w:hanging="0"/>
        <w:jc w:val="both"/>
        <w:rPr/>
      </w:pPr>
      <w:r>
        <w:rPr>
          <w:b/>
          <w:lang w:val="ca-ES"/>
        </w:rPr>
        <w:t>3.1.</w:t>
      </w:r>
      <w:r>
        <w:rPr/>
        <w:t xml:space="preserve"> </w:t>
      </w:r>
      <w:r>
        <w:rPr>
          <w:lang w:val="ca-ES"/>
        </w:rPr>
        <w:t>Per a sol·licitar l'ajuda es presentaran emplenats l'ANNEX I (sol·licitud/declaració responsable) i, si és el cas, l'ANNEX II (fitxa de manteniment de tercers).</w:t>
      </w:r>
    </w:p>
    <w:p>
      <w:pPr>
        <w:pStyle w:val="Cuerpodetexto"/>
        <w:spacing w:lineRule="auto" w:line="276" w:before="113" w:after="113"/>
        <w:ind w:left="0" w:right="0" w:hanging="0"/>
        <w:jc w:val="both"/>
        <w:rPr>
          <w:lang w:val="ca-ES"/>
        </w:rPr>
      </w:pPr>
      <w:r>
        <w:rPr>
          <w:lang w:val="ca-ES"/>
        </w:rPr>
        <w:t>Els annexos es trobaran publicats en la pàgina web.</w:t>
      </w:r>
    </w:p>
    <w:p>
      <w:pPr>
        <w:pStyle w:val="Cuerpodetexto"/>
        <w:spacing w:lineRule="auto" w:line="276" w:before="113" w:after="113"/>
        <w:ind w:left="0" w:right="0" w:hanging="0"/>
        <w:jc w:val="both"/>
        <w:rPr/>
      </w:pPr>
      <w:r>
        <w:rPr>
          <w:b/>
          <w:lang w:val="ca-ES"/>
        </w:rPr>
        <w:t>3.2.</w:t>
      </w:r>
      <w:r>
        <w:rPr/>
        <w:t xml:space="preserve"> </w:t>
      </w:r>
      <w:r>
        <w:rPr>
          <w:lang w:val="ca-ES"/>
        </w:rPr>
        <w:t>Les sol·licituds i la documentació corresponent es presentaran preferentment de manera telemàtica, a través de la Seu Electrònica de l'Ajuntament de Xeraco: https://xeraco.sedelectronica.es/info.0: Tràmits destacats, precisant per a això de la identificació digital oportuna. De manera alternativa, podrà realitzar-se mitjançant la presentació de la sol·licitud i documentació en el Registre d'Entrada de l'Ajuntament de Xeraco, situat en Plaça de l'Església, 3, en l'horari vigent durant el termini de sol·licitud o en qualsevol dels llocs a què es refereix l'article 16.4 de la Llei 39/2015, d'1 d'octubre, de Procediment Administratiu Comú de les Administracions Públiques.</w:t>
      </w:r>
    </w:p>
    <w:p>
      <w:pPr>
        <w:pStyle w:val="Cuerpodetexto"/>
        <w:spacing w:lineRule="auto" w:line="276" w:before="113" w:after="113"/>
        <w:ind w:left="0" w:right="0" w:hanging="0"/>
        <w:jc w:val="both"/>
        <w:rPr>
          <w:lang w:val="ca-ES"/>
        </w:rPr>
      </w:pPr>
      <w:r>
        <w:rPr>
          <w:lang w:val="ca-ES"/>
        </w:rPr>
        <w:t>El model de sol·licitud normalitzat per a l'obtenció de les subvencions regulades en la present convocatòria estarà disponible en la seu electrònica municipal (www.xeraco.es).</w:t>
      </w:r>
    </w:p>
    <w:p>
      <w:pPr>
        <w:pStyle w:val="Cuerpodetexto"/>
        <w:spacing w:lineRule="auto" w:line="276" w:before="113" w:after="113"/>
        <w:ind w:left="0" w:right="0" w:hanging="0"/>
        <w:jc w:val="both"/>
        <w:rPr/>
      </w:pPr>
      <w:r>
        <w:rPr>
          <w:b/>
          <w:lang w:val="ca-ES"/>
        </w:rPr>
        <w:t xml:space="preserve">3.3. </w:t>
      </w:r>
      <w:r>
        <w:rPr>
          <w:lang w:val="ca-ES"/>
        </w:rPr>
        <w:t>El termini de presentació de sol·licituds serà de QUINZE (15) dies hàbils a comptar des de l'endemà de la publicació de l'extracte de la Convocatòria d'aquestes ajudes en el Butlletí Oficial de la Província.</w:t>
      </w:r>
    </w:p>
    <w:p>
      <w:pPr>
        <w:pStyle w:val="Cuerpodetexto"/>
        <w:spacing w:lineRule="auto" w:line="276" w:before="113" w:after="113"/>
        <w:ind w:left="0" w:right="0" w:hanging="0"/>
        <w:jc w:val="both"/>
        <w:rPr/>
      </w:pPr>
      <w:r>
        <w:rPr>
          <w:b/>
          <w:lang w:val="ca-ES"/>
        </w:rPr>
        <w:t xml:space="preserve">3.4. </w:t>
      </w:r>
      <w:r>
        <w:rPr>
          <w:lang w:val="ca-ES"/>
        </w:rPr>
        <w:t>Si, analitzades les sol·licituds, s'observés que són incompletes o que no reuneixen els requisits exigits, es requerirà a l'interessat perquè, en un termini de deu dies hàbils, esmene la falta o acompanye els documents preceptius amb indicació que, si així no ho fes, se li tindrà per desistit de la seua sol·licitud, prèvia resolució expressa.</w:t>
      </w:r>
    </w:p>
    <w:p>
      <w:pPr>
        <w:pStyle w:val="Cuerpodetexto"/>
        <w:spacing w:lineRule="auto" w:line="276" w:before="113" w:after="113"/>
        <w:ind w:left="0" w:right="0" w:hanging="0"/>
        <w:jc w:val="both"/>
        <w:rPr/>
      </w:pPr>
      <w:r>
        <w:rPr>
          <w:b/>
          <w:lang w:val="ca-ES"/>
        </w:rPr>
        <w:t xml:space="preserve">3.5. </w:t>
      </w:r>
      <w:r>
        <w:rPr>
          <w:lang w:val="ca-ES"/>
        </w:rPr>
        <w:t>No seran admeses a tràmit les sol·licituds presentades fora del termini establit, resolent-se la inadmissió d'aquestes.</w:t>
      </w:r>
    </w:p>
    <w:p>
      <w:pPr>
        <w:pStyle w:val="Cuerpodetexto"/>
        <w:spacing w:lineRule="auto" w:line="276" w:before="113" w:after="113"/>
        <w:ind w:left="0" w:right="0" w:hanging="0"/>
        <w:jc w:val="both"/>
        <w:rPr/>
      </w:pPr>
      <w:r>
        <w:rPr>
          <w:b/>
          <w:lang w:val="ca-ES"/>
        </w:rPr>
        <w:t>3.6.</w:t>
      </w:r>
      <w:r>
        <w:rPr/>
        <w:t xml:space="preserve"> </w:t>
      </w:r>
      <w:r>
        <w:rPr>
          <w:lang w:val="ca-ES"/>
        </w:rPr>
        <w:t>L'imprès de sol·licitud/declaració responsable (ANNEX I) anirà acompanyat de la següent documentació:</w:t>
      </w:r>
    </w:p>
    <w:p>
      <w:pPr>
        <w:pStyle w:val="Cuerpodetexto"/>
        <w:spacing w:lineRule="auto" w:line="276" w:before="113" w:after="113"/>
        <w:ind w:left="720" w:right="0" w:hanging="360"/>
        <w:jc w:val="both"/>
        <w:rPr/>
      </w:pPr>
      <w:r>
        <w:rPr>
          <w:rFonts w:ascii="Wingdings" w:hAnsi="Wingdings"/>
          <w:lang w:val="ca-ES"/>
        </w:rPr>
        <w:t>è</w:t>
      </w:r>
      <w:r>
        <w:rPr>
          <w:rFonts w:ascii="Wingdings" w:hAnsi="Wingdings"/>
          <w:caps w:val="false"/>
          <w:smallCaps w:val="false"/>
          <w:lang w:val="ca-ES"/>
        </w:rPr>
        <w:t xml:space="preserve"> </w:t>
      </w:r>
      <w:r>
        <w:rPr>
          <w:lang w:val="ca-ES"/>
        </w:rPr>
        <w:t>Llicència federativa de l'exercici 2024 o de la Temporada 2023/2024, o certificat acreditatiu equivalent, de la modalitat esportiva corresponent en vigor, expedida per la Federació oportuna.</w:t>
      </w:r>
    </w:p>
    <w:p>
      <w:pPr>
        <w:pStyle w:val="Cuerpodetexto"/>
        <w:spacing w:lineRule="auto" w:line="276" w:before="113" w:after="113"/>
        <w:ind w:left="720" w:right="0" w:hanging="360"/>
        <w:jc w:val="both"/>
        <w:rPr/>
      </w:pPr>
      <w:r>
        <w:rPr>
          <w:rFonts w:ascii="Wingdings" w:hAnsi="Wingdings"/>
          <w:lang w:val="ca-ES"/>
        </w:rPr>
        <w:t>è</w:t>
      </w:r>
      <w:r>
        <w:rPr>
          <w:rFonts w:ascii="Wingdings" w:hAnsi="Wingdings"/>
          <w:caps w:val="false"/>
          <w:smallCaps w:val="false"/>
          <w:lang w:val="ca-ES"/>
        </w:rPr>
        <w:t xml:space="preserve"> </w:t>
      </w:r>
      <w:r>
        <w:rPr>
          <w:lang w:val="ca-ES"/>
        </w:rPr>
        <w:t>Acreditació del número de compte bancària inclòs en la Sol·licitud (Annex I) a través d'un dels següents mitjans:</w:t>
      </w:r>
    </w:p>
    <w:p>
      <w:pPr>
        <w:pStyle w:val="Cuerpodetexto"/>
        <w:spacing w:lineRule="auto" w:line="276" w:before="113" w:after="113"/>
        <w:ind w:left="1247" w:right="0" w:hanging="340"/>
        <w:jc w:val="both"/>
        <w:rPr/>
      </w:pPr>
      <w:r>
        <w:rPr>
          <w:rFonts w:ascii="Wingdings" w:hAnsi="Wingdings"/>
          <w:lang w:val="ca-ES"/>
        </w:rPr>
        <w:t>ü</w:t>
      </w:r>
      <w:r>
        <w:rPr>
          <w:rFonts w:ascii="Wingdings" w:hAnsi="Wingdings"/>
          <w:caps w:val="false"/>
          <w:smallCaps w:val="false"/>
          <w:lang w:val="ca-ES"/>
        </w:rPr>
        <w:t xml:space="preserve"> </w:t>
      </w:r>
      <w:r>
        <w:rPr>
          <w:lang w:val="ca-ES"/>
        </w:rPr>
        <w:t>La presentació de l'ANNEX II Fitxa de manteniment de tercers, emplenat i degudament signat.</w:t>
      </w:r>
    </w:p>
    <w:p>
      <w:pPr>
        <w:pStyle w:val="Cuerpodetexto"/>
        <w:spacing w:lineRule="auto" w:line="276" w:before="113" w:after="113"/>
        <w:ind w:left="1247" w:right="0" w:hanging="340"/>
        <w:jc w:val="both"/>
        <w:rPr/>
      </w:pPr>
      <w:r>
        <w:rPr>
          <w:rFonts w:ascii="Wingdings" w:hAnsi="Wingdings"/>
          <w:lang w:val="ca-ES"/>
        </w:rPr>
        <w:t>ü</w:t>
      </w:r>
      <w:r>
        <w:rPr>
          <w:rFonts w:ascii="Wingdings" w:hAnsi="Wingdings"/>
          <w:caps w:val="false"/>
          <w:smallCaps w:val="false"/>
          <w:lang w:val="ca-ES"/>
        </w:rPr>
        <w:t xml:space="preserve"> </w:t>
      </w:r>
      <w:r>
        <w:rPr>
          <w:lang w:val="ca-ES"/>
        </w:rPr>
        <w:t>A través de la presentació del certificat de titularitat bancària obtingut via electrònica o presencial.</w:t>
      </w:r>
    </w:p>
    <w:p>
      <w:pPr>
        <w:pStyle w:val="Cuerpodetexto"/>
        <w:spacing w:lineRule="auto" w:line="276" w:before="113" w:after="113"/>
        <w:ind w:left="0" w:right="0" w:hanging="0"/>
        <w:jc w:val="both"/>
        <w:rPr>
          <w:lang w:val="ca-ES"/>
        </w:rPr>
      </w:pPr>
      <w:r>
        <w:rPr>
          <w:lang w:val="ca-ES"/>
        </w:rPr>
        <w:t>En cas que aquestes dades obren en poder de l'administració, no serà necessari aportar-ho i haurà de marcar en la sol·licitud, que ja obra en poder de l'administració per haver estat presentat amb anterioritat, marcant la casella habilitada en l'Annex II a aquest efecte, no sent necessari aportar els documents anteriors.</w:t>
      </w:r>
    </w:p>
    <w:p>
      <w:pPr>
        <w:pStyle w:val="Cuerpodetexto"/>
        <w:spacing w:lineRule="auto" w:line="276" w:before="113" w:after="113"/>
        <w:ind w:left="0" w:right="0" w:hanging="0"/>
        <w:jc w:val="both"/>
        <w:rPr>
          <w:lang w:val="ca-ES"/>
        </w:rPr>
      </w:pPr>
      <w:r>
        <w:rPr>
          <w:lang w:val="ca-ES"/>
        </w:rPr>
        <w:t>Per a acreditar la condició de ser Esportista d'Elit promoció o alta competició: Aportar Certificat o Justificant de figurar en la llista publicada per la Conselleria d'esports o organisme públic anàleg (DOGV/BOE), d'ostentar la condició d'Esportista d'Elit. En cas de no ser aportat juntament amb la sol·licitud per l'interessat o, fins i tot havent-se aportat, per a la seua verificació, aquest extrem podrà ser comprovat d'ofici per l'Ajuntament de Xeraco després de consulta en els llistats oficials oportuns.</w:t>
      </w:r>
    </w:p>
    <w:p>
      <w:pPr>
        <w:pStyle w:val="Cuerpodetexto"/>
        <w:spacing w:lineRule="auto" w:line="276" w:before="113" w:after="113"/>
        <w:ind w:left="0" w:right="0" w:hanging="0"/>
        <w:jc w:val="both"/>
        <w:rPr>
          <w:lang w:val="ca-ES"/>
        </w:rPr>
      </w:pPr>
      <w:r>
        <w:rPr>
          <w:lang w:val="ca-ES"/>
        </w:rPr>
        <w:t>Per a acreditar la condició d'Alt Nivell: Aportar Certificat o Justificant de figurar en la llista publicada pel BOE, segons el Reial decret 971/2007 de 13 de juliol, sobre esportistes d'Alt Nivell i Alt Rendiment, d'ostentar aquesta condició. En cas de no ser aportat juntament amb la sol·licitud per l'interessat o, fins i tot havent-se aportat, per a la seua verificació, aquest extrem podrà ser comprovat d'ofici per l'Ajuntament de Xeraco després de consulta en els llistats oficials oportuns.</w:t>
      </w:r>
    </w:p>
    <w:p>
      <w:pPr>
        <w:pStyle w:val="Cuerpodetexto"/>
        <w:spacing w:lineRule="auto" w:line="276" w:before="113" w:after="113"/>
        <w:ind w:left="0" w:right="0" w:hanging="0"/>
        <w:jc w:val="both"/>
        <w:rPr/>
      </w:pPr>
      <w:r>
        <w:rPr>
          <w:b/>
          <w:lang w:val="ca-ES"/>
        </w:rPr>
        <w:t>3.7.</w:t>
      </w:r>
      <w:r>
        <w:rPr/>
        <w:t xml:space="preserve"> </w:t>
      </w:r>
      <w:r>
        <w:rPr>
          <w:lang w:val="ca-ES"/>
        </w:rPr>
        <w:t>La mera presentació de la sol·licitud en aquesta convocatòria suposa la plena acceptació d'aquestes Bases i la recepció del fet subvencionable, així com el compromís que el/la sol·licitant compleix les obligacions i deures que es desprenen d'aquestes.</w:t>
      </w:r>
    </w:p>
    <w:p>
      <w:pPr>
        <w:pStyle w:val="Cuerpodetexto"/>
        <w:spacing w:lineRule="auto" w:line="276" w:before="113" w:after="113"/>
        <w:ind w:left="0" w:right="0" w:hanging="0"/>
        <w:jc w:val="both"/>
        <w:rPr>
          <w:b/>
          <w:b/>
          <w:lang w:val="ca-ES"/>
        </w:rPr>
      </w:pPr>
      <w:r>
        <w:rPr>
          <w:b/>
          <w:lang w:val="ca-ES"/>
        </w:rPr>
        <w:t>4. TIPUS, QUANTIA I CRÈDIT PRESSUPOSTARI</w:t>
      </w:r>
    </w:p>
    <w:p>
      <w:pPr>
        <w:pStyle w:val="Cuerpodetexto"/>
        <w:spacing w:lineRule="auto" w:line="276" w:before="113" w:after="113"/>
        <w:ind w:left="0" w:right="0" w:hanging="0"/>
        <w:jc w:val="both"/>
        <w:rPr/>
      </w:pPr>
      <w:r>
        <w:rPr>
          <w:b/>
          <w:lang w:val="ca-ES"/>
        </w:rPr>
        <w:t>4.1.</w:t>
      </w:r>
      <w:r>
        <w:rPr/>
        <w:t xml:space="preserve"> </w:t>
      </w:r>
      <w:r>
        <w:rPr>
          <w:lang w:val="ca-ES"/>
        </w:rPr>
        <w:t>L'import total estimat de l'ajuda serà d'un màxim de 5.000 € i les ajudes es faran efectives amb càrrec a l'aplicació pressupostària 3410.48020, partida denominada "Beques Esportistes d'Elit", quedant condicionada la concessió al pressupost de despeses de l'Ajuntament de Xeraco per a l'exercici 2024.</w:t>
      </w:r>
    </w:p>
    <w:p>
      <w:pPr>
        <w:pStyle w:val="Cuerpodetexto"/>
        <w:spacing w:lineRule="auto" w:line="276" w:before="113" w:after="113"/>
        <w:ind w:left="0" w:right="0" w:hanging="0"/>
        <w:jc w:val="both"/>
        <w:rPr>
          <w:lang w:val="ca-ES"/>
        </w:rPr>
      </w:pPr>
      <w:r>
        <w:rPr>
          <w:lang w:val="ca-ES"/>
        </w:rPr>
        <w:t>En el cas que el crèdit consignat siga insuficient atés el nombre de sol·licituds presentades i una vegada finalitzat el termini de presentació, l'import es repartirà de manera proporcional entre les ajudes concedides minorant l'import de cada ajuda, tret que s'habilite crèdit si concorren les circumstàncies i requisits previstos en l'article 58 del Reial decret 887/2006, de 21 de juliol, pel qual aprova el Reglament de la Llei 38/2003, de 17 de novembre, General de Subvencions.</w:t>
      </w:r>
    </w:p>
    <w:p>
      <w:pPr>
        <w:pStyle w:val="Cuerpodetexto"/>
        <w:spacing w:lineRule="auto" w:line="276" w:before="113" w:after="227"/>
        <w:ind w:left="0" w:right="0" w:hanging="0"/>
        <w:jc w:val="both"/>
        <w:rPr/>
      </w:pPr>
      <w:r>
        <w:rPr>
          <w:b/>
          <w:lang w:val="ca-ES"/>
        </w:rPr>
        <w:t>4.2.</w:t>
      </w:r>
      <w:r>
        <w:rPr/>
        <w:t xml:space="preserve"> </w:t>
      </w:r>
      <w:r>
        <w:rPr>
          <w:lang w:val="ca-ES"/>
        </w:rPr>
        <w:t>Per a la determinació de l'import fix de les ajudes econòmic-esportives es prendran com a referència la següent taula adjunta:</w:t>
      </w:r>
    </w:p>
    <w:tbl>
      <w:tblPr>
        <w:tblW w:w="8787" w:type="dxa"/>
        <w:jc w:val="left"/>
        <w:tblInd w:w="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28" w:type="dxa"/>
          <w:left w:w="18" w:type="dxa"/>
          <w:bottom w:w="28" w:type="dxa"/>
          <w:right w:w="28" w:type="dxa"/>
        </w:tblCellMar>
      </w:tblPr>
      <w:tblGrid>
        <w:gridCol w:w="6512"/>
        <w:gridCol w:w="2274"/>
      </w:tblGrid>
      <w:tr>
        <w:trPr/>
        <w:tc>
          <w:tcPr>
            <w:tcW w:w="8786"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pacing w:before="0" w:after="283"/>
              <w:jc w:val="center"/>
              <w:rPr>
                <w:b/>
                <w:b/>
              </w:rPr>
            </w:pPr>
            <w:r>
              <w:rPr>
                <w:b/>
              </w:rPr>
              <w:t>CUADRO DE IMPORTES DE AYUDA A CONCEDER</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before="0" w:after="283"/>
              <w:jc w:val="center"/>
              <w:rPr>
                <w:b/>
                <w:b/>
              </w:rPr>
            </w:pPr>
            <w:r>
              <w:rPr>
                <w:b/>
              </w:rPr>
              <w:t>Nivel</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before="0" w:after="283"/>
              <w:jc w:val="center"/>
              <w:rPr>
                <w:b/>
                <w:b/>
              </w:rPr>
            </w:pPr>
            <w:r>
              <w:rPr>
                <w:b/>
              </w:rPr>
              <w:t>Importe ayuda</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52" w:before="57" w:after="57"/>
              <w:ind w:left="0" w:right="0" w:hanging="0"/>
              <w:jc w:val="both"/>
              <w:rPr>
                <w:sz w:val="18"/>
              </w:rPr>
            </w:pPr>
            <w:r>
              <w:rPr>
                <w:sz w:val="18"/>
              </w:rPr>
              <w:t>Deportista de Alto Nivel del Consejo Superior del Deporte</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lineRule="auto" w:line="252" w:before="57" w:after="57"/>
              <w:ind w:left="0" w:right="0" w:hanging="0"/>
              <w:jc w:val="center"/>
              <w:rPr/>
            </w:pPr>
            <w:r>
              <w:rPr/>
              <w:t>1.000,00 €</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52" w:before="57" w:after="57"/>
              <w:ind w:left="0" w:right="0" w:hanging="0"/>
              <w:jc w:val="both"/>
              <w:rPr>
                <w:sz w:val="18"/>
              </w:rPr>
            </w:pPr>
            <w:r>
              <w:rPr>
                <w:sz w:val="18"/>
              </w:rPr>
              <w:t>Deportista de élite “Alta competición” de la Comunidad Valenciana (nivel equivalente para deportistas de élite Nivel A y Nivel B según Decreto 13/2006, de 20 de enero, del Consell, sobre los deportistas de élite de la  C.V.)</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lineRule="auto" w:line="252" w:before="57" w:after="57"/>
              <w:ind w:left="0" w:right="0" w:hanging="0"/>
              <w:jc w:val="center"/>
              <w:rPr/>
            </w:pPr>
            <w:r>
              <w:rPr/>
              <w:t>700,00 €</w:t>
            </w:r>
          </w:p>
        </w:tc>
      </w:tr>
      <w:tr>
        <w:trPr/>
        <w:tc>
          <w:tcPr>
            <w:tcW w:w="65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52" w:before="57" w:after="57"/>
              <w:ind w:left="0" w:right="0" w:hanging="0"/>
              <w:jc w:val="both"/>
              <w:rPr>
                <w:sz w:val="18"/>
              </w:rPr>
            </w:pPr>
            <w:r>
              <w:rPr>
                <w:sz w:val="18"/>
              </w:rPr>
              <w:t>Deportista de élite “Promoción” de la Comunidad Valenciana</w:t>
            </w:r>
          </w:p>
        </w:tc>
        <w:tc>
          <w:tcPr>
            <w:tcW w:w="227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tcMar>
          </w:tcPr>
          <w:p>
            <w:pPr>
              <w:pStyle w:val="Contenidodelatabla"/>
              <w:spacing w:lineRule="auto" w:line="252" w:before="57" w:after="57"/>
              <w:ind w:left="0" w:right="0" w:hanging="0"/>
              <w:jc w:val="center"/>
              <w:rPr/>
            </w:pPr>
            <w:r>
              <w:rPr/>
              <w:t>400,00 €</w:t>
            </w:r>
          </w:p>
        </w:tc>
      </w:tr>
    </w:tbl>
    <w:p>
      <w:pPr>
        <w:pStyle w:val="Cuerpodetexto"/>
        <w:spacing w:lineRule="auto" w:line="276" w:before="340" w:after="113"/>
        <w:ind w:left="0" w:right="0" w:hanging="0"/>
        <w:jc w:val="both"/>
        <w:rPr/>
      </w:pPr>
      <w:r>
        <w:rPr>
          <w:b/>
          <w:lang w:val="ca-ES"/>
        </w:rPr>
        <w:t>4.3.</w:t>
      </w:r>
      <w:r>
        <w:rPr/>
        <w:t xml:space="preserve"> </w:t>
      </w:r>
      <w:r>
        <w:rPr>
          <w:lang w:val="ca-ES"/>
        </w:rPr>
        <w:t>L'ingrés de l'ajuda serà efectiu una vegada finalitzat el termini de recepció de sol·licituds i comprovats el compliment dels requisits per als beneficiaris, una vegada emesa la resolució d'Alcaldia per la qual es concedisquen les ajudes, a través de transferència bancària al número de compte indicat per les persones beneficiàries a tals efectes en la seua sol·licitud.</w:t>
      </w:r>
    </w:p>
    <w:p>
      <w:pPr>
        <w:pStyle w:val="Cuerpodetexto"/>
        <w:spacing w:lineRule="auto" w:line="276" w:before="113" w:after="113"/>
        <w:ind w:left="0" w:right="0" w:hanging="0"/>
        <w:jc w:val="both"/>
        <w:rPr>
          <w:b/>
          <w:b/>
          <w:lang w:val="ca-ES"/>
        </w:rPr>
      </w:pPr>
      <w:r>
        <w:rPr>
          <w:b/>
          <w:lang w:val="ca-ES"/>
        </w:rPr>
        <w:t>5. PROCEDIMENT DE CONCESSIÓ</w:t>
      </w:r>
    </w:p>
    <w:p>
      <w:pPr>
        <w:pStyle w:val="Cuerpodetexto"/>
        <w:spacing w:lineRule="auto" w:line="276" w:before="113" w:after="113"/>
        <w:ind w:left="0" w:right="0" w:hanging="0"/>
        <w:jc w:val="both"/>
        <w:rPr/>
      </w:pPr>
      <w:r>
        <w:rPr>
          <w:lang w:val="ca-ES"/>
        </w:rPr>
        <w:t>El procediment de concessió d'aquestes ajudes es tramitarà sota convocatòria pública, en règim de concessió directa, d'acord amb el que es preveu en l'article 22.2.c) de la Llei 38/2003, de 17 de novembre, General de Subvencions, per concórrer raon</w:t>
      </w:r>
      <w:r>
        <w:rPr>
          <w:lang w:val="ca-ES-valencia"/>
        </w:rPr>
        <w:t>s d'interés</w:t>
      </w:r>
      <w:r>
        <w:rPr/>
        <w:t xml:space="preserve"> </w:t>
      </w:r>
      <w:r>
        <w:rPr>
          <w:lang w:val="ca-ES"/>
        </w:rPr>
        <w:t>públic relacionades amb la finalitat d'aquestes ajudes, dirigides a col·laborar en les despeses que la formació, la preparació esportiva i la competició exigeix als esportistes d'elit, promoció i alta competició i esportistes d'alt nivell, convertits en referent i model per a la joventut, afavorint el seu perfeccionament, de cara a la consecució d'un més alt nivell en un futur pròxim, sense que puga excloure's a cap candidat o sector de la població que reunisca aquestes condicions.</w:t>
      </w:r>
    </w:p>
    <w:p>
      <w:pPr>
        <w:pStyle w:val="Cuerpodetexto"/>
        <w:spacing w:lineRule="auto" w:line="276" w:before="113" w:after="113"/>
        <w:ind w:left="0" w:right="0" w:hanging="0"/>
        <w:jc w:val="both"/>
        <w:rPr>
          <w:lang w:val="ca-ES"/>
        </w:rPr>
      </w:pPr>
      <w:r>
        <w:rPr>
          <w:lang w:val="ca-ES"/>
        </w:rPr>
        <w:t>El procediment de concessió de la subvenció s'iniciarà d'ofici, amb caràcter anual, per la convocatòria corresponent realitzada per l'òrgan competent.</w:t>
      </w:r>
    </w:p>
    <w:p>
      <w:pPr>
        <w:pStyle w:val="Cuerpodetexto"/>
        <w:spacing w:lineRule="auto" w:line="276" w:before="113" w:after="113"/>
        <w:ind w:left="0" w:right="0" w:hanging="0"/>
        <w:jc w:val="both"/>
        <w:rPr>
          <w:lang w:val="ca-ES"/>
        </w:rPr>
      </w:pPr>
      <w:r>
        <w:rPr>
          <w:lang w:val="ca-ES"/>
        </w:rPr>
        <w:t>Per a l'examen de les sol·licituds de subvencions es constituirà una Comissió avaluadora que estarà integrada pels següents membres:</w:t>
      </w:r>
    </w:p>
    <w:p>
      <w:pPr>
        <w:pStyle w:val="Cuerpodetexto"/>
        <w:spacing w:lineRule="auto" w:line="276" w:before="113" w:after="113"/>
        <w:ind w:left="283" w:right="0" w:hanging="0"/>
        <w:jc w:val="both"/>
        <w:rPr>
          <w:lang w:val="ca-ES"/>
        </w:rPr>
      </w:pPr>
      <w:r>
        <w:rPr>
          <w:lang w:val="ca-ES"/>
        </w:rPr>
        <w:t>1. El Regidor Delegat d'Esports o regidor en qui es delegue.</w:t>
      </w:r>
    </w:p>
    <w:p>
      <w:pPr>
        <w:pStyle w:val="Cuerpodetexto"/>
        <w:spacing w:lineRule="auto" w:line="276" w:before="113" w:after="113"/>
        <w:ind w:left="283" w:right="0" w:hanging="0"/>
        <w:jc w:val="both"/>
        <w:rPr>
          <w:lang w:val="ca-ES"/>
        </w:rPr>
      </w:pPr>
      <w:r>
        <w:rPr>
          <w:lang w:val="ca-ES"/>
        </w:rPr>
        <w:t>2. La tècnica de l'àrea de Joventut de l'Ajuntament de Xeraco o personal funcionari o empleat públic substitut que es designe.</w:t>
      </w:r>
    </w:p>
    <w:p>
      <w:pPr>
        <w:pStyle w:val="Cuerpodetexto"/>
        <w:spacing w:lineRule="auto" w:line="276" w:before="113" w:after="113"/>
        <w:ind w:left="283" w:right="0" w:hanging="0"/>
        <w:jc w:val="both"/>
        <w:rPr>
          <w:lang w:val="ca-ES"/>
        </w:rPr>
      </w:pPr>
      <w:r>
        <w:rPr>
          <w:lang w:val="ca-ES"/>
        </w:rPr>
        <w:t>3. Funcionari/ària de la Corporació que es designe.</w:t>
      </w:r>
    </w:p>
    <w:p>
      <w:pPr>
        <w:pStyle w:val="Cuerpodetexto"/>
        <w:spacing w:lineRule="auto" w:line="276" w:before="113" w:after="113"/>
        <w:ind w:left="0" w:right="0" w:hanging="0"/>
        <w:jc w:val="both"/>
        <w:rPr>
          <w:lang w:val="ca-ES"/>
        </w:rPr>
      </w:pPr>
      <w:r>
        <w:rPr>
          <w:lang w:val="ca-ES"/>
        </w:rPr>
        <w:t>Una vegada valorades les sol·licituds, la comissió de valoració redactarà l'acta de valoració amb indicació de les quanties que corresponen a cadascun dels beneficiaris amb indicació de les sol·licituds que s'estimen i les que es desestimen, sent aquestes últimes motivades, amb indicació de l'import concedit i l'activitat concreta que se subvenciona, i formularà la proposta de resolució provisional, degudament motivada, que haurà de publicar-se en el Tauler d'edictes de l'Ajuntament i en la pàgina web municipal (www.xeraco.es), i es concedirà un termini de 10 dies per a presentar al·legacions.</w:t>
      </w:r>
    </w:p>
    <w:p>
      <w:pPr>
        <w:pStyle w:val="Cuerpodetexto"/>
        <w:spacing w:lineRule="auto" w:line="276" w:before="113" w:after="113"/>
        <w:ind w:left="0" w:right="0" w:hanging="0"/>
        <w:jc w:val="both"/>
        <w:rPr>
          <w:lang w:val="ca-ES"/>
        </w:rPr>
      </w:pPr>
      <w:r>
        <w:rPr>
          <w:lang w:val="ca-ES"/>
        </w:rPr>
        <w:t>Es podrà prescindir del tràmit d'audiència quan no figuren en procediment ni siguen tinguts en compte altres fets ni altres al·legacions i proves que les adduïdes per les persones interessades. En aquest cas, la proposta de resolució formulada tindrà el caràcter de definitiva.</w:t>
      </w:r>
    </w:p>
    <w:p>
      <w:pPr>
        <w:pStyle w:val="Cuerpodetexto"/>
        <w:spacing w:lineRule="auto" w:line="276" w:before="113" w:after="113"/>
        <w:ind w:left="0" w:right="0" w:hanging="0"/>
        <w:jc w:val="both"/>
        <w:rPr>
          <w:lang w:val="ca-ES"/>
        </w:rPr>
      </w:pPr>
      <w:r>
        <w:rPr>
          <w:lang w:val="ca-ES"/>
        </w:rPr>
        <w:t>Examinades les al·legacions adduïdes, si és el cas, pels interessats, es formularà la proposta de resolució definitiva, que haurà d'expressar la persona sol·licitant o la relació de sol·licitants per als quals es proposa la concessió de la subvenció, i la seua quantia, especificant la seua avaluació i els criteris de valoració seguits per a efectuar-la.</w:t>
      </w:r>
    </w:p>
    <w:p>
      <w:pPr>
        <w:pStyle w:val="Cuerpodetexto"/>
        <w:spacing w:lineRule="auto" w:line="276" w:before="113" w:after="113"/>
        <w:ind w:left="0" w:right="0" w:hanging="0"/>
        <w:jc w:val="both"/>
        <w:rPr>
          <w:b/>
          <w:b/>
          <w:lang w:val="ca-ES"/>
        </w:rPr>
      </w:pPr>
      <w:r>
        <w:rPr>
          <w:b/>
          <w:lang w:val="ca-ES"/>
        </w:rPr>
        <w:t>6. ÒRGAN COMPETENT</w:t>
      </w:r>
    </w:p>
    <w:p>
      <w:pPr>
        <w:pStyle w:val="Cuerpodetexto"/>
        <w:spacing w:lineRule="auto" w:line="276" w:before="113" w:after="113"/>
        <w:ind w:left="0" w:right="0" w:hanging="0"/>
        <w:jc w:val="both"/>
        <w:rPr/>
      </w:pPr>
      <w:r>
        <w:rPr>
          <w:lang w:val="ca-ES"/>
        </w:rPr>
        <w:t>L'òrgan competent per a l'aprovació de la convocatòria que conté les bases específiques reguladores de les presents ajudes, l'ordenació, i instrucció de l'expedient, la resolució de la concessió d'ajudes i simultània justificació serà el Regidor d'Esports de l'Ajuntament de Xeraco, en virtut d'atribucions delegades per resolució d'alcaldia núm. 637/2023, de 19 de juny de 2023.</w:t>
      </w:r>
    </w:p>
    <w:p>
      <w:pPr>
        <w:pStyle w:val="Cuerpodetexto"/>
        <w:spacing w:lineRule="auto" w:line="276" w:before="113" w:after="113"/>
        <w:ind w:left="0" w:right="0" w:hanging="0"/>
        <w:jc w:val="both"/>
        <w:rPr>
          <w:b/>
          <w:b/>
          <w:lang w:val="ca-ES"/>
        </w:rPr>
      </w:pPr>
      <w:r>
        <w:rPr>
          <w:b/>
          <w:lang w:val="ca-ES"/>
        </w:rPr>
        <w:t>7. COMPATIBILITAT</w:t>
      </w:r>
    </w:p>
    <w:p>
      <w:pPr>
        <w:pStyle w:val="Cuerpodetexto"/>
        <w:spacing w:lineRule="auto" w:line="276" w:before="113" w:after="113"/>
        <w:ind w:left="0" w:right="0" w:hanging="0"/>
        <w:jc w:val="both"/>
        <w:rPr>
          <w:lang w:val="ca-ES"/>
        </w:rPr>
      </w:pPr>
      <w:r>
        <w:rPr>
          <w:lang w:val="ca-ES"/>
        </w:rPr>
        <w:t>Les subvencions que es concedisquen en el marc de les corresponents convocatòries seran compatibles amb altres de caràcter públic o privat que les entitats beneficiàries puguen obtenir per la mateixa finalitat, sense que en cap cas el total d'ingressos obtinguts per aquesta via puga ser superior al de les despeses suportades per aquestes.</w:t>
      </w:r>
    </w:p>
    <w:p>
      <w:pPr>
        <w:pStyle w:val="Cuerpodetexto"/>
        <w:spacing w:lineRule="auto" w:line="276" w:before="113" w:after="113"/>
        <w:ind w:left="0" w:right="0" w:hanging="0"/>
        <w:jc w:val="both"/>
        <w:rPr>
          <w:lang w:val="ca-ES"/>
        </w:rPr>
      </w:pPr>
      <w:r>
        <w:rPr>
          <w:lang w:val="ca-ES"/>
        </w:rPr>
        <w:t xml:space="preserve">Les persones beneficiàries s'obliguen a comunicar a l'Ajuntament l'obtenció de subvencions, ajudes, ingressos o recursos per a la mateixa finalitat procedents de qualsevol Administració o ens públic o privat, mitjançant la declaració responsable de </w:t>
      </w:r>
      <w:r>
        <w:rPr>
          <w:lang w:val="ca-ES-valencia" w:eastAsia="zh-CN" w:bidi="ar-SA"/>
        </w:rPr>
        <w:t>l'ANNEX I.</w:t>
      </w:r>
    </w:p>
    <w:p>
      <w:pPr>
        <w:pStyle w:val="Cuerpodetexto"/>
        <w:spacing w:lineRule="auto" w:line="276" w:before="113" w:after="113"/>
        <w:ind w:left="0" w:right="0" w:hanging="0"/>
        <w:jc w:val="both"/>
        <w:rPr>
          <w:b/>
          <w:b/>
          <w:lang w:val="ca-ES"/>
        </w:rPr>
      </w:pPr>
      <w:r>
        <w:rPr>
          <w:b/>
          <w:lang w:val="ca-ES"/>
        </w:rPr>
        <w:t>8. JUSTIFICACIÓ</w:t>
      </w:r>
    </w:p>
    <w:p>
      <w:pPr>
        <w:pStyle w:val="Cuerpodetexto"/>
        <w:spacing w:lineRule="auto" w:line="276" w:before="113" w:after="113"/>
        <w:ind w:left="0" w:right="0" w:hanging="0"/>
        <w:jc w:val="both"/>
        <w:rPr>
          <w:lang w:val="ca-ES"/>
        </w:rPr>
      </w:pPr>
      <w:r>
        <w:rPr>
          <w:lang w:val="ca-ES"/>
        </w:rPr>
        <w:t>La justificació de la present ajuda es realitzarà de conformitat amb el que s'estableix en l'article 30.7 de la Llei 38/2003, 17 de novembre, General de Subvencions.</w:t>
      </w:r>
    </w:p>
    <w:p>
      <w:pPr>
        <w:pStyle w:val="Cuerpodetexto"/>
        <w:spacing w:lineRule="auto" w:line="276" w:before="113" w:after="113"/>
        <w:ind w:left="0" w:right="0" w:hanging="0"/>
        <w:jc w:val="both"/>
        <w:rPr>
          <w:lang w:val="ca-ES"/>
        </w:rPr>
      </w:pPr>
      <w:r>
        <w:rPr>
          <w:lang w:val="ca-ES"/>
        </w:rPr>
        <w:t>La justificació de l'ajuda es durà a terme amb el certificat o justificant de figurar com a esportistes en nivells "promoció" i "alta competició" (o equivalents "A" i "B", segons disposició transitòria única del Decret 39/2020, de 20 de març, del Consell, de mesures de suport a esportistes d'elit i al personal tècnic, entrenador, arbitral i jutge d'elit de la Comunitat Valenciana) o esportistes «d’alt nivell», sent vàlida l'aportació del llistat publicat en el DOGV/BOE, document presentat en sol·licitar la subvenció, requisit que també podrà ser consultat d'ofici per l'òrgan concedent.</w:t>
      </w:r>
    </w:p>
    <w:p>
      <w:pPr>
        <w:pStyle w:val="Cuerpodetexto"/>
        <w:spacing w:lineRule="auto" w:line="276" w:before="113" w:after="113"/>
        <w:ind w:left="0" w:right="0" w:hanging="0"/>
        <w:jc w:val="both"/>
        <w:rPr>
          <w:lang w:val="ca-ES"/>
        </w:rPr>
      </w:pPr>
      <w:r>
        <w:rPr>
          <w:lang w:val="ca-ES"/>
        </w:rPr>
        <w:t>Una vegada resolta la convocatòria es procedirà al pagament a través de transferència bancària en el número de compte que figure indicat en la sol·licitud (annex I), recolzat amb el número de compte inclòs en la fitxa de tercers (annex II) o certificat de titularitat bancària, que ha de correspondre al beneficiari de l'ajuda o, en cas de menor d'edat, al seu pare, mare o tutor/tutora legal.</w:t>
      </w:r>
    </w:p>
    <w:p>
      <w:pPr>
        <w:pStyle w:val="Cuerpodetexto"/>
        <w:spacing w:lineRule="auto" w:line="276" w:before="113" w:after="113"/>
        <w:ind w:left="0" w:right="0" w:hanging="0"/>
        <w:jc w:val="both"/>
        <w:rPr>
          <w:b/>
          <w:b/>
          <w:lang w:val="ca-ES"/>
        </w:rPr>
      </w:pPr>
      <w:r>
        <w:rPr>
          <w:b/>
          <w:lang w:val="ca-ES"/>
        </w:rPr>
        <w:t>9. CAUSES I PROCEDIMENT DE REINTEGRAMENT</w:t>
      </w:r>
    </w:p>
    <w:p>
      <w:pPr>
        <w:pStyle w:val="Cuerpodetexto"/>
        <w:spacing w:lineRule="auto" w:line="276" w:before="113" w:after="113"/>
        <w:ind w:left="0" w:right="0" w:hanging="0"/>
        <w:jc w:val="both"/>
        <w:rPr/>
      </w:pPr>
      <w:r>
        <w:rPr>
          <w:lang w:val="ca-ES"/>
        </w:rPr>
        <w:t>Procedirà el reintegrament per part de beneficiari amb l'exigència de</w:t>
      </w:r>
      <w:r>
        <w:rPr/>
        <w:t xml:space="preserve"> </w:t>
      </w:r>
      <w:r>
        <w:rPr>
          <w:lang w:val="ca-ES-valencia"/>
        </w:rPr>
        <w:t xml:space="preserve">l'interés </w:t>
      </w:r>
      <w:r>
        <w:rPr>
          <w:lang w:val="ca-ES"/>
        </w:rPr>
        <w:t>de demora del pagament des de la data en què s'acorde el reintegrament, en els casos previstos en l'article 37 de la Llei 38/2003, de 17 de novembre, General de Subvencions i en el cas d'incompliment de les obligacions establertes en aquestes bases i convocatòria.</w:t>
      </w:r>
    </w:p>
    <w:p>
      <w:pPr>
        <w:pStyle w:val="Cuerpodetexto"/>
        <w:spacing w:lineRule="auto" w:line="276" w:before="113" w:after="113"/>
        <w:ind w:left="0" w:right="0" w:hanging="0"/>
        <w:jc w:val="both"/>
        <w:rPr>
          <w:b/>
          <w:b/>
          <w:lang w:val="ca-ES"/>
        </w:rPr>
      </w:pPr>
      <w:r>
        <w:rPr>
          <w:b/>
          <w:lang w:val="ca-ES"/>
        </w:rPr>
        <w:t>10. PUBLICITAT</w:t>
      </w:r>
    </w:p>
    <w:p>
      <w:pPr>
        <w:pStyle w:val="Cuerpodetexto"/>
        <w:spacing w:lineRule="auto" w:line="276" w:before="113" w:after="113"/>
        <w:ind w:left="0" w:right="0" w:hanging="0"/>
        <w:jc w:val="both"/>
        <w:rPr>
          <w:lang w:val="ca-ES"/>
        </w:rPr>
      </w:pPr>
      <w:r>
        <w:rPr>
          <w:lang w:val="ca-ES"/>
        </w:rPr>
        <w:t>L'acord de resolució per la qual s'aprove la Convocatòria que conté les bases específiques de la present subvenció es publicarà en la Base de dades Nacional de subvencions, en el Portal de Transparència a través de la web de l'Ajuntament de Xeraco i un extracte de la mateixa en el Butlletí Oficial de la Província per conducte de la Base de dades Nacional de Subvencions.</w:t>
      </w:r>
    </w:p>
    <w:p>
      <w:pPr>
        <w:pStyle w:val="Cuerpodetexto"/>
        <w:spacing w:lineRule="auto" w:line="276" w:before="113" w:after="113"/>
        <w:ind w:left="0" w:right="0" w:hanging="0"/>
        <w:jc w:val="both"/>
        <w:rPr/>
      </w:pPr>
      <w:r>
        <w:rPr>
          <w:lang w:val="ca-ES"/>
        </w:rPr>
        <w:t>L'acord de resolució per la qual es concedisquen les ajudes, es publicarà en la Base de dades Nacional de subvencions i en el Portal de Transparència a través de la web de l'Ajuntament de Xeraco.</w:t>
      </w:r>
    </w:p>
    <w:p>
      <w:pPr>
        <w:pStyle w:val="Cuerpodetexto"/>
        <w:spacing w:lineRule="auto" w:line="276" w:before="113" w:after="113"/>
        <w:ind w:left="0" w:right="0" w:hanging="0"/>
        <w:jc w:val="both"/>
        <w:rPr>
          <w:b/>
          <w:b/>
          <w:lang w:val="ca-ES"/>
        </w:rPr>
      </w:pPr>
      <w:r>
        <w:rPr>
          <w:b/>
          <w:lang w:val="ca-ES"/>
        </w:rPr>
        <w:t>11. NORMATIVA APLICABLE</w:t>
      </w:r>
    </w:p>
    <w:p>
      <w:pPr>
        <w:pStyle w:val="Cuerpodetexto"/>
        <w:spacing w:lineRule="auto" w:line="276" w:before="113" w:after="113"/>
        <w:ind w:left="0" w:right="0" w:hanging="0"/>
        <w:jc w:val="both"/>
        <w:rPr>
          <w:lang w:val="ca-ES"/>
        </w:rPr>
      </w:pPr>
      <w:r>
        <w:rPr>
          <w:lang w:val="ca-ES"/>
        </w:rPr>
        <w:t>El present procediment de subvenció es regeix per la Llei 38/2003, de 17 de novembre, General de Subvencions, pel Reial decret 887/2006, de 21 de juliol, pel qual s'aprova el Reglament de la Llei 38/2003, de 17 de novembre, General de Subvencions, per l'Ordenança General de subvencions de l'Ajuntament de Xeraco, i per la present convocatòria.</w:t>
      </w:r>
    </w:p>
    <w:p>
      <w:pPr>
        <w:pStyle w:val="Normal"/>
        <w:bidi w:val="0"/>
        <w:spacing w:lineRule="auto" w:line="276" w:before="113" w:after="113"/>
        <w:jc w:val="both"/>
        <w:rPr>
          <w:b w:val="false"/>
          <w:b w:val="false"/>
          <w:bCs w:val="false"/>
          <w:sz w:val="22"/>
          <w:szCs w:val="22"/>
          <w:lang w:val="ca-ES-valencia" w:bidi="ar-SA"/>
        </w:rPr>
      </w:pPr>
      <w:r>
        <w:rPr>
          <w:b w:val="false"/>
          <w:bCs w:val="false"/>
          <w:sz w:val="22"/>
          <w:szCs w:val="22"/>
          <w:lang w:val="ca-ES-valencia" w:bidi="ar-SA"/>
        </w:rPr>
      </w:r>
      <w:r>
        <w:br w:type="page"/>
      </w:r>
    </w:p>
    <w:p>
      <w:pPr>
        <w:pStyle w:val="Cuerpodetexto"/>
        <w:spacing w:lineRule="auto" w:line="252" w:before="113" w:after="113"/>
        <w:jc w:val="center"/>
        <w:rPr>
          <w:lang w:val="ca-ES-valencia"/>
        </w:rPr>
      </w:pPr>
      <w:r>
        <w:rPr>
          <w:rFonts w:cs="Arial"/>
          <w:b/>
          <w:sz w:val="22"/>
          <w:szCs w:val="22"/>
          <w:u w:val="none"/>
          <w:lang w:val="ca-ES-valencia" w:bidi="ar-SA"/>
        </w:rPr>
        <w:t xml:space="preserve">SOLICITUD AYUDAS </w:t>
      </w:r>
      <w:r>
        <w:rPr>
          <w:rFonts w:cs="Arial"/>
          <w:b/>
          <w:bCs/>
          <w:sz w:val="22"/>
          <w:szCs w:val="22"/>
          <w:u w:val="none"/>
          <w:lang w:val="ca-ES-valencia" w:bidi="ar-SA"/>
        </w:rPr>
        <w:t>A DEPORTISTAS DE ÉLITE Y DEPORTISTAS DE ALTO NIVEL</w:t>
      </w:r>
    </w:p>
    <w:p>
      <w:pPr>
        <w:pStyle w:val="Normal"/>
        <w:bidi w:val="0"/>
        <w:spacing w:before="96" w:after="113"/>
        <w:ind w:left="811" w:right="0" w:hanging="0"/>
        <w:jc w:val="left"/>
        <w:rPr>
          <w:b/>
          <w:b/>
          <w:bCs/>
          <w:i w:val="false"/>
          <w:i w:val="false"/>
          <w:iCs w:val="false"/>
          <w:color w:val="000000"/>
          <w:spacing w:val="-1"/>
          <w:sz w:val="18"/>
          <w:lang w:val="ca-ES-valencia" w:bidi="ar-SA"/>
        </w:rPr>
      </w:pPr>
      <w:r>
        <mc:AlternateContent>
          <mc:Choice Requires="wps">
            <w:drawing>
              <wp:anchor behindDoc="0" distT="0" distB="0" distL="114300" distR="114300" simplePos="0" locked="0" layoutInCell="1" allowOverlap="1" relativeHeight="38">
                <wp:simplePos x="0" y="0"/>
                <wp:positionH relativeFrom="column">
                  <wp:posOffset>89535</wp:posOffset>
                </wp:positionH>
                <wp:positionV relativeFrom="paragraph">
                  <wp:posOffset>-38735</wp:posOffset>
                </wp:positionV>
                <wp:extent cx="313690" cy="193040"/>
                <wp:effectExtent l="0" t="0" r="0" b="0"/>
                <wp:wrapNone/>
                <wp:docPr id="4" name="Marco3"/>
                <a:graphic xmlns:a="http://schemas.openxmlformats.org/drawingml/2006/main">
                  <a:graphicData uri="http://schemas.microsoft.com/office/word/2010/wordprocessingShape">
                    <wps:wsp>
                      <wps:cNvSpPr/>
                      <wps:spPr>
                        <a:xfrm>
                          <a:off x="0" y="0"/>
                          <a:ext cx="313200" cy="192240"/>
                        </a:xfrm>
                        <a:prstGeom prst="rect">
                          <a:avLst/>
                        </a:prstGeom>
                        <a:solidFill>
                          <a:srgbClr val="ffffff"/>
                        </a:solidFill>
                        <a:ln w="720">
                          <a:solidFill>
                            <a:srgbClr val="000000"/>
                          </a:solidFill>
                          <a:round/>
                        </a:ln>
                      </wps:spPr>
                      <wps:style>
                        <a:lnRef idx="0"/>
                        <a:fillRef idx="0"/>
                        <a:effectRef idx="0"/>
                        <a:fontRef idx="minor"/>
                      </wps:style>
                      <wps:bodyPr/>
                    </wps:wsp>
                  </a:graphicData>
                </a:graphic>
              </wp:anchor>
            </w:drawing>
          </mc:Choice>
          <mc:Fallback>
            <w:pict>
              <v:rect id="shape_0" ID="Marco3" fillcolor="white" stroked="t" style="position:absolute;margin-left:7.05pt;margin-top:-3.05pt;width:24.6pt;height:15.1pt">
                <w10:wrap type="none"/>
                <v:fill o:detectmouseclick="t" type="solid" color2="black"/>
                <v:stroke color="black" weight="720" joinstyle="round" endcap="flat"/>
              </v:rect>
            </w:pict>
          </mc:Fallback>
        </mc:AlternateContent>
        <mc:AlternateContent>
          <mc:Choice Requires="wps">
            <w:drawing>
              <wp:anchor behindDoc="0" distT="0" distB="0" distL="0" distR="0" simplePos="0" locked="0" layoutInCell="1" allowOverlap="1" relativeHeight="39">
                <wp:simplePos x="0" y="0"/>
                <wp:positionH relativeFrom="column">
                  <wp:posOffset>89535</wp:posOffset>
                </wp:positionH>
                <wp:positionV relativeFrom="paragraph">
                  <wp:posOffset>-38735</wp:posOffset>
                </wp:positionV>
                <wp:extent cx="313690" cy="193040"/>
                <wp:effectExtent l="0" t="0" r="0" b="0"/>
                <wp:wrapSquare wrapText="bothSides"/>
                <wp:docPr id="5" name="Marco2"/>
                <a:graphic xmlns:a="http://schemas.openxmlformats.org/drawingml/2006/main">
                  <a:graphicData uri="http://schemas.microsoft.com/office/word/2010/wordprocessingShape">
                    <wps:wsp>
                      <wps:cNvSpPr/>
                      <wps:spPr>
                        <a:xfrm>
                          <a:off x="0" y="0"/>
                          <a:ext cx="313200" cy="192240"/>
                        </a:xfrm>
                        <a:prstGeom prst="rect">
                          <a:avLst/>
                        </a:prstGeom>
                        <a:noFill/>
                        <a:ln>
                          <a:noFill/>
                        </a:ln>
                      </wps:spPr>
                      <wps:style>
                        <a:lnRef idx="0"/>
                        <a:fillRef idx="0"/>
                        <a:effectRef idx="0"/>
                        <a:fontRef idx="minor"/>
                      </wps:style>
                      <wps:txbx>
                        <w:txbxContent>
                          <w:p>
                            <w:pPr>
                              <w:pStyle w:val="Cuerpodetexto"/>
                              <w:spacing w:before="49" w:after="0"/>
                              <w:jc w:val="center"/>
                              <w:rPr/>
                            </w:pPr>
                            <w:r>
                              <w:rPr>
                                <w:color w:val="00000A"/>
                              </w:rPr>
                              <w:t>A</w:t>
                            </w:r>
                          </w:p>
                        </w:txbxContent>
                      </wps:txbx>
                      <wps:bodyPr lIns="0" rIns="0" tIns="0" bIns="0">
                        <a:noAutofit/>
                      </wps:bodyPr>
                    </wps:wsp>
                  </a:graphicData>
                </a:graphic>
              </wp:anchor>
            </w:drawing>
          </mc:Choice>
          <mc:Fallback>
            <w:pict>
              <v:rect id="shape_0" ID="Marco2" stroked="f" style="position:absolute;margin-left:7.05pt;margin-top:-3.05pt;width:24.6pt;height:15.1pt">
                <w10:wrap type="square"/>
                <v:fill o:detectmouseclick="t" on="false"/>
                <v:stroke color="#3465a4" joinstyle="round" endcap="flat"/>
                <v:textbox>
                  <w:txbxContent>
                    <w:p>
                      <w:pPr>
                        <w:pStyle w:val="Cuerpodetexto"/>
                        <w:spacing w:before="49" w:after="0"/>
                        <w:jc w:val="center"/>
                        <w:rPr/>
                      </w:pPr>
                      <w:r>
                        <w:rPr>
                          <w:color w:val="00000A"/>
                        </w:rPr>
                        <w:t>A</w:t>
                      </w:r>
                    </w:p>
                  </w:txbxContent>
                </v:textbox>
              </v:rect>
            </w:pict>
          </mc:Fallback>
        </mc:AlternateContent>
      </w:r>
      <w:r>
        <w:rPr>
          <w:b/>
          <w:bCs/>
          <w:i w:val="false"/>
          <w:iCs w:val="false"/>
          <w:color w:val="000000"/>
          <w:spacing w:val="-1"/>
          <w:sz w:val="18"/>
          <w:lang w:val="ca-ES-valencia" w:bidi="ar-SA"/>
        </w:rPr>
        <w:t>DADES SOL·LICITANT /</w:t>
      </w:r>
      <w:r>
        <w:rPr>
          <w:b/>
          <w:bCs/>
          <w:i/>
          <w:iCs/>
          <w:color w:val="666666"/>
          <w:spacing w:val="-1"/>
          <w:sz w:val="18"/>
          <w:lang w:val="ca-ES-valencia" w:bidi="ar-SA"/>
        </w:rPr>
        <w:t>DATOS DEL/LA SOLICITANTE (Y REPRESENTANTE, SI ES EL CASO)</w:t>
      </w:r>
    </w:p>
    <w:p>
      <w:pPr>
        <w:pStyle w:val="Cuerpodetexto"/>
        <w:spacing w:before="3" w:after="0"/>
        <w:rPr>
          <w:i/>
          <w:i/>
          <w:sz w:val="5"/>
          <w:lang w:val="ca-ES-valencia" w:bidi="ar-SA"/>
        </w:rPr>
      </w:pPr>
      <w:r>
        <w:rPr>
          <w:i/>
          <w:sz w:val="5"/>
          <w:lang w:val="ca-ES-valencia" w:bidi="ar-SA"/>
        </w:rPr>
      </w:r>
    </w:p>
    <w:tbl>
      <w:tblPr>
        <w:tblW w:w="8592" w:type="dxa"/>
        <w:jc w:val="left"/>
        <w:tblInd w:w="215" w:type="dxa"/>
        <w:tblBorders>
          <w:top w:val="single" w:sz="2" w:space="0" w:color="000001"/>
          <w:left w:val="single" w:sz="2" w:space="0" w:color="000001"/>
          <w:bottom w:val="single" w:sz="2" w:space="0" w:color="000001"/>
          <w:insideH w:val="single" w:sz="2" w:space="0" w:color="000001"/>
        </w:tblBorders>
        <w:tblCellMar>
          <w:top w:w="0" w:type="dxa"/>
          <w:left w:w="0" w:type="dxa"/>
          <w:bottom w:w="0" w:type="dxa"/>
          <w:right w:w="0" w:type="dxa"/>
        </w:tblCellMar>
      </w:tblPr>
      <w:tblGrid>
        <w:gridCol w:w="2037"/>
        <w:gridCol w:w="2219"/>
        <w:gridCol w:w="2541"/>
        <w:gridCol w:w="1795"/>
      </w:tblGrid>
      <w:tr>
        <w:trPr>
          <w:trHeight w:val="249" w:hRule="atLeast"/>
        </w:trPr>
        <w:tc>
          <w:tcPr>
            <w:tcW w:w="6797" w:type="dxa"/>
            <w:gridSpan w:val="3"/>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50" w:after="0"/>
              <w:ind w:left="55" w:right="0" w:hanging="0"/>
              <w:rPr>
                <w:lang w:val="ca-ES-valencia"/>
              </w:rPr>
            </w:pPr>
            <w:r>
              <w:rPr>
                <w:b/>
                <w:bCs/>
                <w:i w:val="false"/>
                <w:iCs w:val="false"/>
                <w:color w:val="000000"/>
                <w:sz w:val="16"/>
                <w:szCs w:val="16"/>
                <w:lang w:val="ca-ES-valencia" w:bidi="ar-SA"/>
              </w:rPr>
              <w:t>APELLIDOS</w:t>
            </w:r>
            <w:r>
              <w:rPr>
                <w:b/>
                <w:bCs/>
                <w:i w:val="false"/>
                <w:iCs w:val="false"/>
                <w:color w:val="000000"/>
                <w:spacing w:val="-4"/>
                <w:sz w:val="16"/>
                <w:szCs w:val="16"/>
                <w:lang w:val="ca-ES-valencia" w:bidi="ar-SA"/>
              </w:rPr>
              <w:t xml:space="preserve"> </w:t>
            </w:r>
            <w:r>
              <w:rPr>
                <w:b/>
                <w:bCs/>
                <w:i w:val="false"/>
                <w:iCs w:val="false"/>
                <w:color w:val="000000"/>
                <w:sz w:val="16"/>
                <w:szCs w:val="16"/>
                <w:lang w:val="ca-ES-valencia" w:bidi="ar-SA"/>
              </w:rPr>
              <w:t>Y</w:t>
            </w:r>
            <w:r>
              <w:rPr>
                <w:b/>
                <w:bCs/>
                <w:i w:val="false"/>
                <w:iCs w:val="false"/>
                <w:color w:val="000000"/>
                <w:spacing w:val="-5"/>
                <w:sz w:val="16"/>
                <w:szCs w:val="16"/>
                <w:lang w:val="ca-ES-valencia" w:bidi="ar-SA"/>
              </w:rPr>
              <w:t xml:space="preserve"> </w:t>
            </w:r>
            <w:r>
              <w:rPr>
                <w:b/>
                <w:bCs/>
                <w:i w:val="false"/>
                <w:iCs w:val="false"/>
                <w:color w:val="000000"/>
                <w:sz w:val="16"/>
                <w:szCs w:val="16"/>
                <w:lang w:val="ca-ES-valencia" w:bidi="ar-SA"/>
              </w:rPr>
              <w:t>NOMBRE</w:t>
            </w:r>
          </w:p>
        </w:tc>
        <w:tc>
          <w:tcPr>
            <w:tcW w:w="179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FF" w:val="clear"/>
          </w:tcPr>
          <w:p>
            <w:pPr>
              <w:pStyle w:val="TableParagraph"/>
              <w:spacing w:before="50" w:after="0"/>
              <w:ind w:left="57" w:right="0" w:hanging="0"/>
              <w:rPr>
                <w:b/>
                <w:b/>
                <w:sz w:val="16"/>
                <w:szCs w:val="16"/>
                <w:lang w:val="ca-ES-valencia" w:bidi="ar-SA"/>
              </w:rPr>
            </w:pPr>
            <w:r>
              <w:rPr>
                <w:b/>
                <w:sz w:val="16"/>
                <w:szCs w:val="16"/>
                <w:lang w:val="ca-ES-valencia" w:bidi="ar-SA"/>
              </w:rPr>
              <w:t>DNI/CIF/NIE</w:t>
            </w:r>
          </w:p>
        </w:tc>
      </w:tr>
      <w:tr>
        <w:trPr>
          <w:trHeight w:val="333" w:hRule="atLeast"/>
        </w:trPr>
        <w:tc>
          <w:tcPr>
            <w:tcW w:w="6797" w:type="dxa"/>
            <w:gridSpan w:val="3"/>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spacing w:before="56" w:after="0"/>
              <w:ind w:left="55"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r>
          </w:p>
        </w:tc>
        <w:tc>
          <w:tcPr>
            <w:tcW w:w="179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b/>
                <w:b/>
                <w:bCs/>
                <w:i w:val="false"/>
                <w:i w:val="false"/>
                <w:iCs w:val="false"/>
                <w:color w:val="000000"/>
                <w:sz w:val="16"/>
                <w:szCs w:val="16"/>
                <w:lang w:val="ca-ES-valencia" w:bidi="ar-SA"/>
              </w:rPr>
            </w:pPr>
            <w:r>
              <w:rPr>
                <w:rFonts w:cs="Times New Roman" w:ascii="Times New Roman" w:hAnsi="Times New Roman"/>
                <w:b/>
                <w:bCs/>
                <w:i w:val="false"/>
                <w:iCs w:val="false"/>
                <w:color w:val="000000"/>
                <w:sz w:val="16"/>
                <w:szCs w:val="16"/>
                <w:lang w:val="ca-ES-valencia" w:bidi="ar-SA"/>
              </w:rPr>
            </w:r>
          </w:p>
        </w:tc>
      </w:tr>
      <w:tr>
        <w:trPr>
          <w:trHeight w:val="246" w:hRule="atLeast"/>
        </w:trPr>
        <w:tc>
          <w:tcPr>
            <w:tcW w:w="8592"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FF" w:val="clear"/>
          </w:tcPr>
          <w:p>
            <w:pPr>
              <w:pStyle w:val="TableParagraph"/>
              <w:spacing w:before="50" w:after="0"/>
              <w:ind w:left="55" w:right="0" w:hanging="0"/>
              <w:rPr>
                <w:lang w:val="ca-ES-valencia"/>
              </w:rPr>
            </w:pPr>
            <w:r>
              <w:rPr>
                <w:b/>
                <w:bCs/>
                <w:i w:val="false"/>
                <w:iCs w:val="false"/>
                <w:color w:val="000000"/>
                <w:spacing w:val="-1"/>
                <w:sz w:val="16"/>
                <w:szCs w:val="16"/>
                <w:lang w:val="ca-ES-valencia" w:bidi="ar-SA"/>
              </w:rPr>
              <w:t>DIRECCIÓN</w:t>
            </w:r>
            <w:r>
              <w:rPr>
                <w:b/>
                <w:bCs/>
                <w:i w:val="false"/>
                <w:iCs w:val="false"/>
                <w:color w:val="000000"/>
                <w:spacing w:val="1"/>
                <w:sz w:val="16"/>
                <w:szCs w:val="16"/>
                <w:lang w:val="ca-ES-valencia" w:bidi="ar-SA"/>
              </w:rPr>
              <w:t xml:space="preserve"> </w:t>
            </w:r>
            <w:r>
              <w:rPr>
                <w:b/>
                <w:bCs/>
                <w:i w:val="false"/>
                <w:iCs w:val="false"/>
                <w:color w:val="000000"/>
                <w:spacing w:val="-1"/>
                <w:sz w:val="16"/>
                <w:szCs w:val="16"/>
                <w:lang w:val="ca-ES-valencia" w:bidi="ar-SA"/>
              </w:rPr>
              <w:t>(Correspondiente</w:t>
            </w:r>
            <w:r>
              <w:rPr>
                <w:b/>
                <w:bCs/>
                <w:i w:val="false"/>
                <w:iCs w:val="false"/>
                <w:color w:val="000000"/>
                <w:spacing w:val="-2"/>
                <w:sz w:val="16"/>
                <w:szCs w:val="16"/>
                <w:lang w:val="ca-ES-valencia" w:bidi="ar-SA"/>
              </w:rPr>
              <w:t xml:space="preserve"> </w:t>
            </w:r>
            <w:r>
              <w:rPr>
                <w:b/>
                <w:bCs/>
                <w:i w:val="false"/>
                <w:iCs w:val="false"/>
                <w:color w:val="000000"/>
                <w:sz w:val="16"/>
                <w:szCs w:val="16"/>
                <w:lang w:val="ca-ES-valencia" w:bidi="ar-SA"/>
              </w:rPr>
              <w:t>con</w:t>
            </w:r>
            <w:r>
              <w:rPr>
                <w:b/>
                <w:bCs/>
                <w:i w:val="false"/>
                <w:iCs w:val="false"/>
                <w:color w:val="000000"/>
                <w:spacing w:val="2"/>
                <w:sz w:val="16"/>
                <w:szCs w:val="16"/>
                <w:lang w:val="ca-ES-valencia" w:bidi="ar-SA"/>
              </w:rPr>
              <w:t xml:space="preserve"> </w:t>
            </w:r>
            <w:r>
              <w:rPr>
                <w:b/>
                <w:bCs/>
                <w:i w:val="false"/>
                <w:iCs w:val="false"/>
                <w:color w:val="000000"/>
                <w:sz w:val="16"/>
                <w:szCs w:val="16"/>
                <w:lang w:val="ca-ES-valencia" w:bidi="ar-SA"/>
              </w:rPr>
              <w:t>el</w:t>
            </w:r>
            <w:r>
              <w:rPr>
                <w:b/>
                <w:bCs/>
                <w:i w:val="false"/>
                <w:iCs w:val="false"/>
                <w:color w:val="000000"/>
                <w:spacing w:val="1"/>
                <w:sz w:val="16"/>
                <w:szCs w:val="16"/>
                <w:lang w:val="ca-ES-valencia" w:bidi="ar-SA"/>
              </w:rPr>
              <w:t xml:space="preserve"> </w:t>
            </w:r>
            <w:r>
              <w:rPr>
                <w:b/>
                <w:bCs/>
                <w:i w:val="false"/>
                <w:iCs w:val="false"/>
                <w:color w:val="000000"/>
                <w:sz w:val="16"/>
                <w:szCs w:val="16"/>
                <w:lang w:val="ca-ES-valencia" w:bidi="ar-SA"/>
              </w:rPr>
              <w:t>empadronamiento</w:t>
            </w:r>
            <w:r>
              <w:rPr>
                <w:b/>
                <w:bCs/>
                <w:i w:val="false"/>
                <w:iCs w:val="false"/>
                <w:color w:val="000000"/>
                <w:spacing w:val="5"/>
                <w:sz w:val="16"/>
                <w:szCs w:val="16"/>
                <w:lang w:val="ca-ES-valencia" w:bidi="ar-SA"/>
              </w:rPr>
              <w:t xml:space="preserve"> </w:t>
            </w:r>
            <w:r>
              <w:rPr>
                <w:b/>
                <w:bCs/>
                <w:i w:val="false"/>
                <w:iCs w:val="false"/>
                <w:color w:val="000000"/>
                <w:sz w:val="16"/>
                <w:szCs w:val="16"/>
                <w:lang w:val="ca-ES-valencia" w:bidi="ar-SA"/>
              </w:rPr>
              <w:t>municipal)</w:t>
            </w:r>
          </w:p>
        </w:tc>
      </w:tr>
      <w:tr>
        <w:trPr>
          <w:trHeight w:val="335" w:hRule="atLeast"/>
        </w:trPr>
        <w:tc>
          <w:tcPr>
            <w:tcW w:w="8592"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b/>
                <w:b/>
                <w:bCs/>
                <w:i w:val="false"/>
                <w:i w:val="false"/>
                <w:iCs w:val="false"/>
                <w:color w:val="000000"/>
                <w:sz w:val="16"/>
                <w:szCs w:val="16"/>
                <w:lang w:val="ca-ES-valencia" w:bidi="ar-SA"/>
              </w:rPr>
            </w:pPr>
            <w:r>
              <w:rPr>
                <w:rFonts w:cs="Times New Roman" w:ascii="Times New Roman" w:hAnsi="Times New Roman"/>
                <w:b/>
                <w:bCs/>
                <w:i w:val="false"/>
                <w:iCs w:val="false"/>
                <w:color w:val="000000"/>
                <w:sz w:val="16"/>
                <w:szCs w:val="16"/>
                <w:lang w:val="ca-ES-valencia" w:bidi="ar-SA"/>
              </w:rPr>
            </w:r>
          </w:p>
        </w:tc>
      </w:tr>
      <w:tr>
        <w:trPr>
          <w:trHeight w:val="242" w:hRule="atLeast"/>
        </w:trPr>
        <w:tc>
          <w:tcPr>
            <w:tcW w:w="2037" w:type="dxa"/>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45" w:after="0"/>
              <w:ind w:left="55"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t>TELÉFONO</w:t>
            </w:r>
          </w:p>
        </w:tc>
        <w:tc>
          <w:tcPr>
            <w:tcW w:w="2219" w:type="dxa"/>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45" w:after="0"/>
              <w:ind w:left="55"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t>MÓVIL</w:t>
            </w:r>
          </w:p>
        </w:tc>
        <w:tc>
          <w:tcPr>
            <w:tcW w:w="433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FF" w:val="clear"/>
          </w:tcPr>
          <w:p>
            <w:pPr>
              <w:pStyle w:val="TableParagraph"/>
              <w:spacing w:before="45" w:after="0"/>
              <w:ind w:left="53"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t>EMAIL</w:t>
            </w:r>
          </w:p>
        </w:tc>
      </w:tr>
      <w:tr>
        <w:trPr>
          <w:trHeight w:val="335" w:hRule="atLeast"/>
        </w:trPr>
        <w:tc>
          <w:tcPr>
            <w:tcW w:w="2037"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bidi="ar-SA"/>
              </w:rPr>
            </w:pPr>
            <w:r>
              <w:rPr>
                <w:rFonts w:cs="Times New Roman" w:ascii="Times New Roman" w:hAnsi="Times New Roman"/>
                <w:sz w:val="14"/>
                <w:lang w:val="ca-ES-valencia" w:bidi="ar-SA"/>
              </w:rPr>
            </w:r>
          </w:p>
        </w:tc>
        <w:tc>
          <w:tcPr>
            <w:tcW w:w="2219"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6"/>
                <w:szCs w:val="16"/>
                <w:lang w:val="ca-ES-valencia" w:bidi="ar-SA"/>
              </w:rPr>
            </w:pPr>
            <w:r>
              <w:rPr>
                <w:rFonts w:cs="Times New Roman" w:ascii="Times New Roman" w:hAnsi="Times New Roman"/>
                <w:sz w:val="16"/>
                <w:szCs w:val="16"/>
                <w:lang w:val="ca-ES-valencia" w:bidi="ar-SA"/>
              </w:rPr>
            </w:r>
          </w:p>
        </w:tc>
        <w:tc>
          <w:tcPr>
            <w:tcW w:w="433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sz w:val="16"/>
                <w:szCs w:val="16"/>
                <w:lang w:val="ca-ES-valencia" w:bidi="ar-SA"/>
              </w:rPr>
            </w:pPr>
            <w:r>
              <w:rPr>
                <w:rFonts w:cs="Times New Roman" w:ascii="Times New Roman" w:hAnsi="Times New Roman"/>
                <w:sz w:val="16"/>
                <w:szCs w:val="16"/>
                <w:lang w:val="ca-ES-valencia" w:bidi="ar-SA"/>
              </w:rPr>
            </w:r>
          </w:p>
        </w:tc>
      </w:tr>
    </w:tbl>
    <w:p>
      <w:pPr>
        <w:pStyle w:val="Normal"/>
        <w:widowControl w:val="false"/>
        <w:tabs>
          <w:tab w:val="left" w:pos="3096" w:leader="none"/>
        </w:tabs>
        <w:suppressAutoHyphens w:val="true"/>
        <w:overflowPunct w:val="false"/>
        <w:bidi w:val="0"/>
        <w:spacing w:before="227" w:after="0"/>
        <w:ind w:left="0" w:right="0" w:hanging="0"/>
        <w:jc w:val="left"/>
        <w:rPr>
          <w:rFonts w:eastAsia="Arial" w:cs="Arial"/>
          <w:b w:val="false"/>
          <w:b w:val="false"/>
          <w:bCs w:val="false"/>
          <w:sz w:val="22"/>
          <w:szCs w:val="22"/>
          <w:lang w:val="ca-ES-valencia" w:bidi="ar-SA"/>
        </w:rPr>
      </w:pPr>
      <w:r>
        <w:rPr>
          <w:rFonts w:eastAsia="Arial" w:cs="Arial"/>
          <w:b w:val="false"/>
          <w:bCs w:val="false"/>
          <w:sz w:val="22"/>
          <w:szCs w:val="22"/>
          <w:lang w:val="ca-ES-valencia" w:bidi="ar-SA"/>
        </w:rPr>
      </w:r>
    </w:p>
    <w:tbl>
      <w:tblPr>
        <w:tblW w:w="8592" w:type="dxa"/>
        <w:jc w:val="left"/>
        <w:tblInd w:w="215" w:type="dxa"/>
        <w:tblBorders>
          <w:top w:val="single" w:sz="2" w:space="0" w:color="000001"/>
          <w:left w:val="single" w:sz="2" w:space="0" w:color="000001"/>
          <w:bottom w:val="single" w:sz="2" w:space="0" w:color="000001"/>
          <w:insideH w:val="single" w:sz="2" w:space="0" w:color="000001"/>
        </w:tblBorders>
        <w:tblCellMar>
          <w:top w:w="0" w:type="dxa"/>
          <w:left w:w="0" w:type="dxa"/>
          <w:bottom w:w="0" w:type="dxa"/>
          <w:right w:w="0" w:type="dxa"/>
        </w:tblCellMar>
      </w:tblPr>
      <w:tblGrid>
        <w:gridCol w:w="2037"/>
        <w:gridCol w:w="2219"/>
        <w:gridCol w:w="2541"/>
        <w:gridCol w:w="1795"/>
      </w:tblGrid>
      <w:tr>
        <w:trPr>
          <w:trHeight w:val="249" w:hRule="atLeast"/>
        </w:trPr>
        <w:tc>
          <w:tcPr>
            <w:tcW w:w="6797" w:type="dxa"/>
            <w:gridSpan w:val="3"/>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50" w:after="0"/>
              <w:ind w:left="55" w:right="0" w:hanging="0"/>
              <w:rPr>
                <w:lang w:val="ca-ES-valencia"/>
              </w:rPr>
            </w:pPr>
            <w:r>
              <w:rPr>
                <w:b/>
                <w:bCs/>
                <w:i w:val="false"/>
                <w:iCs w:val="false"/>
                <w:color w:val="000000"/>
                <w:sz w:val="16"/>
                <w:szCs w:val="16"/>
                <w:lang w:val="ca-ES-valencia" w:bidi="ar-SA"/>
              </w:rPr>
              <w:t>APELLIDOS</w:t>
            </w:r>
            <w:r>
              <w:rPr>
                <w:b/>
                <w:bCs/>
                <w:i w:val="false"/>
                <w:iCs w:val="false"/>
                <w:color w:val="000000"/>
                <w:spacing w:val="-4"/>
                <w:sz w:val="16"/>
                <w:szCs w:val="16"/>
                <w:lang w:val="ca-ES-valencia" w:bidi="ar-SA"/>
              </w:rPr>
              <w:t xml:space="preserve"> </w:t>
            </w:r>
            <w:r>
              <w:rPr>
                <w:b/>
                <w:bCs/>
                <w:i w:val="false"/>
                <w:iCs w:val="false"/>
                <w:color w:val="000000"/>
                <w:sz w:val="16"/>
                <w:szCs w:val="16"/>
                <w:lang w:val="ca-ES-valencia" w:bidi="ar-SA"/>
              </w:rPr>
              <w:t>Y</w:t>
            </w:r>
            <w:r>
              <w:rPr>
                <w:b/>
                <w:bCs/>
                <w:i w:val="false"/>
                <w:iCs w:val="false"/>
                <w:color w:val="000000"/>
                <w:spacing w:val="-5"/>
                <w:sz w:val="16"/>
                <w:szCs w:val="16"/>
                <w:lang w:val="ca-ES-valencia" w:bidi="ar-SA"/>
              </w:rPr>
              <w:t xml:space="preserve"> </w:t>
            </w:r>
            <w:r>
              <w:rPr>
                <w:b/>
                <w:bCs/>
                <w:i w:val="false"/>
                <w:iCs w:val="false"/>
                <w:color w:val="000000"/>
                <w:sz w:val="16"/>
                <w:szCs w:val="16"/>
                <w:lang w:val="ca-ES-valencia" w:bidi="ar-SA"/>
              </w:rPr>
              <w:t>NOMBRE PADRE/MADRE O TUTOR (en caso de menor de 18 años)</w:t>
            </w:r>
          </w:p>
        </w:tc>
        <w:tc>
          <w:tcPr>
            <w:tcW w:w="179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FF" w:val="clear"/>
          </w:tcPr>
          <w:p>
            <w:pPr>
              <w:pStyle w:val="TableParagraph"/>
              <w:spacing w:before="50" w:after="0"/>
              <w:ind w:left="57" w:right="0" w:hanging="0"/>
              <w:rPr>
                <w:b/>
                <w:b/>
                <w:sz w:val="16"/>
                <w:szCs w:val="16"/>
                <w:lang w:val="ca-ES-valencia" w:bidi="ar-SA"/>
              </w:rPr>
            </w:pPr>
            <w:r>
              <w:rPr>
                <w:b/>
                <w:sz w:val="16"/>
                <w:szCs w:val="16"/>
                <w:lang w:val="ca-ES-valencia" w:bidi="ar-SA"/>
              </w:rPr>
              <w:t>DNI/CIF/NIE</w:t>
            </w:r>
          </w:p>
        </w:tc>
      </w:tr>
      <w:tr>
        <w:trPr>
          <w:trHeight w:val="333" w:hRule="atLeast"/>
        </w:trPr>
        <w:tc>
          <w:tcPr>
            <w:tcW w:w="6797" w:type="dxa"/>
            <w:gridSpan w:val="3"/>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spacing w:before="56" w:after="0"/>
              <w:ind w:left="55"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r>
          </w:p>
        </w:tc>
        <w:tc>
          <w:tcPr>
            <w:tcW w:w="179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b/>
                <w:b/>
                <w:bCs/>
                <w:i w:val="false"/>
                <w:i w:val="false"/>
                <w:iCs w:val="false"/>
                <w:color w:val="000000"/>
                <w:sz w:val="16"/>
                <w:szCs w:val="16"/>
                <w:lang w:val="ca-ES-valencia" w:bidi="ar-SA"/>
              </w:rPr>
            </w:pPr>
            <w:r>
              <w:rPr>
                <w:rFonts w:cs="Times New Roman" w:ascii="Times New Roman" w:hAnsi="Times New Roman"/>
                <w:b/>
                <w:bCs/>
                <w:i w:val="false"/>
                <w:iCs w:val="false"/>
                <w:color w:val="000000"/>
                <w:sz w:val="16"/>
                <w:szCs w:val="16"/>
                <w:lang w:val="ca-ES-valencia" w:bidi="ar-SA"/>
              </w:rPr>
            </w:r>
          </w:p>
        </w:tc>
      </w:tr>
      <w:tr>
        <w:trPr>
          <w:trHeight w:val="246" w:hRule="atLeast"/>
        </w:trPr>
        <w:tc>
          <w:tcPr>
            <w:tcW w:w="8592"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FF" w:val="clear"/>
          </w:tcPr>
          <w:p>
            <w:pPr>
              <w:pStyle w:val="TableParagraph"/>
              <w:spacing w:before="50" w:after="0"/>
              <w:ind w:left="55" w:right="0" w:hanging="0"/>
              <w:rPr>
                <w:lang w:val="ca-ES-valencia"/>
              </w:rPr>
            </w:pPr>
            <w:r>
              <w:rPr>
                <w:b/>
                <w:bCs/>
                <w:i w:val="false"/>
                <w:iCs w:val="false"/>
                <w:color w:val="000000"/>
                <w:spacing w:val="-1"/>
                <w:sz w:val="16"/>
                <w:szCs w:val="16"/>
                <w:lang w:val="ca-ES-valencia" w:bidi="ar-SA"/>
              </w:rPr>
              <w:t>DIRECCIÓN</w:t>
            </w:r>
            <w:r>
              <w:rPr>
                <w:b/>
                <w:bCs/>
                <w:i w:val="false"/>
                <w:iCs w:val="false"/>
                <w:color w:val="000000"/>
                <w:spacing w:val="1"/>
                <w:sz w:val="16"/>
                <w:szCs w:val="16"/>
                <w:lang w:val="ca-ES-valencia" w:bidi="ar-SA"/>
              </w:rPr>
              <w:t xml:space="preserve"> </w:t>
            </w:r>
            <w:r>
              <w:rPr>
                <w:b/>
                <w:bCs/>
                <w:i w:val="false"/>
                <w:iCs w:val="false"/>
                <w:color w:val="000000"/>
                <w:spacing w:val="-1"/>
                <w:sz w:val="16"/>
                <w:szCs w:val="16"/>
                <w:lang w:val="ca-ES-valencia" w:bidi="ar-SA"/>
              </w:rPr>
              <w:t>(Correspondiente</w:t>
            </w:r>
            <w:r>
              <w:rPr>
                <w:b/>
                <w:bCs/>
                <w:i w:val="false"/>
                <w:iCs w:val="false"/>
                <w:color w:val="000000"/>
                <w:spacing w:val="-2"/>
                <w:sz w:val="16"/>
                <w:szCs w:val="16"/>
                <w:lang w:val="ca-ES-valencia" w:bidi="ar-SA"/>
              </w:rPr>
              <w:t xml:space="preserve"> </w:t>
            </w:r>
            <w:r>
              <w:rPr>
                <w:b/>
                <w:bCs/>
                <w:i w:val="false"/>
                <w:iCs w:val="false"/>
                <w:color w:val="000000"/>
                <w:sz w:val="16"/>
                <w:szCs w:val="16"/>
                <w:lang w:val="ca-ES-valencia" w:bidi="ar-SA"/>
              </w:rPr>
              <w:t>con</w:t>
            </w:r>
            <w:r>
              <w:rPr>
                <w:b/>
                <w:bCs/>
                <w:i w:val="false"/>
                <w:iCs w:val="false"/>
                <w:color w:val="000000"/>
                <w:spacing w:val="2"/>
                <w:sz w:val="16"/>
                <w:szCs w:val="16"/>
                <w:lang w:val="ca-ES-valencia" w:bidi="ar-SA"/>
              </w:rPr>
              <w:t xml:space="preserve"> </w:t>
            </w:r>
            <w:r>
              <w:rPr>
                <w:b/>
                <w:bCs/>
                <w:i w:val="false"/>
                <w:iCs w:val="false"/>
                <w:color w:val="000000"/>
                <w:sz w:val="16"/>
                <w:szCs w:val="16"/>
                <w:lang w:val="ca-ES-valencia" w:bidi="ar-SA"/>
              </w:rPr>
              <w:t>el</w:t>
            </w:r>
            <w:r>
              <w:rPr>
                <w:b/>
                <w:bCs/>
                <w:i w:val="false"/>
                <w:iCs w:val="false"/>
                <w:color w:val="000000"/>
                <w:spacing w:val="1"/>
                <w:sz w:val="16"/>
                <w:szCs w:val="16"/>
                <w:lang w:val="ca-ES-valencia" w:bidi="ar-SA"/>
              </w:rPr>
              <w:t xml:space="preserve"> </w:t>
            </w:r>
            <w:r>
              <w:rPr>
                <w:b/>
                <w:bCs/>
                <w:i w:val="false"/>
                <w:iCs w:val="false"/>
                <w:color w:val="000000"/>
                <w:sz w:val="16"/>
                <w:szCs w:val="16"/>
                <w:lang w:val="ca-ES-valencia" w:bidi="ar-SA"/>
              </w:rPr>
              <w:t>empadronamiento</w:t>
            </w:r>
            <w:r>
              <w:rPr>
                <w:b/>
                <w:bCs/>
                <w:i w:val="false"/>
                <w:iCs w:val="false"/>
                <w:color w:val="000000"/>
                <w:spacing w:val="5"/>
                <w:sz w:val="16"/>
                <w:szCs w:val="16"/>
                <w:lang w:val="ca-ES-valencia" w:bidi="ar-SA"/>
              </w:rPr>
              <w:t xml:space="preserve"> </w:t>
            </w:r>
            <w:r>
              <w:rPr>
                <w:b/>
                <w:bCs/>
                <w:i w:val="false"/>
                <w:iCs w:val="false"/>
                <w:color w:val="000000"/>
                <w:sz w:val="16"/>
                <w:szCs w:val="16"/>
                <w:lang w:val="ca-ES-valencia" w:bidi="ar-SA"/>
              </w:rPr>
              <w:t>municipal)</w:t>
            </w:r>
          </w:p>
        </w:tc>
      </w:tr>
      <w:tr>
        <w:trPr>
          <w:trHeight w:val="335" w:hRule="atLeast"/>
        </w:trPr>
        <w:tc>
          <w:tcPr>
            <w:tcW w:w="8592"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b/>
                <w:b/>
                <w:bCs/>
                <w:i w:val="false"/>
                <w:i w:val="false"/>
                <w:iCs w:val="false"/>
                <w:color w:val="000000"/>
                <w:sz w:val="16"/>
                <w:szCs w:val="16"/>
                <w:lang w:val="ca-ES-valencia" w:bidi="ar-SA"/>
              </w:rPr>
            </w:pPr>
            <w:r>
              <w:rPr>
                <w:rFonts w:cs="Times New Roman" w:ascii="Times New Roman" w:hAnsi="Times New Roman"/>
                <w:b/>
                <w:bCs/>
                <w:i w:val="false"/>
                <w:iCs w:val="false"/>
                <w:color w:val="000000"/>
                <w:sz w:val="16"/>
                <w:szCs w:val="16"/>
                <w:lang w:val="ca-ES-valencia" w:bidi="ar-SA"/>
              </w:rPr>
            </w:r>
          </w:p>
        </w:tc>
      </w:tr>
      <w:tr>
        <w:trPr>
          <w:trHeight w:val="242" w:hRule="atLeast"/>
        </w:trPr>
        <w:tc>
          <w:tcPr>
            <w:tcW w:w="2037" w:type="dxa"/>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45" w:after="0"/>
              <w:ind w:left="55"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t>TELÉFONO</w:t>
            </w:r>
          </w:p>
        </w:tc>
        <w:tc>
          <w:tcPr>
            <w:tcW w:w="2219" w:type="dxa"/>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45" w:after="0"/>
              <w:ind w:left="55"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t>MÓVIL</w:t>
            </w:r>
          </w:p>
        </w:tc>
        <w:tc>
          <w:tcPr>
            <w:tcW w:w="433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FF" w:val="clear"/>
          </w:tcPr>
          <w:p>
            <w:pPr>
              <w:pStyle w:val="TableParagraph"/>
              <w:spacing w:before="45" w:after="0"/>
              <w:ind w:left="53" w:right="0" w:hanging="0"/>
              <w:rPr>
                <w:b/>
                <w:b/>
                <w:bCs/>
                <w:i w:val="false"/>
                <w:i w:val="false"/>
                <w:iCs w:val="false"/>
                <w:color w:val="000000"/>
                <w:sz w:val="16"/>
                <w:szCs w:val="16"/>
                <w:lang w:val="ca-ES-valencia" w:bidi="ar-SA"/>
              </w:rPr>
            </w:pPr>
            <w:r>
              <w:rPr>
                <w:b/>
                <w:bCs/>
                <w:i w:val="false"/>
                <w:iCs w:val="false"/>
                <w:color w:val="000000"/>
                <w:sz w:val="16"/>
                <w:szCs w:val="16"/>
                <w:lang w:val="ca-ES-valencia" w:bidi="ar-SA"/>
              </w:rPr>
              <w:t>EMAIL</w:t>
            </w:r>
          </w:p>
        </w:tc>
      </w:tr>
      <w:tr>
        <w:trPr>
          <w:trHeight w:val="335" w:hRule="atLeast"/>
        </w:trPr>
        <w:tc>
          <w:tcPr>
            <w:tcW w:w="2037"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bidi="ar-SA"/>
              </w:rPr>
            </w:pPr>
            <w:r>
              <w:rPr>
                <w:rFonts w:cs="Times New Roman" w:ascii="Times New Roman" w:hAnsi="Times New Roman"/>
                <w:sz w:val="14"/>
                <w:lang w:val="ca-ES-valencia" w:bidi="ar-SA"/>
              </w:rPr>
            </w:r>
          </w:p>
        </w:tc>
        <w:tc>
          <w:tcPr>
            <w:tcW w:w="2219"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6"/>
                <w:szCs w:val="16"/>
                <w:lang w:val="ca-ES-valencia" w:bidi="ar-SA"/>
              </w:rPr>
            </w:pPr>
            <w:r>
              <w:rPr>
                <w:rFonts w:cs="Times New Roman" w:ascii="Times New Roman" w:hAnsi="Times New Roman"/>
                <w:sz w:val="16"/>
                <w:szCs w:val="16"/>
                <w:lang w:val="ca-ES-valencia" w:bidi="ar-SA"/>
              </w:rPr>
            </w:r>
          </w:p>
        </w:tc>
        <w:tc>
          <w:tcPr>
            <w:tcW w:w="433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sz w:val="16"/>
                <w:szCs w:val="16"/>
                <w:lang w:val="ca-ES-valencia" w:bidi="ar-SA"/>
              </w:rPr>
            </w:pPr>
            <w:r>
              <w:rPr>
                <w:rFonts w:cs="Times New Roman" w:ascii="Times New Roman" w:hAnsi="Times New Roman"/>
                <w:sz w:val="16"/>
                <w:szCs w:val="16"/>
                <w:lang w:val="ca-ES-valencia" w:bidi="ar-SA"/>
              </w:rPr>
            </w:r>
          </w:p>
        </w:tc>
      </w:tr>
    </w:tbl>
    <w:p>
      <w:pPr>
        <w:pStyle w:val="Normal"/>
        <w:widowControl w:val="false"/>
        <w:tabs>
          <w:tab w:val="left" w:pos="3096" w:leader="none"/>
        </w:tabs>
        <w:suppressAutoHyphens w:val="true"/>
        <w:overflowPunct w:val="false"/>
        <w:bidi w:val="0"/>
        <w:spacing w:before="227" w:after="113"/>
        <w:ind w:left="0" w:right="0" w:hanging="0"/>
        <w:jc w:val="left"/>
        <w:rPr>
          <w:lang w:val="ca-ES-valencia"/>
        </w:rPr>
      </w:pPr>
      <w:r>
        <mc:AlternateContent>
          <mc:Choice Requires="wps">
            <w:drawing>
              <wp:anchor behindDoc="0" distT="0" distB="0" distL="114300" distR="114300" simplePos="0" locked="0" layoutInCell="1" allowOverlap="1" relativeHeight="40">
                <wp:simplePos x="0" y="0"/>
                <wp:positionH relativeFrom="column">
                  <wp:posOffset>156210</wp:posOffset>
                </wp:positionH>
                <wp:positionV relativeFrom="paragraph">
                  <wp:posOffset>85090</wp:posOffset>
                </wp:positionV>
                <wp:extent cx="313690" cy="193040"/>
                <wp:effectExtent l="0" t="0" r="0" b="0"/>
                <wp:wrapNone/>
                <wp:docPr id="7" name="Marco2"/>
                <a:graphic xmlns:a="http://schemas.openxmlformats.org/drawingml/2006/main">
                  <a:graphicData uri="http://schemas.microsoft.com/office/word/2010/wordprocessingShape">
                    <wps:wsp>
                      <wps:cNvSpPr/>
                      <wps:spPr>
                        <a:xfrm>
                          <a:off x="0" y="0"/>
                          <a:ext cx="313200" cy="192240"/>
                        </a:xfrm>
                        <a:prstGeom prst="rect">
                          <a:avLst/>
                        </a:prstGeom>
                        <a:solidFill>
                          <a:srgbClr val="ffffff"/>
                        </a:solidFill>
                        <a:ln w="720">
                          <a:solidFill>
                            <a:srgbClr val="000000"/>
                          </a:solidFill>
                          <a:round/>
                        </a:ln>
                      </wps:spPr>
                      <wps:style>
                        <a:lnRef idx="0"/>
                        <a:fillRef idx="0"/>
                        <a:effectRef idx="0"/>
                        <a:fontRef idx="minor"/>
                      </wps:style>
                      <wps:bodyPr/>
                    </wps:wsp>
                  </a:graphicData>
                </a:graphic>
              </wp:anchor>
            </w:drawing>
          </mc:Choice>
          <mc:Fallback>
            <w:pict>
              <v:rect id="shape_0" ID="Marco2" fillcolor="white" stroked="t" style="position:absolute;margin-left:12.3pt;margin-top:6.7pt;width:24.6pt;height:15.1pt">
                <w10:wrap type="none"/>
                <v:fill o:detectmouseclick="t" type="solid" color2="black"/>
                <v:stroke color="black" weight="720" joinstyle="round" endcap="flat"/>
              </v:rect>
            </w:pict>
          </mc:Fallback>
        </mc:AlternateContent>
        <mc:AlternateContent>
          <mc:Choice Requires="wps">
            <w:drawing>
              <wp:anchor behindDoc="0" distT="0" distB="0" distL="0" distR="0" simplePos="0" locked="0" layoutInCell="1" allowOverlap="1" relativeHeight="41">
                <wp:simplePos x="0" y="0"/>
                <wp:positionH relativeFrom="column">
                  <wp:posOffset>156210</wp:posOffset>
                </wp:positionH>
                <wp:positionV relativeFrom="paragraph">
                  <wp:posOffset>85090</wp:posOffset>
                </wp:positionV>
                <wp:extent cx="313690" cy="193040"/>
                <wp:effectExtent l="0" t="0" r="0" b="0"/>
                <wp:wrapSquare wrapText="bothSides"/>
                <wp:docPr id="8" name="Marco3"/>
                <a:graphic xmlns:a="http://schemas.openxmlformats.org/drawingml/2006/main">
                  <a:graphicData uri="http://schemas.microsoft.com/office/word/2010/wordprocessingShape">
                    <wps:wsp>
                      <wps:cNvSpPr/>
                      <wps:spPr>
                        <a:xfrm>
                          <a:off x="0" y="0"/>
                          <a:ext cx="313200" cy="192240"/>
                        </a:xfrm>
                        <a:prstGeom prst="rect">
                          <a:avLst/>
                        </a:prstGeom>
                        <a:noFill/>
                        <a:ln>
                          <a:noFill/>
                        </a:ln>
                      </wps:spPr>
                      <wps:style>
                        <a:lnRef idx="0"/>
                        <a:fillRef idx="0"/>
                        <a:effectRef idx="0"/>
                        <a:fontRef idx="minor"/>
                      </wps:style>
                      <wps:txbx>
                        <w:txbxContent>
                          <w:p>
                            <w:pPr>
                              <w:pStyle w:val="Cuerpodetexto"/>
                              <w:spacing w:before="49" w:after="0"/>
                              <w:jc w:val="center"/>
                              <w:rPr/>
                            </w:pPr>
                            <w:r>
                              <w:rPr>
                                <w:color w:val="00000A"/>
                              </w:rPr>
                              <w:t>B</w:t>
                            </w:r>
                          </w:p>
                        </w:txbxContent>
                      </wps:txbx>
                      <wps:bodyPr lIns="0" rIns="0" tIns="0" bIns="0">
                        <a:noAutofit/>
                      </wps:bodyPr>
                    </wps:wsp>
                  </a:graphicData>
                </a:graphic>
              </wp:anchor>
            </w:drawing>
          </mc:Choice>
          <mc:Fallback>
            <w:pict>
              <v:rect id="shape_0" ID="Marco3" stroked="f" style="position:absolute;margin-left:12.3pt;margin-top:6.7pt;width:24.6pt;height:15.1pt">
                <w10:wrap type="square"/>
                <v:fill o:detectmouseclick="t" on="false"/>
                <v:stroke color="#3465a4" joinstyle="round" endcap="flat"/>
                <v:textbox>
                  <w:txbxContent>
                    <w:p>
                      <w:pPr>
                        <w:pStyle w:val="Cuerpodetexto"/>
                        <w:spacing w:before="49" w:after="0"/>
                        <w:jc w:val="center"/>
                        <w:rPr/>
                      </w:pPr>
                      <w:r>
                        <w:rPr>
                          <w:color w:val="00000A"/>
                        </w:rPr>
                        <w:t>B</w:t>
                      </w:r>
                    </w:p>
                  </w:txbxContent>
                </v:textbox>
              </v:rect>
            </w:pict>
          </mc:Fallback>
        </mc:AlternateContent>
      </w:r>
      <w:r>
        <w:rPr>
          <w:rFonts w:eastAsia="Arial" w:cs="Arial"/>
          <w:b w:val="false"/>
          <w:bCs w:val="false"/>
          <w:sz w:val="22"/>
          <w:szCs w:val="22"/>
          <w:lang w:val="ca-ES-valencia" w:bidi="ar-SA"/>
        </w:rPr>
        <w:t xml:space="preserve">     </w:t>
      </w:r>
      <w:r>
        <w:rPr>
          <w:b/>
          <w:sz w:val="14"/>
          <w:lang w:val="ca-ES-valencia" w:bidi="ar-SA"/>
        </w:rPr>
        <w:t xml:space="preserve">               </w:t>
      </w:r>
      <w:r>
        <w:rPr>
          <w:b/>
          <w:bCs/>
          <w:i w:val="false"/>
          <w:iCs w:val="false"/>
          <w:color w:val="000000"/>
          <w:spacing w:val="-2"/>
          <w:sz w:val="18"/>
          <w:szCs w:val="16"/>
          <w:lang w:val="ca-ES-valencia" w:bidi="ar-SA"/>
        </w:rPr>
        <w:t>DOCUMENTACIÓ</w:t>
      </w:r>
      <w:r>
        <w:rPr>
          <w:b/>
          <w:bCs/>
          <w:i w:val="false"/>
          <w:iCs w:val="false"/>
          <w:color w:val="000000"/>
          <w:spacing w:val="-5"/>
          <w:sz w:val="18"/>
          <w:szCs w:val="16"/>
          <w:lang w:val="ca-ES-valencia" w:bidi="ar-SA"/>
        </w:rPr>
        <w:t xml:space="preserve"> </w:t>
      </w:r>
      <w:r>
        <w:rPr>
          <w:b/>
          <w:bCs/>
          <w:i w:val="false"/>
          <w:iCs w:val="false"/>
          <w:color w:val="000000"/>
          <w:spacing w:val="-2"/>
          <w:sz w:val="18"/>
          <w:szCs w:val="16"/>
          <w:lang w:val="ca-ES-valencia" w:bidi="ar-SA"/>
        </w:rPr>
        <w:t>A</w:t>
      </w:r>
      <w:r>
        <w:rPr>
          <w:b/>
          <w:bCs/>
          <w:i w:val="false"/>
          <w:iCs w:val="false"/>
          <w:color w:val="000000"/>
          <w:spacing w:val="-14"/>
          <w:sz w:val="18"/>
          <w:szCs w:val="16"/>
          <w:lang w:val="ca-ES-valencia" w:bidi="ar-SA"/>
        </w:rPr>
        <w:t xml:space="preserve"> </w:t>
      </w:r>
      <w:r>
        <w:rPr>
          <w:b/>
          <w:bCs/>
          <w:i w:val="false"/>
          <w:iCs w:val="false"/>
          <w:color w:val="000000"/>
          <w:spacing w:val="-2"/>
          <w:sz w:val="18"/>
          <w:szCs w:val="16"/>
          <w:lang w:val="ca-ES-valencia" w:bidi="ar-SA"/>
        </w:rPr>
        <w:t xml:space="preserve">APORTAR/ </w:t>
      </w:r>
      <w:r>
        <w:rPr>
          <w:b/>
          <w:bCs/>
          <w:i/>
          <w:iCs/>
          <w:color w:val="666666"/>
          <w:spacing w:val="-2"/>
          <w:sz w:val="18"/>
          <w:szCs w:val="16"/>
          <w:lang w:val="ca-ES-valencia" w:bidi="ar-SA"/>
        </w:rPr>
        <w:t>DOCUMENTACIÓN A APORTAR</w:t>
      </w:r>
    </w:p>
    <w:p>
      <w:pPr>
        <w:pStyle w:val="Cuerpodetexto"/>
        <w:spacing w:before="3" w:after="0"/>
        <w:rPr>
          <w:sz w:val="5"/>
          <w:lang w:val="ca-ES-valencia" w:bidi="ar-SA"/>
        </w:rPr>
      </w:pPr>
      <w:r>
        <w:rPr>
          <w:sz w:val="5"/>
          <w:lang w:val="ca-ES-valencia" w:bidi="ar-SA"/>
        </w:rPr>
      </w:r>
    </w:p>
    <w:tbl>
      <w:tblPr>
        <w:tblW w:w="8595" w:type="dxa"/>
        <w:jc w:val="left"/>
        <w:tblInd w:w="21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0" w:type="dxa"/>
          <w:bottom w:w="0" w:type="dxa"/>
          <w:right w:w="0" w:type="dxa"/>
        </w:tblCellMar>
      </w:tblPr>
      <w:tblGrid>
        <w:gridCol w:w="8595"/>
      </w:tblGrid>
      <w:tr>
        <w:trPr>
          <w:trHeight w:val="755" w:hRule="atLeast"/>
        </w:trPr>
        <w:tc>
          <w:tcPr>
            <w:tcW w:w="859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widowControl w:val="false"/>
              <w:tabs>
                <w:tab w:val="left" w:pos="450" w:leader="none"/>
                <w:tab w:val="left" w:pos="775" w:leader="none"/>
              </w:tabs>
              <w:suppressAutoHyphens w:val="true"/>
              <w:overflowPunct w:val="false"/>
              <w:bidi w:val="0"/>
              <w:spacing w:lineRule="auto" w:line="204" w:before="84" w:after="0"/>
              <w:ind w:left="227" w:right="0" w:hanging="170"/>
              <w:jc w:val="both"/>
              <w:rPr>
                <w:b w:val="false"/>
                <w:b w:val="false"/>
                <w:bCs w:val="false"/>
                <w:i w:val="false"/>
                <w:i w:val="false"/>
                <w:iCs w:val="false"/>
                <w:color w:val="000000"/>
                <w:sz w:val="16"/>
                <w:lang w:val="es-ES" w:eastAsia="en-US" w:bidi="ar-SA"/>
              </w:rPr>
            </w:pPr>
            <w:r>
              <w:rPr>
                <w:b w:val="false"/>
                <w:bCs w:val="false"/>
                <w:i w:val="false"/>
                <w:iCs w:val="false"/>
                <w:color w:val="000000"/>
                <w:sz w:val="16"/>
                <w:lang w:val="es-ES" w:eastAsia="en-US" w:bidi="ar-SA"/>
              </w:rPr>
              <w:t>1. Documento Nacional de Identidad del/la solicitante (y de su representante, si es el caso)</w:t>
            </w:r>
          </w:p>
          <w:p>
            <w:pPr>
              <w:pStyle w:val="TableParagraph"/>
              <w:widowControl w:val="false"/>
              <w:tabs>
                <w:tab w:val="left" w:pos="450" w:leader="none"/>
                <w:tab w:val="left" w:pos="775" w:leader="none"/>
              </w:tabs>
              <w:suppressAutoHyphens w:val="true"/>
              <w:overflowPunct w:val="false"/>
              <w:bidi w:val="0"/>
              <w:spacing w:lineRule="auto" w:line="204" w:before="84" w:after="0"/>
              <w:ind w:left="227" w:right="0" w:hanging="170"/>
              <w:jc w:val="both"/>
              <w:rPr>
                <w:b w:val="false"/>
                <w:b w:val="false"/>
                <w:bCs w:val="false"/>
                <w:i w:val="false"/>
                <w:i w:val="false"/>
                <w:iCs w:val="false"/>
                <w:color w:val="000000"/>
                <w:sz w:val="16"/>
                <w:lang w:val="es-ES" w:eastAsia="en-US" w:bidi="ar-SA"/>
              </w:rPr>
            </w:pPr>
            <w:r>
              <w:rPr>
                <w:b w:val="false"/>
                <w:bCs w:val="false"/>
                <w:i w:val="false"/>
                <w:iCs w:val="false"/>
                <w:color w:val="000000"/>
                <w:sz w:val="16"/>
                <w:lang w:val="es-ES" w:eastAsia="en-US" w:bidi="ar-SA"/>
              </w:rPr>
              <w:t>2. Licencia federativa del ejercicio 2024 o de la Temporada 2023/2024 o certificado acreditativo equivalente, de la modalidad deportiva correspondiente en vigor, expedida por la Federación oportuna.</w:t>
            </w:r>
          </w:p>
          <w:p>
            <w:pPr>
              <w:pStyle w:val="TableParagraph"/>
              <w:widowControl w:val="false"/>
              <w:tabs>
                <w:tab w:val="left" w:pos="450" w:leader="none"/>
                <w:tab w:val="left" w:pos="775" w:leader="none"/>
              </w:tabs>
              <w:suppressAutoHyphens w:val="true"/>
              <w:overflowPunct w:val="false"/>
              <w:bidi w:val="0"/>
              <w:spacing w:lineRule="auto" w:line="204" w:before="84" w:after="0"/>
              <w:ind w:left="227" w:right="0" w:hanging="170"/>
              <w:jc w:val="both"/>
              <w:rPr>
                <w:b w:val="false"/>
                <w:b w:val="false"/>
                <w:bCs w:val="false"/>
                <w:i w:val="false"/>
                <w:i w:val="false"/>
                <w:iCs w:val="false"/>
                <w:color w:val="000000"/>
                <w:sz w:val="16"/>
                <w:lang w:val="es-ES" w:eastAsia="en-US" w:bidi="ar-SA"/>
              </w:rPr>
            </w:pPr>
            <w:r>
              <w:rPr>
                <w:b w:val="false"/>
                <w:bCs w:val="false"/>
                <w:i w:val="false"/>
                <w:iCs w:val="false"/>
                <w:color w:val="000000"/>
                <w:sz w:val="16"/>
                <w:lang w:val="es-ES" w:eastAsia="en-US" w:bidi="ar-SA"/>
              </w:rPr>
              <w:t>3. Certificando de empadronamiento en el ayuntamiento de Xeraco durante, como mínimo, los dos últimos años.</w:t>
            </w:r>
          </w:p>
          <w:p>
            <w:pPr>
              <w:pStyle w:val="TableParagraph"/>
              <w:widowControl w:val="false"/>
              <w:tabs>
                <w:tab w:val="left" w:pos="450" w:leader="none"/>
                <w:tab w:val="left" w:pos="775" w:leader="none"/>
              </w:tabs>
              <w:suppressAutoHyphens w:val="true"/>
              <w:overflowPunct w:val="false"/>
              <w:bidi w:val="0"/>
              <w:spacing w:lineRule="auto" w:line="204" w:before="84" w:after="0"/>
              <w:ind w:left="227" w:right="0" w:hanging="170"/>
              <w:jc w:val="both"/>
              <w:rPr>
                <w:b w:val="false"/>
                <w:b w:val="false"/>
                <w:bCs w:val="false"/>
                <w:i w:val="false"/>
                <w:i w:val="false"/>
                <w:iCs w:val="false"/>
                <w:color w:val="000000"/>
                <w:sz w:val="16"/>
                <w:lang w:val="es-ES" w:eastAsia="en-US" w:bidi="ar-SA"/>
              </w:rPr>
            </w:pPr>
            <w:r>
              <w:rPr>
                <w:b w:val="false"/>
                <w:bCs w:val="false"/>
                <w:i w:val="false"/>
                <w:iCs w:val="false"/>
                <w:color w:val="000000"/>
                <w:sz w:val="16"/>
                <w:lang w:val="es-ES" w:eastAsia="en-US" w:bidi="ar-SA"/>
              </w:rPr>
              <w:t>4. Acreditación del número de cuenta bancaria (Certificado bancario o recibo domiciliado)</w:t>
            </w:r>
          </w:p>
        </w:tc>
      </w:tr>
    </w:tbl>
    <w:p>
      <w:pPr>
        <w:pStyle w:val="Normal"/>
        <w:bidi w:val="0"/>
        <w:spacing w:before="170" w:after="113"/>
        <w:ind w:left="811" w:right="0" w:hanging="0"/>
        <w:jc w:val="left"/>
        <w:rPr>
          <w:lang w:val="ca-ES-valencia"/>
        </w:rPr>
      </w:pPr>
      <w:r>
        <mc:AlternateContent>
          <mc:Choice Requires="wps">
            <w:drawing>
              <wp:anchor behindDoc="0" distT="0" distB="0" distL="114300" distR="114300" simplePos="0" locked="0" layoutInCell="1" allowOverlap="1" relativeHeight="42">
                <wp:simplePos x="0" y="0"/>
                <wp:positionH relativeFrom="column">
                  <wp:posOffset>166370</wp:posOffset>
                </wp:positionH>
                <wp:positionV relativeFrom="paragraph">
                  <wp:posOffset>85090</wp:posOffset>
                </wp:positionV>
                <wp:extent cx="313690" cy="194945"/>
                <wp:effectExtent l="0" t="0" r="0" b="0"/>
                <wp:wrapNone/>
                <wp:docPr id="10" name="Marco4"/>
                <a:graphic xmlns:a="http://schemas.openxmlformats.org/drawingml/2006/main">
                  <a:graphicData uri="http://schemas.microsoft.com/office/word/2010/wordprocessingShape">
                    <wps:wsp>
                      <wps:cNvSpPr/>
                      <wps:spPr>
                        <a:xfrm>
                          <a:off x="0" y="0"/>
                          <a:ext cx="313200" cy="194400"/>
                        </a:xfrm>
                        <a:prstGeom prst="rect">
                          <a:avLst/>
                        </a:prstGeom>
                        <a:solidFill>
                          <a:srgbClr val="ffffff"/>
                        </a:solidFill>
                        <a:ln w="720">
                          <a:solidFill>
                            <a:srgbClr val="000000"/>
                          </a:solidFill>
                          <a:round/>
                        </a:ln>
                      </wps:spPr>
                      <wps:style>
                        <a:lnRef idx="0"/>
                        <a:fillRef idx="0"/>
                        <a:effectRef idx="0"/>
                        <a:fontRef idx="minor"/>
                      </wps:style>
                      <wps:bodyPr/>
                    </wps:wsp>
                  </a:graphicData>
                </a:graphic>
              </wp:anchor>
            </w:drawing>
          </mc:Choice>
          <mc:Fallback>
            <w:pict>
              <v:rect id="shape_0" ID="Marco4" fillcolor="white" stroked="t" style="position:absolute;margin-left:13.1pt;margin-top:6.7pt;width:24.6pt;height:15.25pt">
                <w10:wrap type="none"/>
                <v:fill o:detectmouseclick="t" type="solid" color2="black"/>
                <v:stroke color="black" weight="720" joinstyle="round" endcap="flat"/>
              </v:rect>
            </w:pict>
          </mc:Fallback>
        </mc:AlternateContent>
        <mc:AlternateContent>
          <mc:Choice Requires="wps">
            <w:drawing>
              <wp:anchor behindDoc="0" distT="0" distB="0" distL="0" distR="0" simplePos="0" locked="0" layoutInCell="1" allowOverlap="1" relativeHeight="43">
                <wp:simplePos x="0" y="0"/>
                <wp:positionH relativeFrom="column">
                  <wp:posOffset>166370</wp:posOffset>
                </wp:positionH>
                <wp:positionV relativeFrom="paragraph">
                  <wp:posOffset>85090</wp:posOffset>
                </wp:positionV>
                <wp:extent cx="313690" cy="194945"/>
                <wp:effectExtent l="0" t="0" r="0" b="0"/>
                <wp:wrapSquare wrapText="bothSides"/>
                <wp:docPr id="11" name="Marco4"/>
                <a:graphic xmlns:a="http://schemas.openxmlformats.org/drawingml/2006/main">
                  <a:graphicData uri="http://schemas.microsoft.com/office/word/2010/wordprocessingShape">
                    <wps:wsp>
                      <wps:cNvSpPr/>
                      <wps:spPr>
                        <a:xfrm>
                          <a:off x="0" y="0"/>
                          <a:ext cx="313200" cy="194400"/>
                        </a:xfrm>
                        <a:prstGeom prst="rect">
                          <a:avLst/>
                        </a:prstGeom>
                        <a:noFill/>
                        <a:ln>
                          <a:noFill/>
                        </a:ln>
                      </wps:spPr>
                      <wps:style>
                        <a:lnRef idx="0"/>
                        <a:fillRef idx="0"/>
                        <a:effectRef idx="0"/>
                        <a:fontRef idx="minor"/>
                      </wps:style>
                      <wps:txbx>
                        <w:txbxContent>
                          <w:p>
                            <w:pPr>
                              <w:pStyle w:val="Cuerpodetexto"/>
                              <w:spacing w:before="49" w:after="0"/>
                              <w:jc w:val="center"/>
                              <w:rPr/>
                            </w:pPr>
                            <w:r>
                              <w:rPr>
                                <w:color w:val="00000A"/>
                              </w:rPr>
                              <w:t>C</w:t>
                            </w:r>
                          </w:p>
                        </w:txbxContent>
                      </wps:txbx>
                      <wps:bodyPr lIns="0" rIns="0" tIns="0" bIns="0">
                        <a:noAutofit/>
                      </wps:bodyPr>
                    </wps:wsp>
                  </a:graphicData>
                </a:graphic>
              </wp:anchor>
            </w:drawing>
          </mc:Choice>
          <mc:Fallback>
            <w:pict>
              <v:rect id="shape_0" ID="Marco4" stroked="f" style="position:absolute;margin-left:13.1pt;margin-top:6.7pt;width:24.6pt;height:15.25pt">
                <w10:wrap type="square"/>
                <v:fill o:detectmouseclick="t" on="false"/>
                <v:stroke color="#3465a4" joinstyle="round" endcap="flat"/>
                <v:textbox>
                  <w:txbxContent>
                    <w:p>
                      <w:pPr>
                        <w:pStyle w:val="Cuerpodetexto"/>
                        <w:spacing w:before="49" w:after="0"/>
                        <w:jc w:val="center"/>
                        <w:rPr/>
                      </w:pPr>
                      <w:r>
                        <w:rPr>
                          <w:color w:val="00000A"/>
                        </w:rPr>
                        <w:t>C</w:t>
                      </w:r>
                    </w:p>
                  </w:txbxContent>
                </v:textbox>
              </v:rect>
            </w:pict>
          </mc:Fallback>
        </mc:AlternateContent>
      </w:r>
      <w:r>
        <w:rPr>
          <w:b/>
          <w:bCs/>
          <w:i w:val="false"/>
          <w:iCs w:val="false"/>
          <w:color w:val="000000"/>
          <w:sz w:val="18"/>
          <w:lang w:val="ca-ES-valencia" w:bidi="ar-SA"/>
        </w:rPr>
        <w:t xml:space="preserve">DADES BANCÀRIES/ </w:t>
      </w:r>
      <w:r>
        <w:rPr>
          <w:b/>
          <w:bCs/>
          <w:i/>
          <w:iCs/>
          <w:color w:val="666666"/>
          <w:sz w:val="18"/>
          <w:lang w:val="ca-ES-valencia" w:bidi="ar-SA"/>
        </w:rPr>
        <w:t>DATOS</w:t>
      </w:r>
      <w:r>
        <w:rPr>
          <w:b/>
          <w:bCs/>
          <w:i/>
          <w:iCs/>
          <w:color w:val="666666"/>
          <w:spacing w:val="-10"/>
          <w:sz w:val="18"/>
          <w:lang w:val="ca-ES-valencia" w:bidi="ar-SA"/>
        </w:rPr>
        <w:t xml:space="preserve"> </w:t>
      </w:r>
      <w:r>
        <w:rPr>
          <w:b/>
          <w:bCs/>
          <w:i/>
          <w:iCs/>
          <w:color w:val="666666"/>
          <w:sz w:val="18"/>
          <w:lang w:val="ca-ES-valencia" w:bidi="ar-SA"/>
        </w:rPr>
        <w:t>BANCARIOS</w:t>
      </w:r>
    </w:p>
    <w:tbl>
      <w:tblPr>
        <w:tblW w:w="8537" w:type="dxa"/>
        <w:jc w:val="left"/>
        <w:tblInd w:w="235" w:type="dxa"/>
        <w:tblBorders>
          <w:top w:val="single" w:sz="2" w:space="0" w:color="000001"/>
          <w:left w:val="single" w:sz="2" w:space="0" w:color="000001"/>
        </w:tblBorders>
        <w:tblCellMar>
          <w:top w:w="0" w:type="dxa"/>
          <w:left w:w="0" w:type="dxa"/>
          <w:bottom w:w="0" w:type="dxa"/>
          <w:right w:w="0" w:type="dxa"/>
        </w:tblCellMar>
      </w:tblPr>
      <w:tblGrid>
        <w:gridCol w:w="506"/>
        <w:gridCol w:w="338"/>
        <w:gridCol w:w="331"/>
        <w:gridCol w:w="333"/>
        <w:gridCol w:w="331"/>
        <w:gridCol w:w="332"/>
        <w:gridCol w:w="333"/>
        <w:gridCol w:w="332"/>
        <w:gridCol w:w="332"/>
        <w:gridCol w:w="333"/>
        <w:gridCol w:w="332"/>
        <w:gridCol w:w="333"/>
        <w:gridCol w:w="332"/>
        <w:gridCol w:w="333"/>
        <w:gridCol w:w="331"/>
        <w:gridCol w:w="333"/>
        <w:gridCol w:w="331"/>
        <w:gridCol w:w="332"/>
        <w:gridCol w:w="241"/>
        <w:gridCol w:w="94"/>
        <w:gridCol w:w="332"/>
        <w:gridCol w:w="332"/>
        <w:gridCol w:w="332"/>
        <w:gridCol w:w="332"/>
        <w:gridCol w:w="330"/>
        <w:gridCol w:w="384"/>
      </w:tblGrid>
      <w:tr>
        <w:trPr>
          <w:trHeight w:val="247" w:hRule="atLeast"/>
        </w:trPr>
        <w:tc>
          <w:tcPr>
            <w:tcW w:w="6399" w:type="dxa"/>
            <w:gridSpan w:val="19"/>
            <w:tcBorders>
              <w:top w:val="single" w:sz="2" w:space="0" w:color="000001"/>
              <w:left w:val="single" w:sz="2" w:space="0" w:color="000001"/>
            </w:tcBorders>
            <w:shd w:fill="E6E6FF" w:val="clear"/>
          </w:tcPr>
          <w:p>
            <w:pPr>
              <w:pStyle w:val="TableParagraph"/>
              <w:spacing w:before="50" w:after="0"/>
              <w:ind w:left="55" w:right="0" w:hanging="0"/>
              <w:rPr>
                <w:lang w:val="ca-ES-valencia"/>
              </w:rPr>
            </w:pPr>
            <w:r>
              <w:rPr>
                <w:b/>
                <w:spacing w:val="-1"/>
                <w:sz w:val="12"/>
                <w:lang w:val="ca-ES-valencia"/>
              </w:rPr>
              <w:t>APELLIDOS Y NOMBRE</w:t>
            </w:r>
            <w:r>
              <w:rPr>
                <w:b/>
                <w:spacing w:val="-4"/>
                <w:sz w:val="12"/>
                <w:lang w:val="ca-ES-valencia"/>
              </w:rPr>
              <w:t xml:space="preserve"> </w:t>
            </w:r>
            <w:r>
              <w:rPr>
                <w:b/>
                <w:sz w:val="12"/>
                <w:lang w:val="ca-ES-valencia"/>
              </w:rPr>
              <w:t>TITULAR</w:t>
            </w:r>
            <w:r>
              <w:rPr>
                <w:b/>
                <w:spacing w:val="-4"/>
                <w:sz w:val="12"/>
                <w:lang w:val="ca-ES-valencia"/>
              </w:rPr>
              <w:t xml:space="preserve"> </w:t>
            </w:r>
            <w:r>
              <w:rPr>
                <w:b/>
                <w:sz w:val="12"/>
                <w:lang w:val="ca-ES-valencia"/>
              </w:rPr>
              <w:t>DE LA</w:t>
            </w:r>
            <w:r>
              <w:rPr>
                <w:b/>
                <w:spacing w:val="-5"/>
                <w:sz w:val="12"/>
                <w:lang w:val="ca-ES-valencia"/>
              </w:rPr>
              <w:t xml:space="preserve"> </w:t>
            </w:r>
            <w:r>
              <w:rPr>
                <w:b/>
                <w:sz w:val="12"/>
                <w:lang w:val="ca-ES-valencia"/>
              </w:rPr>
              <w:t>CUENTA</w:t>
            </w:r>
          </w:p>
        </w:tc>
        <w:tc>
          <w:tcPr>
            <w:tcW w:w="2136" w:type="dxa"/>
            <w:gridSpan w:val="7"/>
            <w:tcBorders>
              <w:top w:val="single" w:sz="2" w:space="0" w:color="000001"/>
              <w:left w:val="single" w:sz="2" w:space="0" w:color="000001"/>
              <w:right w:val="single" w:sz="2" w:space="0" w:color="000001"/>
              <w:insideV w:val="single" w:sz="2" w:space="0" w:color="000001"/>
            </w:tcBorders>
            <w:shd w:fill="E6E6FF" w:val="clear"/>
          </w:tcPr>
          <w:p>
            <w:pPr>
              <w:pStyle w:val="TableParagraph"/>
              <w:spacing w:before="50" w:after="0"/>
              <w:ind w:left="58" w:right="0" w:hanging="0"/>
              <w:rPr>
                <w:b/>
                <w:b/>
                <w:sz w:val="12"/>
                <w:lang w:val="ca-ES-valencia"/>
              </w:rPr>
            </w:pPr>
            <w:r>
              <w:rPr>
                <w:b/>
                <w:sz w:val="12"/>
                <w:lang w:val="ca-ES-valencia"/>
              </w:rPr>
              <w:t>DNI/CIF/NIE</w:t>
            </w:r>
          </w:p>
        </w:tc>
      </w:tr>
      <w:tr>
        <w:trPr>
          <w:trHeight w:val="341" w:hRule="atLeast"/>
        </w:trPr>
        <w:tc>
          <w:tcPr>
            <w:tcW w:w="6399" w:type="dxa"/>
            <w:gridSpan w:val="19"/>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2136" w:type="dxa"/>
            <w:gridSpan w:val="7"/>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r>
      <w:tr>
        <w:trPr>
          <w:trHeight w:val="338" w:hRule="atLeast"/>
        </w:trPr>
        <w:tc>
          <w:tcPr>
            <w:tcW w:w="506" w:type="dxa"/>
            <w:tcBorders>
              <w:top w:val="single" w:sz="2" w:space="0" w:color="000001"/>
              <w:left w:val="single" w:sz="2" w:space="0" w:color="000001"/>
              <w:bottom w:val="single" w:sz="2" w:space="0" w:color="000001"/>
              <w:insideH w:val="single" w:sz="2" w:space="0" w:color="000001"/>
            </w:tcBorders>
            <w:shd w:fill="E6E6FF" w:val="clear"/>
          </w:tcPr>
          <w:p>
            <w:pPr>
              <w:pStyle w:val="TableParagraph"/>
              <w:spacing w:before="96" w:after="0"/>
              <w:ind w:left="105" w:right="0" w:hanging="0"/>
              <w:rPr>
                <w:b/>
                <w:b/>
                <w:sz w:val="12"/>
                <w:lang w:val="ca-ES-valencia"/>
              </w:rPr>
            </w:pPr>
            <w:r>
              <w:rPr>
                <w:b/>
                <w:sz w:val="12"/>
                <w:lang w:val="ca-ES-valencia"/>
              </w:rPr>
              <w:t>IBAN</w:t>
            </w:r>
          </w:p>
        </w:tc>
        <w:tc>
          <w:tcPr>
            <w:tcW w:w="338"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1"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3"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1"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3"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3"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3"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3"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1"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3"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1" w:type="dxa"/>
            <w:tcBorders>
              <w:top w:val="single" w:sz="2" w:space="0" w:color="000001"/>
              <w:left w:val="single" w:sz="2" w:space="0" w:color="000001"/>
              <w:bottom w:val="single" w:sz="2" w:space="0" w:color="000001"/>
              <w:insideH w:val="single" w:sz="2" w:space="0" w:color="000001"/>
            </w:tcBorders>
            <w:shd w:fill="CCCCCC"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5" w:type="dxa"/>
            <w:gridSpan w:val="2"/>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FFFFFF"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C0C0C0"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2" w:type="dxa"/>
            <w:tcBorders>
              <w:top w:val="single" w:sz="2" w:space="0" w:color="000001"/>
              <w:left w:val="single" w:sz="2" w:space="0" w:color="000001"/>
              <w:bottom w:val="single" w:sz="2" w:space="0" w:color="000001"/>
              <w:insideH w:val="single" w:sz="2" w:space="0" w:color="000001"/>
            </w:tcBorders>
            <w:shd w:fill="C0C0C0"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30" w:type="dxa"/>
            <w:tcBorders>
              <w:top w:val="single" w:sz="2" w:space="0" w:color="000001"/>
              <w:left w:val="single" w:sz="2" w:space="0" w:color="000001"/>
              <w:bottom w:val="single" w:sz="2" w:space="0" w:color="000001"/>
              <w:insideH w:val="single" w:sz="2" w:space="0" w:color="000001"/>
            </w:tcBorders>
            <w:shd w:fill="C0C0C0"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c>
          <w:tcPr>
            <w:tcW w:w="38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0C0C0" w:val="clear"/>
          </w:tcPr>
          <w:p>
            <w:pPr>
              <w:pStyle w:val="TableParagraph"/>
              <w:snapToGrid w:val="false"/>
              <w:rPr>
                <w:rFonts w:ascii="Times New Roman" w:hAnsi="Times New Roman" w:cs="Times New Roman"/>
                <w:sz w:val="14"/>
                <w:lang w:val="ca-ES-valencia"/>
              </w:rPr>
            </w:pPr>
            <w:r>
              <w:rPr>
                <w:rFonts w:cs="Times New Roman" w:ascii="Times New Roman" w:hAnsi="Times New Roman"/>
                <w:sz w:val="14"/>
                <w:lang w:val="ca-ES-valencia"/>
              </w:rPr>
            </w:r>
          </w:p>
        </w:tc>
      </w:tr>
    </w:tbl>
    <w:p>
      <w:pPr>
        <w:pStyle w:val="Normal"/>
        <w:bidi w:val="0"/>
        <w:spacing w:before="170" w:after="113"/>
        <w:ind w:left="811" w:right="0" w:hanging="0"/>
        <w:jc w:val="left"/>
        <w:rPr>
          <w:b/>
          <w:b/>
          <w:bCs/>
          <w:i w:val="false"/>
          <w:i w:val="false"/>
          <w:iCs w:val="false"/>
          <w:color w:val="000000"/>
          <w:sz w:val="18"/>
          <w:lang w:val="ca-ES-valencia" w:bidi="ar-SA"/>
        </w:rPr>
      </w:pPr>
      <w:r>
        <w:rPr>
          <w:b/>
          <w:bCs/>
          <w:i w:val="false"/>
          <w:iCs w:val="false"/>
          <w:color w:val="000000"/>
          <w:sz w:val="18"/>
          <w:lang w:val="ca-ES-valencia" w:bidi="ar-SA"/>
        </w:rPr>
      </w:r>
    </w:p>
    <w:tbl>
      <w:tblPr>
        <w:tblW w:w="9046" w:type="dxa"/>
        <w:jc w:val="left"/>
        <w:tblInd w:w="0" w:type="dxa"/>
        <w:tblBorders/>
        <w:tblCellMar>
          <w:top w:w="0" w:type="dxa"/>
          <w:left w:w="0" w:type="dxa"/>
          <w:bottom w:w="0" w:type="dxa"/>
          <w:right w:w="0" w:type="dxa"/>
        </w:tblCellMar>
      </w:tblPr>
      <w:tblGrid>
        <w:gridCol w:w="246"/>
        <w:gridCol w:w="506"/>
        <w:gridCol w:w="7935"/>
        <w:gridCol w:w="178"/>
        <w:gridCol w:w="181"/>
      </w:tblGrid>
      <w:tr>
        <w:trPr>
          <w:trHeight w:val="316" w:hRule="atLeast"/>
        </w:trPr>
        <w:tc>
          <w:tcPr>
            <w:tcW w:w="246" w:type="dxa"/>
            <w:tcBorders/>
            <w:shd w:fill="FFFFFF" w:val="clear"/>
          </w:tcPr>
          <w:p>
            <w:pPr>
              <w:pStyle w:val="Ttulodelatabla"/>
              <w:snapToGrid w:val="false"/>
              <w:rPr>
                <w:lang w:val="ca-ES-valencia"/>
              </w:rPr>
            </w:pPr>
            <w:r>
              <w:rPr>
                <w:lang w:val="ca-ES-valencia"/>
              </w:rPr>
            </w:r>
          </w:p>
        </w:tc>
        <w:tc>
          <w:tcPr>
            <w:tcW w:w="506" w:type="dxa"/>
            <w:tcBorders>
              <w:top w:val="single" w:sz="2" w:space="0" w:color="000001"/>
              <w:bottom w:val="single" w:sz="2" w:space="0" w:color="000001"/>
              <w:insideH w:val="single" w:sz="2" w:space="0" w:color="000001"/>
            </w:tcBorders>
            <w:shd w:fill="E6E6FF" w:val="clear"/>
          </w:tcPr>
          <w:p>
            <w:pPr>
              <w:pStyle w:val="TableParagraph"/>
              <w:bidi w:val="0"/>
              <w:spacing w:before="57" w:after="0"/>
              <w:jc w:val="center"/>
              <w:rPr>
                <w:b/>
                <w:b/>
                <w:sz w:val="18"/>
                <w:lang w:val="ca-ES-valencia"/>
              </w:rPr>
            </w:pPr>
            <w:r>
              <w:rPr>
                <w:b/>
                <w:sz w:val="18"/>
                <w:lang w:val="ca-ES-valencia"/>
              </w:rPr>
              <w:t>D</w:t>
            </w:r>
          </w:p>
        </w:tc>
        <w:tc>
          <w:tcPr>
            <w:tcW w:w="7935" w:type="dxa"/>
            <w:tcBorders>
              <w:top w:val="single" w:sz="2" w:space="0" w:color="000001"/>
              <w:bottom w:val="single" w:sz="2" w:space="0" w:color="000001"/>
              <w:insideH w:val="single" w:sz="2" w:space="0" w:color="000001"/>
            </w:tcBorders>
            <w:shd w:fill="FFFFFF" w:val="clear"/>
          </w:tcPr>
          <w:p>
            <w:pPr>
              <w:pStyle w:val="TableParagraph"/>
              <w:bidi w:val="0"/>
              <w:spacing w:before="57" w:after="0"/>
              <w:ind w:left="54" w:right="0" w:hanging="0"/>
              <w:jc w:val="left"/>
              <w:rPr>
                <w:lang w:val="ca-ES-valencia"/>
              </w:rPr>
            </w:pPr>
            <w:r>
              <w:rPr>
                <w:b/>
                <w:spacing w:val="-2"/>
                <w:sz w:val="18"/>
                <w:lang w:val="ca-ES-valencia"/>
              </w:rPr>
              <w:t>DECLARACIÓ RESPONSABLE/</w:t>
            </w:r>
            <w:r>
              <w:rPr>
                <w:b/>
                <w:spacing w:val="4"/>
                <w:sz w:val="18"/>
                <w:lang w:val="ca-ES-valencia"/>
              </w:rPr>
              <w:t xml:space="preserve"> </w:t>
            </w:r>
            <w:r>
              <w:rPr>
                <w:b/>
                <w:i/>
                <w:color w:val="666666"/>
                <w:spacing w:val="-2"/>
                <w:sz w:val="18"/>
                <w:lang w:val="ca-ES-valencia"/>
              </w:rPr>
              <w:t>DECLARACIÓN RESPONSABLE</w:t>
            </w:r>
          </w:p>
        </w:tc>
        <w:tc>
          <w:tcPr>
            <w:tcW w:w="178" w:type="dxa"/>
            <w:tcBorders/>
            <w:shd w:fill="FFFFFF" w:val="clear"/>
          </w:tcPr>
          <w:p>
            <w:pPr>
              <w:pStyle w:val="Normal"/>
              <w:bidi w:val="0"/>
              <w:snapToGrid w:val="false"/>
              <w:spacing w:before="57" w:after="0"/>
              <w:jc w:val="left"/>
              <w:rPr>
                <w:b/>
                <w:b/>
                <w:sz w:val="16"/>
                <w:lang w:val="ca-ES-valencia"/>
              </w:rPr>
            </w:pPr>
            <w:r>
              <w:rPr>
                <w:b/>
                <w:sz w:val="16"/>
                <w:lang w:val="ca-ES-valencia"/>
              </w:rPr>
            </w:r>
          </w:p>
        </w:tc>
        <w:tc>
          <w:tcPr>
            <w:tcW w:w="181" w:type="dxa"/>
            <w:tcBorders/>
            <w:shd w:fill="FFFFFF" w:val="clear"/>
          </w:tcPr>
          <w:p>
            <w:pPr>
              <w:pStyle w:val="Normal"/>
              <w:snapToGrid w:val="false"/>
              <w:rPr>
                <w:b/>
                <w:b/>
                <w:sz w:val="16"/>
                <w:lang w:val="ca-ES-valencia"/>
              </w:rPr>
            </w:pPr>
            <w:r>
              <w:rPr>
                <w:b/>
                <w:sz w:val="16"/>
                <w:lang w:val="ca-ES-valencia"/>
              </w:rPr>
            </w:r>
          </w:p>
        </w:tc>
      </w:tr>
    </w:tbl>
    <w:p>
      <w:pPr>
        <w:pStyle w:val="Normal"/>
        <w:spacing w:before="5" w:after="0"/>
        <w:rPr>
          <w:i/>
          <w:i/>
          <w:sz w:val="5"/>
          <w:lang w:val="ca-ES-valencia" w:bidi="ar-SA"/>
        </w:rPr>
      </w:pPr>
      <w:r>
        <w:rPr>
          <w:i/>
          <w:sz w:val="5"/>
          <w:lang w:val="ca-ES-valencia" w:bidi="ar-SA"/>
        </w:rPr>
      </w:r>
    </w:p>
    <w:tbl>
      <w:tblPr>
        <w:tblW w:w="8505" w:type="dxa"/>
        <w:jc w:val="left"/>
        <w:tblInd w:w="307" w:type="dxa"/>
        <w:tblBorders>
          <w:left w:val="single" w:sz="2" w:space="0" w:color="000001"/>
          <w:right w:val="single" w:sz="2" w:space="0" w:color="000001"/>
          <w:insideV w:val="single" w:sz="2" w:space="0" w:color="000001"/>
        </w:tblBorders>
        <w:tblCellMar>
          <w:top w:w="0" w:type="dxa"/>
          <w:left w:w="0" w:type="dxa"/>
          <w:bottom w:w="0" w:type="dxa"/>
          <w:right w:w="0" w:type="dxa"/>
        </w:tblCellMar>
      </w:tblPr>
      <w:tblGrid>
        <w:gridCol w:w="8505"/>
      </w:tblGrid>
      <w:tr>
        <w:trPr>
          <w:trHeight w:val="816" w:hRule="atLeast"/>
        </w:trPr>
        <w:tc>
          <w:tcPr>
            <w:tcW w:w="8505" w:type="dxa"/>
            <w:tcBorders>
              <w:left w:val="single" w:sz="2" w:space="0" w:color="000001"/>
              <w:right w:val="single" w:sz="2" w:space="0" w:color="000001"/>
              <w:insideV w:val="single" w:sz="2" w:space="0" w:color="000001"/>
            </w:tcBorders>
            <w:shd w:fill="FFFFFF" w:val="clear"/>
          </w:tcPr>
          <w:p>
            <w:pPr>
              <w:pStyle w:val="TableParagraph"/>
              <w:widowControl w:val="false"/>
              <w:tabs>
                <w:tab w:val="left" w:pos="450" w:leader="none"/>
                <w:tab w:val="left" w:pos="775" w:leader="none"/>
              </w:tabs>
              <w:suppressAutoHyphens w:val="true"/>
              <w:overflowPunct w:val="false"/>
              <w:bidi w:val="0"/>
              <w:spacing w:lineRule="auto" w:line="204" w:before="84" w:after="0"/>
              <w:jc w:val="both"/>
              <w:rPr>
                <w:b w:val="false"/>
                <w:b w:val="false"/>
                <w:bCs w:val="false"/>
                <w:i w:val="false"/>
                <w:i w:val="false"/>
                <w:iCs w:val="false"/>
                <w:color w:val="000000"/>
                <w:sz w:val="20"/>
                <w:szCs w:val="20"/>
                <w:lang w:val="es-ES" w:bidi="ar-SA"/>
              </w:rPr>
            </w:pPr>
            <w:r>
              <w:rPr>
                <w:b w:val="false"/>
                <w:bCs w:val="false"/>
                <w:i w:val="false"/>
                <w:iCs w:val="false"/>
                <w:color w:val="000000"/>
                <w:sz w:val="20"/>
                <w:szCs w:val="20"/>
                <w:lang w:val="es-ES" w:bidi="ar-SA"/>
              </w:rPr>
              <w:t>El firmante declara, bajo su responsabilidad, que cumple con todos los requisitos previstos en la Ley 38/2003, de 17 de noviembre, General de Subvenciones y en las bases de la convocatoria, así como que no incurre en alguna de las circunstancias previstas en el artículo 13.2 de la citada ley y que está al corriente del cumplimiento de sus obligaciones tributarias y con la seguridad social.</w:t>
            </w:r>
          </w:p>
        </w:tc>
      </w:tr>
      <w:tr>
        <w:trPr/>
        <w:tc>
          <w:tcPr>
            <w:tcW w:w="85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top w:w="55" w:type="dxa"/>
              <w:left w:w="39" w:type="dxa"/>
              <w:bottom w:w="55" w:type="dxa"/>
              <w:right w:w="55" w:type="dxa"/>
            </w:tcMar>
          </w:tcPr>
          <w:p>
            <w:pPr>
              <w:pStyle w:val="Western"/>
              <w:bidi w:val="0"/>
              <w:spacing w:before="0" w:after="57"/>
              <w:ind w:left="0" w:right="0" w:hanging="0"/>
              <w:jc w:val="left"/>
              <w:rPr>
                <w:rFonts w:cs="Arial"/>
                <w:color w:val="000000"/>
                <w:sz w:val="16"/>
                <w:szCs w:val="16"/>
                <w:lang w:val="es-ES" w:bidi="ar-SA"/>
              </w:rPr>
            </w:pPr>
            <w:r>
              <w:rPr>
                <w:rFonts w:cs="Arial"/>
                <w:color w:val="000000"/>
                <w:sz w:val="16"/>
                <w:szCs w:val="16"/>
                <w:lang w:val="es-ES" w:bidi="ar-SA"/>
              </w:rPr>
              <w:t>PROTECCIÓN DE DATOS</w:t>
            </w:r>
          </w:p>
          <w:p>
            <w:pPr>
              <w:pStyle w:val="Normal"/>
              <w:bidi w:val="0"/>
              <w:spacing w:before="0" w:after="57"/>
              <w:ind w:left="0" w:right="0" w:hanging="0"/>
              <w:jc w:val="both"/>
              <w:rPr>
                <w:rFonts w:cs="Arial"/>
                <w:sz w:val="14"/>
                <w:szCs w:val="14"/>
                <w:lang w:val="es-ES" w:bidi="ar-SA"/>
              </w:rPr>
            </w:pPr>
            <w:r>
              <w:rPr>
                <w:rFonts w:cs="Arial"/>
                <w:sz w:val="14"/>
                <w:szCs w:val="14"/>
                <w:lang w:val="es-ES" w:bidi="ar-SA"/>
              </w:rPr>
              <w:t>En cumplimiento del Art. 13 del Reglamento General de Protección de Datos (UE) 2016/679 y Art. 11 de la Ley Orgánica 3/2018, de 5 de diciembre, de Protección de Datos Personales y garantía de los derechos digitales, los datos, que proceden directamente del interesado, serán recogidos bajo la responsabilidad del Ayuntamiento de Xeraco, con la finalidad de “Gestión servicios de promoción económica”. La base legal que nos permite tratar sus datos es “Consentimiento explícito del interesado. Datos hechos manifiestamente público por el interesado. Interés legítimo de Autoridades Públicas en el ejercicio de sus funciones”. Sus datos serán cedidos a “Sepe. Servef. Diputación Provincial de Valencia. Organismos de la Generalitat con competencia en la materia.”. No existe la supresión de los datos, ya que, aunque se produzca la baja del padrón, es necesario conservar los datos a efectos históricos, estadísticos y científicos.</w:t>
            </w:r>
          </w:p>
          <w:p>
            <w:pPr>
              <w:pStyle w:val="Normal"/>
              <w:bidi w:val="0"/>
              <w:spacing w:before="0" w:after="57"/>
              <w:ind w:left="0" w:right="0" w:hanging="0"/>
              <w:jc w:val="both"/>
              <w:rPr>
                <w:rFonts w:cs="Arial"/>
                <w:sz w:val="14"/>
                <w:szCs w:val="14"/>
                <w:lang w:val="es-ES" w:bidi="ar-SA"/>
              </w:rPr>
            </w:pPr>
            <w:r>
              <w:rPr>
                <w:rFonts w:cs="Arial"/>
                <w:sz w:val="14"/>
                <w:szCs w:val="14"/>
                <w:lang w:val="es-ES" w:bidi="ar-SA"/>
              </w:rPr>
              <w:t xml:space="preserve">Las categorías de datos que se tratan son: </w:t>
            </w:r>
          </w:p>
          <w:p>
            <w:pPr>
              <w:pStyle w:val="Normal"/>
              <w:bidi w:val="0"/>
              <w:spacing w:before="0" w:after="57"/>
              <w:ind w:left="0" w:right="0" w:hanging="0"/>
              <w:jc w:val="both"/>
              <w:rPr>
                <w:rFonts w:cs="Arial"/>
                <w:sz w:val="14"/>
                <w:szCs w:val="14"/>
                <w:lang w:val="es-ES" w:bidi="ar-SA"/>
              </w:rPr>
            </w:pPr>
            <w:r>
              <w:rPr>
                <w:rFonts w:cs="Arial"/>
                <w:sz w:val="14"/>
                <w:szCs w:val="14"/>
                <w:lang w:val="es-ES" w:bidi="ar-SA"/>
              </w:rPr>
              <w:t>Datos de categorías especiales. Datos de identificación. Direcciones postales o electrónicas. Datos de circunstancias sociales. Datos de información comercial. Datos de detalle de empleo. Datos académicos y profesionales. Datos económicos, financieros y de seguros.</w:t>
            </w:r>
          </w:p>
          <w:p>
            <w:pPr>
              <w:pStyle w:val="Normal"/>
              <w:bidi w:val="0"/>
              <w:spacing w:before="0" w:after="57"/>
              <w:jc w:val="both"/>
              <w:rPr>
                <w:rFonts w:cs="Arial"/>
                <w:sz w:val="14"/>
                <w:szCs w:val="14"/>
                <w:lang w:val="es-ES" w:bidi="ar-SA"/>
              </w:rPr>
            </w:pPr>
            <w:r>
              <w:rPr>
                <w:rFonts w:cs="Arial"/>
                <w:sz w:val="14"/>
                <w:szCs w:val="14"/>
                <w:lang w:val="es-ES" w:bidi="ar-SA"/>
              </w:rPr>
              <w:t>Se tratan categorías especiales de datos personales</w:t>
            </w:r>
          </w:p>
          <w:p>
            <w:pPr>
              <w:pStyle w:val="Normal"/>
              <w:bidi w:val="0"/>
              <w:spacing w:before="0" w:after="57"/>
              <w:jc w:val="both"/>
              <w:textAlignment w:val="baseline"/>
              <w:rPr>
                <w:lang w:val="es-ES" w:bidi="ar-SA"/>
              </w:rPr>
            </w:pPr>
            <w:r>
              <w:rPr>
                <w:rFonts w:cs="Arial"/>
                <w:sz w:val="14"/>
                <w:szCs w:val="14"/>
                <w:highlight w:val="white"/>
                <w:lang w:val="es-ES" w:bidi="ar-SA"/>
              </w:rPr>
              <w:t xml:space="preserve">Tiene derecho a acceder </w:t>
            </w:r>
            <w:r>
              <w:rPr>
                <w:rFonts w:cs="Arial"/>
                <w:sz w:val="14"/>
                <w:szCs w:val="14"/>
                <w:lang w:val="es-ES" w:bidi="ar-SA"/>
              </w:rPr>
              <w:t>a sus datos personales, así como a solicitar la rectificación de los datos inexactos o, en su caso, solicitar su supresión cuando, entre otros motivos, los datos ya no sean necesarios para los fines que fueron recogidos.</w:t>
            </w:r>
            <w:r>
              <w:rPr>
                <w:rFonts w:cs="Arial"/>
                <w:color w:val="888888"/>
                <w:sz w:val="14"/>
                <w:szCs w:val="14"/>
                <w:lang w:val="es-ES" w:bidi="ar-SA"/>
              </w:rPr>
              <w:t xml:space="preserve"> </w:t>
            </w:r>
            <w:r>
              <w:rPr>
                <w:rFonts w:cs="Arial"/>
                <w:sz w:val="14"/>
                <w:szCs w:val="14"/>
                <w:highlight w:val="white"/>
                <w:lang w:val="es-ES" w:bidi="ar-SA"/>
              </w:rPr>
              <w:t xml:space="preserve">En determinadas circunstancias, los interesados podrán solicitar la limitación del tratamiento de sus datos, en cuyo caso podremos conservar para el ejercicio o la defensa de reclamaciones. En determinadas circunstancias y por motivos relacionados con su situación particular, los interesados podrán oponerse al tratamiento de sus datos. </w:t>
            </w:r>
          </w:p>
        </w:tc>
      </w:tr>
      <w:tr>
        <w:trPr/>
        <w:tc>
          <w:tcPr>
            <w:tcW w:w="85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top w:w="55" w:type="dxa"/>
              <w:left w:w="39" w:type="dxa"/>
              <w:bottom w:w="55" w:type="dxa"/>
              <w:right w:w="55" w:type="dxa"/>
            </w:tcMar>
          </w:tcPr>
          <w:p>
            <w:pPr>
              <w:pStyle w:val="Contenidodelatabla"/>
              <w:jc w:val="both"/>
              <w:rPr>
                <w:sz w:val="16"/>
                <w:szCs w:val="17"/>
                <w:lang w:val="ca-ES-valencia" w:bidi="ar-SA"/>
              </w:rPr>
            </w:pPr>
            <w:r>
              <w:rPr>
                <w:sz w:val="16"/>
                <w:szCs w:val="17"/>
                <w:lang w:val="ca-ES-valencia" w:bidi="ar-SA"/>
              </w:rPr>
              <w:t>Responsable del tratamiento:</w:t>
            </w:r>
          </w:p>
          <w:p>
            <w:pPr>
              <w:pStyle w:val="Contenidodelatabla"/>
              <w:numPr>
                <w:ilvl w:val="0"/>
                <w:numId w:val="2"/>
              </w:numPr>
              <w:jc w:val="both"/>
              <w:rPr>
                <w:sz w:val="16"/>
                <w:szCs w:val="17"/>
                <w:lang w:val="ca-ES-valencia" w:bidi="ar-SA"/>
              </w:rPr>
            </w:pPr>
            <w:r>
              <w:rPr>
                <w:sz w:val="16"/>
                <w:szCs w:val="17"/>
                <w:lang w:val="ca-ES-valencia" w:bidi="ar-SA"/>
              </w:rPr>
              <w:t>Identidad: Ayuntamiento de Xeraco.</w:t>
            </w:r>
          </w:p>
          <w:p>
            <w:pPr>
              <w:pStyle w:val="Contenidodelatabla"/>
              <w:numPr>
                <w:ilvl w:val="0"/>
                <w:numId w:val="2"/>
              </w:numPr>
              <w:jc w:val="both"/>
              <w:rPr>
                <w:sz w:val="16"/>
                <w:szCs w:val="17"/>
                <w:lang w:val="ca-ES-valencia" w:bidi="ar-SA"/>
              </w:rPr>
            </w:pPr>
            <w:r>
              <w:rPr>
                <w:sz w:val="16"/>
                <w:szCs w:val="17"/>
                <w:lang w:val="ca-ES-valencia" w:bidi="ar-SA"/>
              </w:rPr>
              <w:t>CIF: P4614500I.</w:t>
            </w:r>
          </w:p>
          <w:p>
            <w:pPr>
              <w:pStyle w:val="Contenidodelatabla"/>
              <w:numPr>
                <w:ilvl w:val="0"/>
                <w:numId w:val="2"/>
              </w:numPr>
              <w:jc w:val="both"/>
              <w:rPr>
                <w:sz w:val="16"/>
                <w:szCs w:val="17"/>
                <w:lang w:val="ca-ES-valencia" w:bidi="ar-SA"/>
              </w:rPr>
            </w:pPr>
            <w:r>
              <w:rPr>
                <w:sz w:val="16"/>
                <w:szCs w:val="17"/>
                <w:lang w:val="ca-ES-valencia" w:bidi="ar-SA"/>
              </w:rPr>
              <w:t>Dirección postal: Plaza de la Iglesia, 3  - 46770 Xeraco (Valencia).</w:t>
            </w:r>
          </w:p>
          <w:p>
            <w:pPr>
              <w:pStyle w:val="Contenidodelatabla"/>
              <w:numPr>
                <w:ilvl w:val="0"/>
                <w:numId w:val="2"/>
              </w:numPr>
              <w:jc w:val="both"/>
              <w:rPr>
                <w:sz w:val="16"/>
                <w:szCs w:val="17"/>
                <w:lang w:val="ca-ES-valencia" w:bidi="ar-SA"/>
              </w:rPr>
            </w:pPr>
            <w:r>
              <w:rPr>
                <w:sz w:val="16"/>
                <w:szCs w:val="17"/>
                <w:lang w:val="ca-ES-valencia" w:bidi="ar-SA"/>
              </w:rPr>
              <w:t>Tel. 962 890 003    - FAX: 962 892 540  --  Correo-e: registre@xeraco.es</w:t>
            </w:r>
          </w:p>
        </w:tc>
      </w:tr>
    </w:tbl>
    <w:p>
      <w:pPr>
        <w:pStyle w:val="Normal"/>
        <w:bidi w:val="0"/>
        <w:jc w:val="both"/>
        <w:textAlignment w:val="baseline"/>
        <w:rPr>
          <w:rFonts w:cs="Arial"/>
          <w:b/>
          <w:b/>
          <w:color w:val="000000"/>
          <w:sz w:val="22"/>
          <w:szCs w:val="22"/>
          <w:u w:val="none"/>
          <w:lang w:val="ca-ES-valencia" w:bidi="ar-SA"/>
        </w:rPr>
      </w:pPr>
      <w:r>
        <w:rPr>
          <w:rFonts w:cs="Arial"/>
          <w:b/>
          <w:color w:val="000000"/>
          <w:sz w:val="22"/>
          <w:szCs w:val="22"/>
          <w:u w:val="none"/>
          <w:lang w:val="ca-ES-valencia" w:bidi="ar-SA"/>
        </w:rPr>
      </w:r>
    </w:p>
    <w:p>
      <w:pPr>
        <w:pStyle w:val="Normal"/>
        <w:bidi w:val="0"/>
        <w:jc w:val="both"/>
        <w:textAlignment w:val="baseline"/>
        <w:rPr>
          <w:rFonts w:cs="Arial"/>
          <w:b/>
          <w:b/>
          <w:color w:val="000000"/>
          <w:sz w:val="22"/>
          <w:szCs w:val="22"/>
          <w:u w:val="none"/>
          <w:lang w:val="ca-ES-valencia" w:bidi="ar-SA"/>
        </w:rPr>
      </w:pPr>
      <w:r>
        <w:rPr>
          <w:rFonts w:cs="Arial"/>
          <w:b/>
          <w:color w:val="000000"/>
          <w:sz w:val="22"/>
          <w:szCs w:val="22"/>
          <w:u w:val="none"/>
          <w:lang w:val="ca-ES-valencia" w:bidi="ar-SA"/>
        </w:rPr>
      </w:r>
    </w:p>
    <w:p>
      <w:pPr>
        <w:pStyle w:val="Normal"/>
        <w:widowControl/>
        <w:suppressAutoHyphens w:val="true"/>
        <w:overflowPunct w:val="true"/>
        <w:bidi w:val="0"/>
        <w:ind w:left="340" w:right="0" w:hanging="0"/>
        <w:jc w:val="both"/>
        <w:textAlignment w:val="baseline"/>
        <w:rPr>
          <w:rFonts w:cs="Arial"/>
          <w:b w:val="false"/>
          <w:b w:val="false"/>
          <w:bCs w:val="false"/>
          <w:color w:val="000000"/>
          <w:sz w:val="22"/>
          <w:szCs w:val="22"/>
          <w:u w:val="none"/>
          <w:lang w:val="ca-ES-valencia" w:bidi="ar-SA"/>
        </w:rPr>
      </w:pPr>
      <w:r>
        <w:rPr>
          <w:rFonts w:cs="Arial"/>
          <w:b w:val="false"/>
          <w:bCs w:val="false"/>
          <w:color w:val="000000"/>
          <w:sz w:val="22"/>
          <w:szCs w:val="22"/>
          <w:u w:val="none"/>
          <w:lang w:val="ca-ES-valencia" w:bidi="ar-SA"/>
        </w:rPr>
        <w:t>Xeraco, a  ______ de _____________________ de 2024</w:t>
      </w:r>
    </w:p>
    <w:p>
      <w:pPr>
        <w:pStyle w:val="Normal"/>
        <w:widowControl/>
        <w:suppressAutoHyphens w:val="true"/>
        <w:overflowPunct w:val="true"/>
        <w:bidi w:val="0"/>
        <w:ind w:left="340" w:right="0" w:hanging="0"/>
        <w:jc w:val="both"/>
        <w:textAlignment w:val="baseline"/>
        <w:rPr>
          <w:rFonts w:cs="Arial"/>
          <w:b w:val="false"/>
          <w:b w:val="false"/>
          <w:bCs w:val="false"/>
          <w:color w:val="000000"/>
          <w:sz w:val="22"/>
          <w:szCs w:val="22"/>
          <w:u w:val="none"/>
          <w:lang w:val="ca-ES-valencia" w:bidi="ar-SA"/>
        </w:rPr>
      </w:pPr>
      <w:r>
        <w:rPr>
          <w:rFonts w:cs="Arial"/>
          <w:b w:val="false"/>
          <w:bCs w:val="false"/>
          <w:color w:val="000000"/>
          <w:sz w:val="22"/>
          <w:szCs w:val="22"/>
          <w:u w:val="none"/>
          <w:lang w:val="ca-ES-valencia" w:bidi="ar-SA"/>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overflowPunct w:val="true"/>
        <w:bidi w:val="0"/>
        <w:spacing w:lineRule="auto" w:line="252" w:before="181" w:after="0"/>
        <w:ind w:left="340" w:right="0" w:hanging="0"/>
        <w:jc w:val="both"/>
        <w:textAlignment w:val="baseline"/>
        <w:rPr/>
      </w:pPr>
      <w:r>
        <w:rPr>
          <w:rFonts w:eastAsia="Times New Roman" w:cs="Arial"/>
          <w:b/>
          <w:bCs/>
          <w:i w:val="false"/>
          <w:iCs/>
          <w:caps w:val="false"/>
          <w:smallCaps w:val="false"/>
          <w:color w:val="00000A"/>
          <w:spacing w:val="0"/>
          <w:sz w:val="22"/>
          <w:szCs w:val="22"/>
          <w:u w:val="single"/>
          <w:lang w:val="ca-ES-valencia" w:eastAsia="zh-CN" w:bidi="ar-SA"/>
        </w:rPr>
        <w:t>Firmado</w:t>
      </w:r>
    </w:p>
    <w:sectPr>
      <w:headerReference w:type="default" r:id="rId5"/>
      <w:footerReference w:type="default" r:id="rId6"/>
      <w:type w:val="nextPage"/>
      <w:pgSz w:w="11906" w:h="16838"/>
      <w:pgMar w:left="1701" w:right="1418" w:header="1077" w:top="1418"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Verdana">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left="0" w:right="360" w:hanging="0"/>
      <w:rPr/>
    </w:pPr>
    <w:r>
      <w:rPr/>
      <mc:AlternateContent>
        <mc:Choice Requires="wps">
          <w:drawing>
            <wp:anchor behindDoc="1" distT="0" distB="0" distL="0" distR="0" simplePos="0" locked="0" layoutInCell="1" allowOverlap="1" relativeHeight="19">
              <wp:simplePos x="0" y="0"/>
              <wp:positionH relativeFrom="page">
                <wp:posOffset>6581775</wp:posOffset>
              </wp:positionH>
              <wp:positionV relativeFrom="paragraph">
                <wp:posOffset>635</wp:posOffset>
              </wp:positionV>
              <wp:extent cx="80010" cy="162560"/>
              <wp:effectExtent l="0" t="0" r="0" b="0"/>
              <wp:wrapSquare wrapText="largest"/>
              <wp:docPr id="2" name="Marco1"/>
              <a:graphic xmlns:a="http://schemas.openxmlformats.org/drawingml/2006/main">
                <a:graphicData uri="http://schemas.microsoft.com/office/word/2010/wordprocessingShape">
                  <wps:wsp>
                    <wps:cNvSpPr/>
                    <wps:spPr>
                      <a:xfrm>
                        <a:off x="0" y="0"/>
                        <a:ext cx="79200" cy="162000"/>
                      </a:xfrm>
                      <a:prstGeom prst="rect">
                        <a:avLst/>
                      </a:prstGeom>
                      <a:noFill/>
                      <a:ln>
                        <a:noFill/>
                      </a:ln>
                    </wps:spPr>
                    <wps:style>
                      <a:lnRef idx="0"/>
                      <a:fillRef idx="0"/>
                      <a:effectRef idx="0"/>
                      <a:fontRef idx="minor"/>
                    </wps:style>
                    <wps:txbx>
                      <w:txbxContent>
                        <w:p>
                          <w:pPr>
                            <w:pStyle w:val="Piedepgina"/>
                            <w:rPr>
                              <w:color w:val="000000"/>
                            </w:rPr>
                          </w:pPr>
                          <w:r>
                            <w:rPr>
                              <w:color w:val="000000"/>
                            </w:rPr>
                          </w:r>
                        </w:p>
                      </w:txbxContent>
                    </wps:txbx>
                    <wps:bodyPr lIns="720" rIns="720" tIns="720" bIns="720">
                      <a:noAutofit/>
                    </wps:bodyPr>
                  </wps:wsp>
                </a:graphicData>
              </a:graphic>
            </wp:anchor>
          </w:drawing>
        </mc:Choice>
        <mc:Fallback>
          <w:pict>
            <v:rect id="shape_0" ID="Marco1" stroked="f" style="position:absolute;margin-left:518.25pt;margin-top:0.05pt;width:6.2pt;height:12.7pt;mso-position-horizontal-relative:page">
              <w10:wrap type="none"/>
              <v:fill o:detectmouseclick="t" on="false"/>
              <v:stroke color="#3465a4" joinstyle="round" endcap="flat"/>
              <v:textbox>
                <w:txbxContent>
                  <w:p>
                    <w:pPr>
                      <w:pStyle w:val="Piedepgina"/>
                      <w:rPr>
                        <w:color w:val="000000"/>
                      </w:rPr>
                    </w:pPr>
                    <w:r>
                      <w:rPr>
                        <w:color w:val="000000"/>
                      </w:rPr>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left="0" w:right="360" w:hanging="0"/>
      <w:rPr/>
    </w:pPr>
    <w:r>
      <w:rPr/>
      <mc:AlternateContent>
        <mc:Choice Requires="wps">
          <w:drawing>
            <wp:anchor behindDoc="1" distT="0" distB="0" distL="0" distR="0" simplePos="0" locked="0" layoutInCell="1" allowOverlap="1" relativeHeight="17">
              <wp:simplePos x="0" y="0"/>
              <wp:positionH relativeFrom="page">
                <wp:posOffset>6581775</wp:posOffset>
              </wp:positionH>
              <wp:positionV relativeFrom="paragraph">
                <wp:posOffset>635</wp:posOffset>
              </wp:positionV>
              <wp:extent cx="80010" cy="162560"/>
              <wp:effectExtent l="0" t="0" r="0" b="0"/>
              <wp:wrapSquare wrapText="largest"/>
              <wp:docPr id="14" name="Marco1"/>
              <a:graphic xmlns:a="http://schemas.openxmlformats.org/drawingml/2006/main">
                <a:graphicData uri="http://schemas.microsoft.com/office/word/2010/wordprocessingShape">
                  <wps:wsp>
                    <wps:cNvSpPr/>
                    <wps:spPr>
                      <a:xfrm>
                        <a:off x="0" y="0"/>
                        <a:ext cx="79200" cy="162000"/>
                      </a:xfrm>
                      <a:prstGeom prst="rect">
                        <a:avLst/>
                      </a:prstGeom>
                      <a:noFill/>
                      <a:ln>
                        <a:noFill/>
                      </a:ln>
                    </wps:spPr>
                    <wps:style>
                      <a:lnRef idx="0"/>
                      <a:fillRef idx="0"/>
                      <a:effectRef idx="0"/>
                      <a:fontRef idx="minor"/>
                    </wps:style>
                    <wps:txbx>
                      <w:txbxContent>
                        <w:p>
                          <w:pPr>
                            <w:pStyle w:val="Piedepgina"/>
                            <w:rPr>
                              <w:color w:val="000000"/>
                            </w:rPr>
                          </w:pPr>
                          <w:r>
                            <w:rPr>
                              <w:color w:val="000000"/>
                            </w:rPr>
                          </w:r>
                        </w:p>
                      </w:txbxContent>
                    </wps:txbx>
                    <wps:bodyPr lIns="720" rIns="720" tIns="720" bIns="720">
                      <a:noAutofit/>
                    </wps:bodyPr>
                  </wps:wsp>
                </a:graphicData>
              </a:graphic>
            </wp:anchor>
          </w:drawing>
        </mc:Choice>
        <mc:Fallback>
          <w:pict>
            <v:rect id="shape_0" ID="Marco1" stroked="f" style="position:absolute;margin-left:518.25pt;margin-top:0.05pt;width:6.2pt;height:12.7pt;mso-position-horizontal-relative:page">
              <w10:wrap type="none"/>
              <v:fill o:detectmouseclick="t" on="false"/>
              <v:stroke color="#3465a4" joinstyle="round" endcap="flat"/>
              <v:textbox>
                <w:txbxContent>
                  <w:p>
                    <w:pPr>
                      <w:pStyle w:val="Piedepgina"/>
                      <w:rPr>
                        <w:color w:val="000000"/>
                      </w:rPr>
                    </w:pPr>
                    <w:r>
                      <w:rPr>
                        <w:color w:val="000000"/>
                      </w:rPr>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b/>
        <w:b/>
        <w:spacing w:val="10"/>
        <w:sz w:val="8"/>
        <w:szCs w:val="8"/>
        <w:lang w:val="es-ES" w:eastAsia="es-ES"/>
      </w:rPr>
    </w:pPr>
    <w:r>
      <w:rPr>
        <w:b/>
        <w:spacing w:val="10"/>
        <w:sz w:val="8"/>
        <w:szCs w:val="8"/>
        <w:lang w:val="es-ES" w:eastAsia="es-ES"/>
      </w:rPr>
      <w:drawing>
        <wp:anchor behindDoc="1" distT="0" distB="0" distL="114935" distR="114935" simplePos="0" locked="0" layoutInCell="1" allowOverlap="1" relativeHeight="37">
          <wp:simplePos x="0" y="0"/>
          <wp:positionH relativeFrom="column">
            <wp:posOffset>0</wp:posOffset>
          </wp:positionH>
          <wp:positionV relativeFrom="paragraph">
            <wp:posOffset>-12065</wp:posOffset>
          </wp:positionV>
          <wp:extent cx="540385" cy="684530"/>
          <wp:effectExtent l="0" t="0" r="0" b="0"/>
          <wp:wrapNone/>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540385" cy="684530"/>
                  </a:xfrm>
                  <a:prstGeom prst="rect">
                    <a:avLst/>
                  </a:prstGeom>
                </pic:spPr>
              </pic:pic>
            </a:graphicData>
          </a:graphic>
        </wp:anchor>
      </w:drawing>
    </w:r>
  </w:p>
  <w:p>
    <w:pPr>
      <w:pStyle w:val="Cabecera"/>
      <w:ind w:left="1080" w:right="0" w:hanging="0"/>
      <w:rPr>
        <w:b/>
        <w:b/>
        <w:spacing w:val="10"/>
        <w:sz w:val="18"/>
        <w:szCs w:val="18"/>
      </w:rPr>
    </w:pPr>
    <w:r>
      <w:rPr>
        <w:b/>
        <w:spacing w:val="10"/>
        <w:sz w:val="18"/>
        <w:szCs w:val="18"/>
      </w:rPr>
      <w:t>AJUNTAMENT DE XERACO</w:t>
    </w:r>
  </w:p>
  <w:p>
    <w:pPr>
      <w:pStyle w:val="Cabecera"/>
      <w:ind w:left="1080" w:right="0" w:hanging="0"/>
      <w:rPr>
        <w:color w:val="0000FF"/>
        <w:sz w:val="14"/>
        <w:szCs w:val="14"/>
      </w:rPr>
    </w:pPr>
    <w:r>
      <w:rPr>
        <w:color w:val="0000FF"/>
        <w:sz w:val="14"/>
        <w:szCs w:val="14"/>
      </w:rPr>
    </w:r>
  </w:p>
  <w:p>
    <w:pPr>
      <w:pStyle w:val="Cabecera"/>
      <w:ind w:left="1080" w:right="0" w:hanging="0"/>
      <w:rPr>
        <w:sz w:val="14"/>
        <w:szCs w:val="14"/>
      </w:rPr>
    </w:pPr>
    <w:r>
      <w:rPr>
        <w:sz w:val="14"/>
        <w:szCs w:val="14"/>
      </w:rPr>
      <w:t>Plaça de l´Església, 3 · 46770</w:t>
    </w:r>
  </w:p>
  <w:p>
    <w:pPr>
      <w:pStyle w:val="Cabecera"/>
      <w:ind w:left="1080" w:right="0" w:hanging="0"/>
      <w:rPr/>
    </w:pPr>
    <w:r>
      <w:rPr>
        <w:sz w:val="14"/>
        <w:szCs w:val="14"/>
      </w:rPr>
      <w:t xml:space="preserve">Tel.  </w:t>
    </w:r>
    <w:r>
      <w:rPr>
        <w:sz w:val="14"/>
        <w:szCs w:val="14"/>
        <w:lang w:val="en-GB"/>
      </w:rPr>
      <w:t>96 289 00 03  ·  Fax. 96 289 25 40</w:t>
    </w:r>
  </w:p>
  <w:p>
    <w:pPr>
      <w:pStyle w:val="Cabecera"/>
      <w:ind w:left="1080" w:right="0" w:hanging="0"/>
      <w:rPr/>
    </w:pPr>
    <w:r>
      <w:rPr>
        <w:sz w:val="14"/>
        <w:szCs w:val="14"/>
        <w:lang w:val="en-GB"/>
      </w:rPr>
      <w:t xml:space="preserve">P-4614500-I   ·  </w:t>
    </w:r>
    <w:r>
      <w:rPr>
        <w:color w:val="3366FF"/>
        <w:sz w:val="14"/>
        <w:szCs w:val="14"/>
        <w:u w:val="single"/>
        <w:lang w:val="en-GB"/>
      </w:rPr>
      <w:t>www.xeraco.es</w:t>
    </w:r>
    <w:r>
      <w:rPr>
        <w:sz w:val="14"/>
        <w:szCs w:val="14"/>
        <w:lang w:val="en-GB"/>
      </w:rPr>
      <w:t xml:space="preserve">                                                                      </w:t>
    </w:r>
    <w:r>
      <w:rPr>
        <w:b/>
        <w:sz w:val="14"/>
        <w:szCs w:val="14"/>
        <w:lang w:val="en-GB"/>
      </w:rPr>
      <w:t xml:space="preserve">                                                          </w:t>
    </w:r>
    <w:r>
      <w:rPr>
        <w:sz w:val="16"/>
        <w:szCs w:val="16"/>
        <w:lang w:val="en-GB"/>
      </w:rPr>
      <w:t xml:space="preserve">                </w:t>
    </w:r>
  </w:p>
  <w:p>
    <w:pPr>
      <w:pStyle w:val="Cabecera"/>
      <w:ind w:left="1080" w:right="0" w:hanging="0"/>
      <w:rPr>
        <w:b/>
        <w:b/>
        <w:sz w:val="20"/>
        <w:szCs w:val="20"/>
        <w:lang w:val="en-GB"/>
      </w:rPr>
    </w:pPr>
    <w:r>
      <w:rPr>
        <w:b/>
        <w:sz w:val="20"/>
        <w:szCs w:val="20"/>
        <w:lang w:val="en-GB"/>
      </w:rPr>
    </w:r>
  </w:p>
  <w:p>
    <w:pPr>
      <w:pStyle w:val="Cabecera"/>
      <w:rPr>
        <w:b/>
        <w:b/>
        <w:sz w:val="20"/>
        <w:szCs w:val="22"/>
        <w:lang w:val="en-GB"/>
      </w:rPr>
    </w:pPr>
    <w:r>
      <w:rPr>
        <w:b/>
        <w:sz w:val="20"/>
        <w:szCs w:val="22"/>
        <w:lang w:val="en-GB"/>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b/>
        <w:b/>
        <w:spacing w:val="10"/>
        <w:sz w:val="8"/>
        <w:szCs w:val="8"/>
        <w:lang w:val="es-ES" w:eastAsia="es-ES"/>
      </w:rPr>
    </w:pPr>
    <w:r>
      <w:rPr>
        <w:b/>
        <w:spacing w:val="10"/>
        <w:sz w:val="8"/>
        <w:szCs w:val="8"/>
        <w:lang w:val="es-ES" w:eastAsia="es-ES"/>
      </w:rPr>
      <w:drawing>
        <wp:anchor behindDoc="1" distT="0" distB="0" distL="114935" distR="114935" simplePos="0" locked="0" layoutInCell="1" allowOverlap="1" relativeHeight="35">
          <wp:simplePos x="0" y="0"/>
          <wp:positionH relativeFrom="column">
            <wp:posOffset>0</wp:posOffset>
          </wp:positionH>
          <wp:positionV relativeFrom="paragraph">
            <wp:posOffset>-12065</wp:posOffset>
          </wp:positionV>
          <wp:extent cx="540385" cy="684530"/>
          <wp:effectExtent l="0" t="0" r="0" b="0"/>
          <wp:wrapNone/>
          <wp:docPr id="13"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2" descr=""/>
                  <pic:cNvPicPr>
                    <a:picLocks noChangeAspect="1" noChangeArrowheads="1"/>
                  </pic:cNvPicPr>
                </pic:nvPicPr>
                <pic:blipFill>
                  <a:blip r:embed="rId1"/>
                  <a:stretch>
                    <a:fillRect/>
                  </a:stretch>
                </pic:blipFill>
                <pic:spPr bwMode="auto">
                  <a:xfrm>
                    <a:off x="0" y="0"/>
                    <a:ext cx="540385" cy="684530"/>
                  </a:xfrm>
                  <a:prstGeom prst="rect">
                    <a:avLst/>
                  </a:prstGeom>
                </pic:spPr>
              </pic:pic>
            </a:graphicData>
          </a:graphic>
        </wp:anchor>
      </w:drawing>
    </w:r>
  </w:p>
  <w:p>
    <w:pPr>
      <w:pStyle w:val="Cabecera"/>
      <w:ind w:left="1080" w:right="0" w:hanging="0"/>
      <w:rPr>
        <w:b/>
        <w:b/>
        <w:spacing w:val="10"/>
        <w:sz w:val="18"/>
        <w:szCs w:val="18"/>
      </w:rPr>
    </w:pPr>
    <w:r>
      <w:rPr>
        <w:b/>
        <w:spacing w:val="10"/>
        <w:sz w:val="18"/>
        <w:szCs w:val="18"/>
      </w:rPr>
      <w:t>AJUNTAMENT DE XERACO</w:t>
    </w:r>
  </w:p>
  <w:p>
    <w:pPr>
      <w:pStyle w:val="Cabecera"/>
      <w:ind w:left="1080" w:right="0" w:hanging="0"/>
      <w:rPr>
        <w:color w:val="0000FF"/>
        <w:sz w:val="14"/>
        <w:szCs w:val="14"/>
      </w:rPr>
    </w:pPr>
    <w:r>
      <w:rPr>
        <w:color w:val="0000FF"/>
        <w:sz w:val="14"/>
        <w:szCs w:val="14"/>
      </w:rPr>
    </w:r>
  </w:p>
  <w:p>
    <w:pPr>
      <w:pStyle w:val="Cabecera"/>
      <w:ind w:left="1080" w:right="0" w:hanging="0"/>
      <w:rPr>
        <w:sz w:val="14"/>
        <w:szCs w:val="14"/>
      </w:rPr>
    </w:pPr>
    <w:r>
      <w:rPr>
        <w:sz w:val="14"/>
        <w:szCs w:val="14"/>
      </w:rPr>
      <w:t>Plaça de l´Església, 3 · 46770</w:t>
    </w:r>
  </w:p>
  <w:p>
    <w:pPr>
      <w:pStyle w:val="Cabecera"/>
      <w:ind w:left="1080" w:right="0" w:hanging="0"/>
      <w:rPr/>
    </w:pPr>
    <w:r>
      <w:rPr>
        <w:sz w:val="14"/>
        <w:szCs w:val="14"/>
      </w:rPr>
      <w:t xml:space="preserve">Tel.  </w:t>
    </w:r>
    <w:r>
      <w:rPr>
        <w:sz w:val="14"/>
        <w:szCs w:val="14"/>
        <w:lang w:val="en-GB"/>
      </w:rPr>
      <w:t>96 289 00 03  ·  Fax. 96 289 25 40</w:t>
    </w:r>
  </w:p>
  <w:p>
    <w:pPr>
      <w:pStyle w:val="Cabecera"/>
      <w:ind w:left="1080" w:right="0" w:hanging="0"/>
      <w:rPr/>
    </w:pPr>
    <w:r>
      <w:rPr>
        <w:sz w:val="14"/>
        <w:szCs w:val="14"/>
        <w:lang w:val="en-GB"/>
      </w:rPr>
      <w:t xml:space="preserve">P-4614500-I   ·  </w:t>
    </w:r>
    <w:r>
      <w:rPr>
        <w:color w:val="3366FF"/>
        <w:sz w:val="14"/>
        <w:szCs w:val="14"/>
        <w:u w:val="single"/>
        <w:lang w:val="en-GB"/>
      </w:rPr>
      <w:t>www.xeraco.es</w:t>
    </w:r>
    <w:r>
      <w:rPr>
        <w:sz w:val="14"/>
        <w:szCs w:val="14"/>
        <w:lang w:val="en-GB"/>
      </w:rPr>
      <w:t xml:space="preserve">                                                                      </w:t>
    </w:r>
    <w:r>
      <w:rPr>
        <w:b/>
        <w:sz w:val="14"/>
        <w:szCs w:val="14"/>
        <w:lang w:val="en-GB"/>
      </w:rPr>
      <w:t xml:space="preserve">                                                          </w:t>
    </w:r>
    <w:r>
      <w:rPr>
        <w:sz w:val="16"/>
        <w:szCs w:val="16"/>
        <w:lang w:val="en-GB"/>
      </w:rPr>
      <w:t xml:space="preserve">                </w:t>
    </w:r>
  </w:p>
  <w:p>
    <w:pPr>
      <w:pStyle w:val="Cabecera"/>
      <w:ind w:left="1080" w:right="0" w:hanging="0"/>
      <w:rPr>
        <w:b/>
        <w:b/>
        <w:sz w:val="20"/>
        <w:szCs w:val="20"/>
        <w:lang w:val="en-GB"/>
      </w:rPr>
    </w:pPr>
    <w:r>
      <w:rPr>
        <w:b/>
        <w:sz w:val="20"/>
        <w:szCs w:val="20"/>
        <w:lang w:val="en-GB"/>
      </w:rPr>
    </w:r>
  </w:p>
  <w:p>
    <w:pPr>
      <w:pStyle w:val="Cabecera"/>
      <w:rPr>
        <w:b/>
        <w:b/>
        <w:sz w:val="20"/>
        <w:szCs w:val="22"/>
        <w:lang w:val="en-GB"/>
      </w:rPr>
    </w:pPr>
    <w:r>
      <w:rPr>
        <w:b/>
        <w:sz w:val="20"/>
        <w:szCs w:val="22"/>
        <w:lang w:val="en-GB"/>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Ttulo5"/>
      <w:numFmt w:val="none"/>
      <w:suff w:val="nothing"/>
      <w:lvlText w:val=""/>
      <w:lvlJc w:val="left"/>
      <w:pPr>
        <w:ind w:left="1008" w:hanging="1008"/>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6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s-ES" w:eastAsia="zh-CN" w:bidi="hi-IN"/>
      </w:rPr>
    </w:rPrDefault>
    <w:pPrDefault>
      <w:pPr/>
    </w:pPrDefault>
  </w:docDefaults>
  <w:style w:type="paragraph" w:styleId="Normal">
    <w:name w:val="Normal"/>
    <w:qFormat/>
    <w:pPr>
      <w:widowControl/>
      <w:suppressAutoHyphens w:val="true"/>
      <w:overflowPunct w:val="false"/>
      <w:bidi w:val="0"/>
      <w:jc w:val="left"/>
    </w:pPr>
    <w:rPr>
      <w:rFonts w:ascii="Arial" w:hAnsi="Arial" w:eastAsia="Times New Roman" w:cs="Arial"/>
      <w:color w:val="00000A"/>
      <w:kern w:val="0"/>
      <w:sz w:val="22"/>
      <w:szCs w:val="24"/>
      <w:lang w:val="ca-ES" w:eastAsia="zh-CN" w:bidi="ar-SA"/>
    </w:rPr>
  </w:style>
  <w:style w:type="paragraph" w:styleId="Ttulo5">
    <w:name w:val="Heading 5"/>
    <w:basedOn w:val="Normal"/>
    <w:next w:val="Normal"/>
    <w:qFormat/>
    <w:pPr>
      <w:keepNext w:val="true"/>
      <w:numPr>
        <w:ilvl w:val="4"/>
        <w:numId w:val="1"/>
      </w:numPr>
      <w:spacing w:lineRule="auto" w:line="360"/>
      <w:jc w:val="center"/>
      <w:outlineLvl w:val="4"/>
    </w:pPr>
    <w:rPr>
      <w:rFonts w:ascii="Verdana" w:hAnsi="Verdana" w:cs="Times New Roman"/>
      <w:b/>
      <w:bCs/>
      <w:color w:val="333399"/>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Fuentedeprrafopredeter">
    <w:name w:val="Fuente de párrafo predeter."/>
    <w:qFormat/>
    <w:rPr/>
  </w:style>
  <w:style w:type="character" w:styleId="WW8Num3z0">
    <w:name w:val="WW8Num3z0"/>
    <w:qFormat/>
    <w:rPr>
      <w:rFonts w:ascii="Wingdings" w:hAnsi="Wingdings" w:cs="Wingdings"/>
    </w:rPr>
  </w:style>
  <w:style w:type="character" w:styleId="WW8Num3z1">
    <w:name w:val="WW8Num3z1"/>
    <w:qFormat/>
    <w:rPr>
      <w:rFonts w:ascii="Courier New" w:hAnsi="Courier New" w:cs="Courier New"/>
    </w:rPr>
  </w:style>
  <w:style w:type="character" w:styleId="WW8Num3z3">
    <w:name w:val="WW8Num3z3"/>
    <w:qFormat/>
    <w:rPr>
      <w:rFonts w:ascii="Symbol" w:hAnsi="Symbol" w:cs="Symbol"/>
    </w:rPr>
  </w:style>
  <w:style w:type="character" w:styleId="WW8Num4z0">
    <w:name w:val="WW8Num4z0"/>
    <w:qFormat/>
    <w:rPr>
      <w:rFonts w:ascii="Arial" w:hAnsi="Arial" w:eastAsia="Times New Roman" w:cs="Aria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Fuentedeprrafopredeter1">
    <w:name w:val="Fuente de párrafo predeter.1"/>
    <w:qFormat/>
    <w:rPr/>
  </w:style>
  <w:style w:type="character" w:styleId="EnlacedeInternet">
    <w:name w:val="Enlace de Internet"/>
    <w:basedOn w:val="Fuentedeprrafopredeter1"/>
    <w:rPr>
      <w:color w:val="0000FF"/>
      <w:u w:val="single"/>
    </w:rPr>
  </w:style>
  <w:style w:type="character" w:styleId="Nmerodepgina">
    <w:name w:val="Número de página"/>
    <w:basedOn w:val="Fuentedeprrafopredeter1"/>
    <w:rPr/>
  </w:style>
  <w:style w:type="character" w:styleId="Destacado">
    <w:name w:val="Destacado"/>
    <w:qFormat/>
    <w:rPr>
      <w:i/>
      <w:iCs/>
    </w:rPr>
  </w:style>
  <w:style w:type="character" w:styleId="EnlacedeInternetvisitado">
    <w:name w:val="Enlace de Internet visitado"/>
    <w:rPr>
      <w:color w:val="800080"/>
      <w:u w:val="single"/>
    </w:rPr>
  </w:style>
  <w:style w:type="character" w:styleId="Vietas">
    <w:name w:val="Viñetas"/>
    <w:qFormat/>
    <w:rPr>
      <w:rFonts w:ascii="OpenSymbol" w:hAnsi="OpenSymbol" w:eastAsia="OpenSymbol" w:cs="OpenSymbol"/>
    </w:rPr>
  </w:style>
  <w:style w:type="character" w:styleId="ListLabel1">
    <w:name w:val="ListLabel 1"/>
    <w:qFormat/>
    <w:rPr>
      <w:rFonts w:ascii="Arial" w:hAnsi="Arial" w:cs="Wingdings"/>
      <w:sz w:val="16"/>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Wingdings"/>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Wingdings"/>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Arial"/>
    </w:rPr>
  </w:style>
  <w:style w:type="character" w:styleId="ListLabel11">
    <w:name w:val="ListLabel 11"/>
    <w:qFormat/>
    <w:rPr>
      <w:rFonts w:cs="Arial"/>
    </w:rPr>
  </w:style>
  <w:style w:type="character" w:styleId="ListLabel12">
    <w:name w:val="ListLabel 12"/>
    <w:qFormat/>
    <w:rPr>
      <w:rFonts w:cs="Arial"/>
    </w:rPr>
  </w:style>
  <w:style w:type="character" w:styleId="ListLabel13">
    <w:name w:val="ListLabel 13"/>
    <w:qFormat/>
    <w:rPr>
      <w:rFonts w:cs="Arial"/>
    </w:rPr>
  </w:style>
  <w:style w:type="character" w:styleId="ListLabel14">
    <w:name w:val="ListLabel 14"/>
    <w:qFormat/>
    <w:rPr>
      <w:rFonts w:cs="Arial"/>
    </w:rPr>
  </w:style>
  <w:style w:type="character" w:styleId="ListLabel15">
    <w:name w:val="ListLabel 15"/>
    <w:qFormat/>
    <w:rPr>
      <w:rFonts w:cs="Arial"/>
    </w:rPr>
  </w:style>
  <w:style w:type="character" w:styleId="ListLabel16">
    <w:name w:val="ListLabel 16"/>
    <w:qFormat/>
    <w:rPr>
      <w:rFonts w:cs="Arial"/>
    </w:rPr>
  </w:style>
  <w:style w:type="character" w:styleId="ListLabel17">
    <w:name w:val="ListLabel 17"/>
    <w:qFormat/>
    <w:rPr>
      <w:rFonts w:cs="Arial"/>
    </w:rPr>
  </w:style>
  <w:style w:type="character" w:styleId="ListLabel18">
    <w:name w:val="ListLabel 18"/>
    <w:qFormat/>
    <w:rPr>
      <w:rFonts w:cs="Arial"/>
    </w:rPr>
  </w:style>
  <w:style w:type="character" w:styleId="ListLabel19">
    <w:name w:val="ListLabel 19"/>
    <w:qFormat/>
    <w:rPr>
      <w:rFonts w:ascii="Arial" w:hAnsi="Arial" w:cs="Wingdings"/>
      <w:b w:val="false"/>
      <w:sz w:val="22"/>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Arial" w:hAnsi="Arial" w:cs="OpenSymbol"/>
      <w:b w:val="false"/>
      <w:sz w:val="22"/>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ascii="Arial" w:hAnsi="Arial" w:cs="Wingdings"/>
      <w:b w:val="false"/>
      <w:sz w:val="22"/>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ascii="Arial" w:hAnsi="Arial" w:cs="OpenSymbol"/>
      <w:b w:val="false"/>
      <w:sz w:val="22"/>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ascii="Arial" w:hAnsi="Arial" w:cs="Wingdings"/>
      <w:b w:val="false"/>
      <w:sz w:val="22"/>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ascii="Arial" w:hAnsi="Arial" w:cs="OpenSymbol"/>
      <w:b w:val="false"/>
      <w:sz w:val="22"/>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ascii="Arial" w:hAnsi="Arial" w:cs="Wingdings"/>
      <w:sz w:val="22"/>
    </w:rPr>
  </w:style>
  <w:style w:type="character" w:styleId="ListLabel74">
    <w:name w:val="ListLabel 74"/>
    <w:qFormat/>
    <w:rPr>
      <w:rFonts w:ascii="Arial" w:hAnsi="Arial" w:cs="Wingdings"/>
      <w:b w:val="false"/>
      <w:sz w:val="22"/>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szCs w:val="22"/>
      <w:lang w:val="es-ES" w:bidi="ar-SA"/>
    </w:rPr>
  </w:style>
  <w:style w:type="character" w:styleId="ListLabel84">
    <w:name w:val="ListLabel 84"/>
    <w:qFormat/>
    <w:rPr>
      <w:color w:val="0000FF"/>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Encabezado">
    <w:name w:val="Encabezado"/>
    <w:basedOn w:val="Normal"/>
    <w:qFormat/>
    <w:pPr>
      <w:keepNext w:val="true"/>
      <w:spacing w:before="240" w:after="120"/>
    </w:pPr>
    <w:rPr>
      <w:rFonts w:ascii="Liberation Sans;Arial" w:hAnsi="Liberation Sans;Arial" w:eastAsia="Microsoft YaHei" w:cs="Mangal"/>
      <w:sz w:val="28"/>
      <w:szCs w:val="28"/>
    </w:rPr>
  </w:style>
  <w:style w:type="paragraph" w:styleId="Pie">
    <w:name w:val="Pie"/>
    <w:basedOn w:val="Normal"/>
    <w:qFormat/>
    <w:pPr>
      <w:suppressLineNumbers/>
      <w:spacing w:before="120" w:after="120"/>
    </w:pPr>
    <w:rPr>
      <w:rFonts w:cs="Mangal"/>
      <w:i/>
      <w:iCs/>
      <w:sz w:val="24"/>
      <w:szCs w:val="24"/>
    </w:rPr>
  </w:style>
  <w:style w:type="paragraph" w:styleId="Encabezado1">
    <w:name w:val="Encabezado1"/>
    <w:basedOn w:val="Normal"/>
    <w:qFormat/>
    <w:pPr>
      <w:keepNext w:val="true"/>
      <w:spacing w:before="240" w:after="120"/>
    </w:pPr>
    <w:rPr>
      <w:rFonts w:ascii="Liberation Sans;Arial" w:hAnsi="Liberation Sans;Arial" w:eastAsia="Microsoft YaHei" w:cs="Mangal"/>
      <w:sz w:val="28"/>
      <w:szCs w:val="28"/>
    </w:rPr>
  </w:style>
  <w:style w:type="paragraph" w:styleId="Epgrafe">
    <w:name w:val="Epígrafe"/>
    <w:basedOn w:val="Normal"/>
    <w:qFormat/>
    <w:pPr>
      <w:suppressLineNumbers/>
      <w:spacing w:before="120" w:after="120"/>
    </w:pPr>
    <w:rPr>
      <w:rFonts w:cs="Mangal"/>
      <w:i/>
      <w:iCs/>
      <w:sz w:val="24"/>
      <w:szCs w:val="24"/>
    </w:rPr>
  </w:style>
  <w:style w:type="paragraph" w:styleId="Cabecera">
    <w:name w:val="Header"/>
    <w:basedOn w:val="Normal"/>
    <w:pPr>
      <w:tabs>
        <w:tab w:val="center" w:pos="4252" w:leader="none"/>
        <w:tab w:val="right" w:pos="8504" w:leader="none"/>
      </w:tabs>
    </w:pPr>
    <w:rPr/>
  </w:style>
  <w:style w:type="paragraph" w:styleId="Piedepgina">
    <w:name w:val="Footer"/>
    <w:basedOn w:val="Normal"/>
    <w:pPr>
      <w:tabs>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Textoindependiente21">
    <w:name w:val="Texto independiente 21"/>
    <w:basedOn w:val="Normal"/>
    <w:qFormat/>
    <w:pPr>
      <w:widowControl w:val="false"/>
      <w:tabs>
        <w:tab w:val="left" w:pos="-1418" w:leader="none"/>
        <w:tab w:val="left" w:pos="-993" w:leader="none"/>
        <w:tab w:val="left" w:pos="0" w:leader="none"/>
        <w:tab w:val="left" w:pos="720" w:leader="none"/>
      </w:tabs>
      <w:suppressAutoHyphens w:val="true"/>
      <w:jc w:val="both"/>
    </w:pPr>
    <w:rPr>
      <w:rFonts w:ascii="Times New Roman" w:hAnsi="Times New Roman" w:cs="Times New Roman"/>
      <w:spacing w:val="-2"/>
      <w:sz w:val="20"/>
      <w:szCs w:val="20"/>
    </w:rPr>
  </w:style>
  <w:style w:type="paragraph" w:styleId="Sangra3detindependiente1">
    <w:name w:val="Sangría 3 de t. independiente1"/>
    <w:basedOn w:val="Normal"/>
    <w:qFormat/>
    <w:pPr>
      <w:spacing w:before="0" w:after="120"/>
      <w:ind w:left="283" w:right="0" w:hanging="0"/>
    </w:pPr>
    <w:rPr>
      <w:sz w:val="16"/>
      <w:szCs w:val="16"/>
    </w:rPr>
  </w:style>
  <w:style w:type="paragraph" w:styleId="Textodebloque1">
    <w:name w:val="Texto de bloque1"/>
    <w:basedOn w:val="Normal"/>
    <w:qFormat/>
    <w:pPr>
      <w:spacing w:before="120" w:after="0"/>
      <w:ind w:left="360" w:right="381" w:hanging="0"/>
      <w:jc w:val="both"/>
    </w:pPr>
    <w:rPr>
      <w:sz w:val="20"/>
      <w:szCs w:val="22"/>
      <w:lang w:val="ca-ES"/>
    </w:rPr>
  </w:style>
  <w:style w:type="paragraph" w:styleId="NormalWeb">
    <w:name w:val="Normal (Web)"/>
    <w:basedOn w:val="Normal"/>
    <w:qFormat/>
    <w:pPr>
      <w:spacing w:lineRule="auto" w:line="360"/>
      <w:ind w:left="528" w:right="71" w:firstLine="600"/>
      <w:jc w:val="both"/>
    </w:pPr>
    <w:rPr>
      <w:rFonts w:ascii="Verdana" w:hAnsi="Verdana" w:cs="Verdana"/>
      <w:sz w:val="20"/>
      <w:lang w:val="es-ES"/>
    </w:rPr>
  </w:style>
  <w:style w:type="paragraph" w:styleId="Contenidodelmarco">
    <w:name w:val="Contenido del marco"/>
    <w:basedOn w:val="Normal"/>
    <w:qFormat/>
    <w:pPr/>
    <w:rPr/>
  </w:style>
  <w:style w:type="paragraph" w:styleId="TableParagraph">
    <w:name w:val="Table Paragraph"/>
    <w:basedOn w:val="Normal"/>
    <w:qFormat/>
    <w:pPr/>
    <w:rPr>
      <w:rFonts w:ascii="Arial" w:hAnsi="Arial" w:eastAsia="Arial" w:cs="Arial"/>
      <w:lang w:val="es-ES" w:eastAsia="en-US" w:bidi="ar-SA"/>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Western">
    <w:name w:val="western"/>
    <w:basedOn w:val="Normal"/>
    <w:qFormat/>
    <w:pPr>
      <w:suppressAutoHyphens w:val="false"/>
      <w:overflowPunct w:val="false"/>
      <w:spacing w:before="280" w:after="119"/>
    </w:pPr>
    <w:rPr>
      <w:color w:val="000000"/>
      <w:szCs w:val="22"/>
      <w:lang w:val="es-ES"/>
    </w:rPr>
  </w:style>
  <w:style w:type="paragraph" w:styleId="Default">
    <w:name w:val="Default"/>
    <w:basedOn w:val="Normal"/>
    <w:qFormat/>
    <w:pPr/>
    <w:rPr>
      <w:rFonts w:eastAsia="Arial"/>
      <w:color w:val="000000"/>
      <w:sz w:val="24"/>
      <w:lang w:val="es-ES"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https://xeraco.sedelectronica.es/info.0" TargetMode="Externa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emplate>WORD Ajuntament Xeraco</Template>
  <TotalTime>157</TotalTime>
  <Application>LibreOffice/6.0.5.2$Windows_X86_64 LibreOffice_project/54c8cbb85f300ac59db32fe8a675ff7683cd5a16</Application>
  <Pages>18</Pages>
  <Words>6800</Words>
  <Characters>36826</Characters>
  <CharactersWithSpaces>43747</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2022-06-30T09:33:28Z</dcterms:created>
  <dc:creator/>
  <dc:description/>
  <dc:language>es-ES</dc:language>
  <cp:lastModifiedBy/>
  <dcterms:modified xsi:type="dcterms:W3CDTF">2024-04-25T19:34:27Z</dcterms:modified>
  <cp:revision>10</cp:revision>
  <dc:subject/>
  <dc:title>WORD Ajuntament Xeraco</dc:title>
</cp:coreProperties>
</file>