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97ABA" w14:textId="16E93FC6" w:rsidR="00D63D03" w:rsidRPr="0015062A" w:rsidRDefault="00D07219" w:rsidP="00707A76">
      <w:pPr>
        <w:pStyle w:val="Textoindependiente31"/>
        <w:spacing w:before="100" w:beforeAutospacing="1" w:after="100" w:afterAutospacing="1"/>
        <w:rPr>
          <w:rFonts w:ascii="Roboto" w:hAnsi="Roboto" w:cs="Times New Roman"/>
          <w:szCs w:val="22"/>
          <w:lang w:eastAsia="es-ES"/>
        </w:rPr>
      </w:pPr>
      <w:bookmarkStart w:id="0" w:name="_Hlk159323351"/>
      <w:r w:rsidRPr="0015062A">
        <w:rPr>
          <w:rFonts w:ascii="Roboto" w:hAnsi="Roboto" w:cs="Times New Roman"/>
          <w:szCs w:val="22"/>
          <w:lang w:eastAsia="es-ES"/>
        </w:rPr>
        <w:t>ESTUDIO Y APROBACIÓN DE LA CONVOCATORIA PARA 2024, PARA EL OTORGAMIENTO DE LAS SUBVENCIONES A LA DEFENSA DEL PRODUCTOR AGRARIO HACIA LA AMENAZA DE LA PLAGA DEL JABALÍ EN RÉGIMEN DE CONCURRENCIA COMPETITIVA (EXP. 839/2024).</w:t>
      </w:r>
    </w:p>
    <w:p w14:paraId="43F60345" w14:textId="5CA09AE8"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2C3D4B">
        <w:rPr>
          <w:rFonts w:ascii="Roboto" w:eastAsia="Times New Roman" w:hAnsi="Roboto" w:cs="Calibri"/>
          <w:sz w:val="22"/>
          <w:szCs w:val="22"/>
          <w:lang w:eastAsia="es-ES" w:bidi="ar-SA"/>
        </w:rPr>
        <w:t>Dado que se debe aprobar la convocatoria para el otorgamiento de las subvenciones a la defensa del productor agrario hacia la amenaza de la plaga del jabalí en el municipio de Vandellòs i l'Hospitalet de l'Infant para el año 2024.</w:t>
      </w:r>
    </w:p>
    <w:p w14:paraId="1FD5E187" w14:textId="0B096C94" w:rsidR="00242CEF"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rFonts w:ascii="Roboto" w:eastAsia="Times New Roman" w:hAnsi="Roboto" w:cs="Calibri"/>
          <w:sz w:val="22"/>
          <w:szCs w:val="22"/>
          <w:lang w:eastAsia="es-ES" w:bidi="ar-SA"/>
        </w:rPr>
        <w:t>Considerando que el régimen específico de esta convocatoria sería: bases reguladoras para el otorgamiento de las subvenciones a la defensa del productor agrario hacia la amenaza de la plaga del jabalí en el municipio de Vandellòs i l'Hospitalet de l'Infant, aprobadas por el Pleno del ayuntamiento en fecha 9 de abril de 2020 y publicadas definitivamente en el BOP 2020-2860 del 28 de mayo de 2020. Las bases figuran íntegramente transcritas en la página web del Ayuntamiento de Vandellòs i l'Hospitalet de l'Infant, en la sección de Gobierno Abierto y Transparencia: Convocatorias de subvenciones y ayudas.</w:t>
      </w:r>
    </w:p>
    <w:p w14:paraId="238C0468" w14:textId="3F26C0BA"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Dado que el crédito presupuestario al que se imputan las subvenciones del presupuesto municipal de gasto del año 2024, por un importe total de 8.000 euros, sería:</w:t>
      </w:r>
    </w:p>
    <w:p w14:paraId="6CF948EB" w14:textId="7A1E35FD" w:rsidR="00242CEF" w:rsidRDefault="00707A76" w:rsidP="00707A76">
      <w:pPr>
        <w:numPr>
          <w:ilvl w:val="0"/>
          <w:numId w:val="1"/>
        </w:numPr>
        <w:spacing w:before="100" w:beforeAutospacing="1" w:after="100" w:afterAutospacing="1"/>
        <w:jc w:val="both"/>
        <w:rPr>
          <w:rFonts w:ascii="Roboto" w:eastAsia="Calibri" w:hAnsi="Roboto" w:cs="Times New Roman"/>
          <w:sz w:val="22"/>
          <w:szCs w:val="22"/>
          <w:lang w:eastAsia="en-US" w:bidi="ar-SA"/>
        </w:rPr>
      </w:pPr>
      <w:r w:rsidRPr="00C90673">
        <w:rPr>
          <w:rFonts w:ascii="Roboto" w:eastAsia="Calibri" w:hAnsi="Roboto" w:cs="Times New Roman"/>
          <w:sz w:val="22"/>
          <w:szCs w:val="22"/>
          <w:lang w:eastAsia="en-US" w:bidi="ar-SA"/>
        </w:rPr>
        <w:t>2024</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22</w:t>
      </w:r>
      <w:r w:rsidRPr="00C90673">
        <w:rPr>
          <w:rFonts w:ascii="Roboto" w:eastAsia="Calibri" w:hAnsi="Roboto" w:cs="Times New Roman"/>
          <w:color w:val="000000"/>
          <w:sz w:val="22"/>
          <w:szCs w:val="22"/>
          <w:lang w:eastAsia="en-US" w:bidi="ar-SA"/>
        </w:rPr>
        <w:t>–</w:t>
      </w:r>
      <w:r w:rsidR="005E07C3" w:rsidRPr="00C90673">
        <w:rPr>
          <w:rFonts w:ascii="Roboto" w:eastAsia="Calibri" w:hAnsi="Roboto" w:cs="Times New Roman"/>
          <w:sz w:val="22"/>
          <w:szCs w:val="22"/>
          <w:lang w:eastAsia="en-US" w:bidi="ar-SA"/>
        </w:rPr>
        <w:t>433</w:t>
      </w:r>
      <w:r w:rsidRPr="00C90673">
        <w:rPr>
          <w:rFonts w:ascii="Roboto" w:eastAsia="Calibri" w:hAnsi="Roboto" w:cs="Times New Roman"/>
          <w:color w:val="000000"/>
          <w:sz w:val="22"/>
          <w:szCs w:val="22"/>
          <w:lang w:eastAsia="en-US" w:bidi="ar-SA"/>
        </w:rPr>
        <w:t>–</w:t>
      </w:r>
      <w:r w:rsidR="005E07C3" w:rsidRPr="00C90673">
        <w:rPr>
          <w:rFonts w:ascii="Roboto" w:eastAsia="Calibri" w:hAnsi="Roboto" w:cs="Times New Roman"/>
          <w:sz w:val="22"/>
          <w:szCs w:val="22"/>
          <w:lang w:eastAsia="en-US" w:bidi="ar-SA"/>
        </w:rPr>
        <w:t>44904 Mejora de protección de cultivos agrícolas: 7.600,00 euros.</w:t>
      </w:r>
    </w:p>
    <w:p w14:paraId="1B4B674D" w14:textId="5767BA57" w:rsidR="00F842FF" w:rsidRPr="0015062A" w:rsidRDefault="00F842FF" w:rsidP="00F842FF">
      <w:pPr>
        <w:numPr>
          <w:ilvl w:val="0"/>
          <w:numId w:val="1"/>
        </w:numPr>
        <w:spacing w:before="100" w:beforeAutospacing="1" w:after="100" w:afterAutospacing="1"/>
        <w:jc w:val="both"/>
        <w:rPr>
          <w:rFonts w:ascii="Roboto" w:eastAsia="Calibri" w:hAnsi="Roboto" w:cs="Times New Roman"/>
          <w:sz w:val="22"/>
          <w:szCs w:val="22"/>
          <w:lang w:eastAsia="en-US" w:bidi="ar-SA"/>
        </w:rPr>
      </w:pPr>
      <w:r w:rsidRPr="00C90673">
        <w:rPr>
          <w:rFonts w:ascii="Roboto" w:eastAsia="Calibri" w:hAnsi="Roboto" w:cs="Times New Roman"/>
          <w:sz w:val="22"/>
          <w:szCs w:val="22"/>
          <w:lang w:eastAsia="en-US" w:bidi="ar-SA"/>
        </w:rPr>
        <w:t>2024</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22</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433</w:t>
      </w:r>
      <w:r w:rsidRPr="00C90673">
        <w:rPr>
          <w:rFonts w:ascii="Roboto" w:eastAsia="Calibri" w:hAnsi="Roboto" w:cs="Times New Roman"/>
          <w:color w:val="000000"/>
          <w:sz w:val="22"/>
          <w:szCs w:val="22"/>
          <w:lang w:eastAsia="en-US" w:bidi="ar-SA"/>
        </w:rPr>
        <w:t>–</w:t>
      </w:r>
      <w:r>
        <w:rPr>
          <w:rFonts w:ascii="Roboto" w:eastAsia="Calibri" w:hAnsi="Roboto" w:cs="Times New Roman"/>
          <w:sz w:val="22"/>
          <w:szCs w:val="22"/>
          <w:lang w:eastAsia="en-US" w:bidi="ar-SA"/>
        </w:rPr>
        <w:t>770.02 Mejora de protección de cultivos agrícolas: 400,00 euros.</w:t>
      </w:r>
    </w:p>
    <w:p w14:paraId="326F5D54" w14:textId="440707D7" w:rsidR="00242CEF" w:rsidRPr="0015062A" w:rsidRDefault="00D07219" w:rsidP="00707A76">
      <w:pPr>
        <w:spacing w:before="100" w:beforeAutospacing="1" w:after="100" w:afterAutospacing="1"/>
        <w:jc w:val="both"/>
      </w:pPr>
      <w:r w:rsidRPr="0015062A">
        <w:rPr>
          <w:rFonts w:ascii="Roboto" w:eastAsia="Calibri" w:hAnsi="Roboto" w:cs="Times New Roman"/>
          <w:sz w:val="22"/>
          <w:szCs w:val="22"/>
          <w:lang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6A459571"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5D088DD7" w14:textId="780465FF"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Dado que el régimen de la concesión se trata: concurrencia competitiva. Convocatoria abierta.</w:t>
      </w:r>
    </w:p>
    <w:p w14:paraId="3DB18BE0"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En cuanto a los órganos de instrucción y resolución, son:</w:t>
      </w:r>
    </w:p>
    <w:p w14:paraId="1601A6DD" w14:textId="483B51B0"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Órgano competente para la instrucción del procedimiento: Departamento de Promoción Económica.</w:t>
      </w:r>
    </w:p>
    <w:p w14:paraId="586B36FD" w14:textId="3ED53E95"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Órgano competente para la resolución del procedimiento: Junta de Gobierno Local.</w:t>
      </w:r>
    </w:p>
    <w:p w14:paraId="6324AE15" w14:textId="2804D53A" w:rsidR="00242CEF" w:rsidRDefault="00D07219" w:rsidP="00707A76">
      <w:pPr>
        <w:spacing w:before="100" w:beforeAutospacing="1" w:after="100" w:afterAutospacing="1"/>
        <w:jc w:val="both"/>
        <w:rPr>
          <w:rFonts w:ascii="Roboto" w:eastAsia="Calibri" w:hAnsi="Roboto" w:cs="Times New Roman"/>
          <w:sz w:val="22"/>
          <w:szCs w:val="22"/>
          <w:lang w:eastAsia="en-US" w:bidi="ar-SA"/>
        </w:rPr>
      </w:pPr>
      <w:r w:rsidRPr="0015062A">
        <w:rPr>
          <w:rFonts w:ascii="Roboto" w:eastAsia="Calibri" w:hAnsi="Roboto" w:cs="Times New Roman"/>
          <w:sz w:val="22"/>
          <w:szCs w:val="22"/>
          <w:lang w:eastAsia="en-US" w:bidi="ar-SA"/>
        </w:rPr>
        <w:t>Dado que los plazos de presentación de solicitudes será: hasta el 30 de septiembre de 2024.</w:t>
      </w:r>
    </w:p>
    <w:p w14:paraId="50A72B92" w14:textId="77777777" w:rsidR="00F842FF" w:rsidRPr="00C84D5E" w:rsidRDefault="00F842FF" w:rsidP="00F842FF">
      <w:pPr>
        <w:spacing w:before="100" w:beforeAutospacing="1" w:after="100" w:afterAutospacing="1"/>
        <w:jc w:val="both"/>
        <w:rPr>
          <w:rFonts w:ascii="Roboto" w:eastAsia="Calibri" w:hAnsi="Roboto" w:cs="Times New Roman"/>
          <w:color w:val="000000"/>
          <w:sz w:val="22"/>
          <w:szCs w:val="22"/>
          <w:lang w:eastAsia="en-US" w:bidi="ar-SA"/>
        </w:rPr>
      </w:pPr>
      <w:r w:rsidRPr="00C84D5E">
        <w:rPr>
          <w:rFonts w:ascii="Roboto" w:eastAsia="Calibri" w:hAnsi="Roboto" w:cs="Times New Roman"/>
          <w:color w:val="000000"/>
          <w:sz w:val="22"/>
          <w:szCs w:val="22"/>
          <w:lang w:eastAsia="en-US" w:bidi="ar-SA"/>
        </w:rPr>
        <w:lastRenderedPageBreak/>
        <w:t>Las subvenciones concedidas al amparo de esta convocatoria, deberán destinarse a financiar las inversiones realizadas a lo largo del proceso comprendido entre el 1 de octubre de 2023 y el 30 de septiembre de 2024.</w:t>
      </w:r>
    </w:p>
    <w:p w14:paraId="11375145" w14:textId="46C67EE7"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t>Dado que la naturaleza de la convocatoria es de 2024 y en relación de la tipología gastos subvencionables a la presentación de la solicitud. Se realizará el cálculo de la totalidad de la cantidad a subvencionar dentro de los límites que los criterios de valoración y reparto constan en las bases específicas reguladoras en su artículo 6, criterios comunes para la selección, que dice expresamente:</w:t>
      </w:r>
    </w:p>
    <w:p w14:paraId="2E7E4B9A" w14:textId="77777777" w:rsidR="00D63D03" w:rsidRPr="00E74929" w:rsidRDefault="00D63D03" w:rsidP="00E74929">
      <w:pPr>
        <w:spacing w:before="100" w:beforeAutospacing="1" w:after="100" w:afterAutospacing="1"/>
        <w:ind w:left="709"/>
        <w:contextualSpacing/>
        <w:jc w:val="both"/>
        <w:rPr>
          <w:b/>
          <w:bCs/>
          <w:i/>
          <w:iCs/>
        </w:rPr>
      </w:pPr>
      <w:r w:rsidRPr="00E74929">
        <w:rPr>
          <w:rFonts w:ascii="Calibri" w:hAnsi="Calibri" w:cs="Calibri"/>
          <w:b/>
          <w:bCs/>
          <w:i/>
          <w:iCs/>
        </w:rPr>
        <w:t>Artículo 6</w:t>
      </w:r>
    </w:p>
    <w:p w14:paraId="3E270C0B" w14:textId="1AAF6FFB" w:rsidR="00D63D03" w:rsidRPr="00E74929" w:rsidRDefault="00D63D03" w:rsidP="00E74929">
      <w:pPr>
        <w:spacing w:before="100" w:beforeAutospacing="1" w:after="100" w:afterAutospacing="1"/>
        <w:ind w:left="709"/>
        <w:contextualSpacing/>
        <w:jc w:val="both"/>
        <w:rPr>
          <w:rFonts w:ascii="Calibri" w:hAnsi="Calibri" w:cs="Calibri"/>
          <w:b/>
          <w:bCs/>
          <w:i/>
          <w:iCs/>
        </w:rPr>
      </w:pPr>
      <w:r w:rsidRPr="00E74929">
        <w:rPr>
          <w:rFonts w:ascii="Calibri" w:hAnsi="Calibri" w:cs="Calibri"/>
          <w:b/>
          <w:bCs/>
          <w:i/>
          <w:iCs/>
        </w:rPr>
        <w:t>Criterios Comunes para la selección</w:t>
      </w:r>
    </w:p>
    <w:p w14:paraId="5767BFD5" w14:textId="77777777" w:rsidR="00E74929" w:rsidRPr="00E74929" w:rsidRDefault="00E74929" w:rsidP="00E74929">
      <w:pPr>
        <w:spacing w:before="100" w:beforeAutospacing="1" w:after="100" w:afterAutospacing="1"/>
        <w:ind w:left="709"/>
        <w:contextualSpacing/>
        <w:jc w:val="both"/>
        <w:rPr>
          <w:rFonts w:ascii="Calibri" w:hAnsi="Calibri" w:cs="Calibri"/>
          <w:b/>
          <w:bCs/>
          <w:i/>
          <w:iCs/>
        </w:rPr>
      </w:pPr>
    </w:p>
    <w:p w14:paraId="7B05C534" w14:textId="77777777" w:rsidR="00D63D03" w:rsidRPr="00E74929" w:rsidRDefault="00D63D03" w:rsidP="00E74929">
      <w:pPr>
        <w:autoSpaceDE w:val="0"/>
        <w:spacing w:before="100" w:beforeAutospacing="1" w:after="100" w:afterAutospacing="1"/>
        <w:ind w:left="709"/>
        <w:contextualSpacing/>
        <w:jc w:val="both"/>
        <w:rPr>
          <w:i/>
          <w:iCs/>
        </w:rPr>
      </w:pPr>
      <w:r w:rsidRPr="00E74929">
        <w:rPr>
          <w:rFonts w:ascii="Calibri" w:hAnsi="Calibri" w:cs="Calibri"/>
          <w:i/>
          <w:iCs/>
        </w:rPr>
        <w:t>La evaluación de las solicitudes será realizada por una Comisión de valoración integrada por técnicos de promoción económica del Ayuntamiento de Vandellòs. Los técnicos encargados de la valoración de las solicitudes presentarán a la Junta de Gobierno un informe que evalúe la posible subvención a la contratación con las prioridades siguientes:</w:t>
      </w:r>
    </w:p>
    <w:p w14:paraId="276B5979" w14:textId="77777777" w:rsidR="00D63D03" w:rsidRPr="00E74929" w:rsidRDefault="00D63D03" w:rsidP="00E74929">
      <w:pPr>
        <w:spacing w:before="100" w:beforeAutospacing="1" w:after="100" w:afterAutospacing="1"/>
        <w:ind w:left="1069"/>
        <w:contextualSpacing/>
        <w:jc w:val="both"/>
        <w:rPr>
          <w:rFonts w:ascii="Calibri" w:hAnsi="Calibri" w:cs="Calibri"/>
          <w:i/>
          <w:iCs/>
        </w:rPr>
      </w:pPr>
    </w:p>
    <w:p w14:paraId="5C543AE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Viabilidad técnica de la actuación (Inversión y gasto) hasta 30 puntos.</w:t>
      </w:r>
    </w:p>
    <w:p w14:paraId="2665198C"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Superficie de actuación ( 10 puntos )</w:t>
      </w:r>
    </w:p>
    <w:p w14:paraId="0F91D0F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Ser miembro de una asociación agraria local ( 10 puntos )</w:t>
      </w:r>
    </w:p>
    <w:p w14:paraId="680AB460"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Ser miembro de una asociación agraria (5 puntos)</w:t>
      </w:r>
    </w:p>
    <w:p w14:paraId="7DB6B17F"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Contratación de servicios y/o adquisición de consumibles en el municipio origen de la ayuda ( hasta 5 puntos)</w:t>
      </w:r>
    </w:p>
    <w:p w14:paraId="64C4412E" w14:textId="77777777" w:rsidR="00D63D03" w:rsidRPr="00E74929" w:rsidRDefault="00D63D03" w:rsidP="00E74929">
      <w:pPr>
        <w:pStyle w:val="NormalWeb"/>
        <w:numPr>
          <w:ilvl w:val="0"/>
          <w:numId w:val="3"/>
        </w:numPr>
        <w:shd w:val="clear" w:color="auto" w:fill="FFFFFF"/>
        <w:tabs>
          <w:tab w:val="clear" w:pos="0"/>
          <w:tab w:val="num" w:pos="709"/>
        </w:tabs>
        <w:spacing w:before="100" w:beforeAutospacing="1" w:after="100" w:afterAutospacing="1"/>
        <w:ind w:left="1429"/>
        <w:contextualSpacing/>
        <w:jc w:val="both"/>
        <w:rPr>
          <w:i/>
          <w:iCs/>
          <w:lang w:val="ca-ES"/>
        </w:rPr>
      </w:pPr>
      <w:r w:rsidRPr="00E74929">
        <w:rPr>
          <w:rFonts w:ascii="Calibri" w:eastAsia="Times New Roman" w:hAnsi="Calibri" w:cs="Calibri"/>
          <w:i/>
          <w:iCs/>
        </w:rPr>
        <w:t xml:space="preserve">Respecto al importe otorgado en la última convocatorias de ayuda; </w:t>
      </w:r>
    </w:p>
    <w:p w14:paraId="58057F37"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rPr>
        <w:t>5 puntos cuando el grado de ejecución sea superior al 85-95%;</w:t>
      </w:r>
    </w:p>
    <w:p w14:paraId="65EE4455"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rPr>
        <w:t xml:space="preserve">15 puntos cuando el grado de ejecución sea superior al 95%; </w:t>
      </w:r>
    </w:p>
    <w:p w14:paraId="00C06B8A" w14:textId="4092D866"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rPr>
        <w:t>15 puntos cuando el grado de ejecución sea inferior al 85%.</w:t>
      </w:r>
    </w:p>
    <w:p w14:paraId="12357E4A" w14:textId="0774F5E8"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t>La justificación de la toda la documentación se presentará dentro del periodo 2024.</w:t>
      </w:r>
    </w:p>
    <w:p w14:paraId="293A9588" w14:textId="598A5874" w:rsidR="00242CEF" w:rsidRPr="00E74929" w:rsidRDefault="00D07219" w:rsidP="00707A76">
      <w:pPr>
        <w:spacing w:before="100" w:beforeAutospacing="1" w:after="100" w:afterAutospacing="1"/>
        <w:jc w:val="both"/>
      </w:pPr>
      <w:r w:rsidRPr="00E74929">
        <w:rPr>
          <w:rFonts w:ascii="Roboto" w:eastAsia="Calibri" w:hAnsi="Roboto" w:cs="Times New Roman"/>
          <w:sz w:val="22"/>
          <w:szCs w:val="22"/>
          <w:lang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4787422C"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Dado que la forma de presentación de las solicitudes será: electrónicamente, o bien presencialmente en las oficinas municipales de atención al ciudadano.</w:t>
      </w:r>
    </w:p>
    <w:p w14:paraId="147F8B64" w14:textId="7FBFD380"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En cuanto al plazo de resolución y notificación: 6 meses desde la publicación del anuncio de la convocatoria en la BDNS y en el Boletín Oficial correspondiente.</w:t>
      </w:r>
    </w:p>
    <w:p w14:paraId="7C133A44" w14:textId="1757DD66"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Medio de notificación de la resolución: publicación en la sede electrónica.</w:t>
      </w:r>
    </w:p>
    <w:p w14:paraId="08AF32BA" w14:textId="306C08FE"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lastRenderedPageBreak/>
        <w:t>Régimen de aceptación: tácita, si no se manifiesta lo contrario en el plazo de un mes desde la notificación de la resolución.</w:t>
      </w:r>
    </w:p>
    <w:p w14:paraId="4439ABF6" w14:textId="4A6DEF8D"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7386E484" w14:textId="6D1F4577"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Dado que las resoluciones dictadas en ejecución de la convocatoria agotan la vía administrativa.</w:t>
      </w:r>
    </w:p>
    <w:p w14:paraId="18F9883A" w14:textId="3819F094"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Régimen de recursos contra los actos administrativos dictados en ejecución de la convocatoria: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6ECA893B"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6B1D6B7A"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Considerando lo dispuesto en el artículo 17.3 b y 20.8 a ) de la Ley 38 /2003, de 17 de noviembre, General de Subvenciones.</w:t>
      </w:r>
    </w:p>
    <w:bookmarkEnd w:id="0"/>
    <w:p w14:paraId="78BD2E05" w14:textId="5F5D3C90" w:rsidR="00242CEF" w:rsidRPr="0015062A" w:rsidRDefault="00242CEF" w:rsidP="00707A76">
      <w:pPr>
        <w:jc w:val="both"/>
      </w:pPr>
    </w:p>
    <w:sectPr w:rsidR="00242CEF" w:rsidRPr="0015062A">
      <w:headerReference w:type="even" r:id="rId7"/>
      <w:headerReference w:type="default" r:id="rId8"/>
      <w:footerReference w:type="even" r:id="rId9"/>
      <w:footerReference w:type="default" r:id="rId10"/>
      <w:headerReference w:type="first" r:id="rId11"/>
      <w:footerReference w:type="first" r:id="rId12"/>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8CB82" w14:textId="77777777" w:rsidR="00C841E0" w:rsidRDefault="00C841E0">
      <w:r>
        <w:separator/>
      </w:r>
    </w:p>
  </w:endnote>
  <w:endnote w:type="continuationSeparator" w:id="0">
    <w:p w14:paraId="24AFE316" w14:textId="77777777" w:rsidR="00C841E0" w:rsidRDefault="00C8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E9BD" w14:textId="77777777" w:rsidR="00A551AD" w:rsidRDefault="00A55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176A" w14:textId="77777777" w:rsidR="00F842FF" w:rsidRDefault="00D07219">
    <w:pPr>
      <w:pStyle w:val="Piedepgina"/>
    </w:pPr>
    <w:r>
      <w:rPr>
        <w:noProof/>
      </w:rPr>
      <w:drawing>
        <wp:anchor distT="0" distB="0" distL="114300" distR="114300" simplePos="0" relativeHeight="251661312" behindDoc="0" locked="0" layoutInCell="1" allowOverlap="1" wp14:anchorId="14705F73" wp14:editId="4A060997">
          <wp:simplePos x="0" y="0"/>
          <wp:positionH relativeFrom="column">
            <wp:posOffset>47767</wp:posOffset>
          </wp:positionH>
          <wp:positionV relativeFrom="paragraph">
            <wp:posOffset>-60780</wp:posOffset>
          </wp:positionV>
          <wp:extent cx="5399998" cy="723957"/>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76B6" w14:textId="77777777" w:rsidR="00A551AD" w:rsidRDefault="00A55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1EB33" w14:textId="77777777" w:rsidR="00C841E0" w:rsidRDefault="00C841E0">
      <w:r>
        <w:rPr>
          <w:color w:val="000000"/>
        </w:rPr>
        <w:separator/>
      </w:r>
    </w:p>
  </w:footnote>
  <w:footnote w:type="continuationSeparator" w:id="0">
    <w:p w14:paraId="1C989576" w14:textId="77777777" w:rsidR="00C841E0" w:rsidRDefault="00C84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0EA63" w14:textId="77777777" w:rsidR="00A551AD" w:rsidRDefault="00A55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AD63" w14:textId="77777777" w:rsidR="00F842FF" w:rsidRDefault="00D07219">
    <w:pPr>
      <w:pStyle w:val="Encabezado"/>
    </w:pPr>
    <w:r>
      <w:rPr>
        <w:noProof/>
      </w:rPr>
      <w:drawing>
        <wp:anchor distT="0" distB="0" distL="114300" distR="114300" simplePos="0" relativeHeight="251659264" behindDoc="0" locked="0" layoutInCell="1" allowOverlap="1" wp14:anchorId="2217CFB1" wp14:editId="06876D14">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C7F47" w14:textId="77777777" w:rsidR="00A551AD" w:rsidRDefault="00A55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ca-ES"/>
      </w:rPr>
    </w:lvl>
  </w:abstractNum>
  <w:abstractNum w:abstractNumId="2" w15:restartNumberingAfterBreak="0">
    <w:nsid w:val="31DB598F"/>
    <w:multiLevelType w:val="hybridMultilevel"/>
    <w:tmpl w:val="26F84E1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0D3AC6"/>
    <w:multiLevelType w:val="multilevel"/>
    <w:tmpl w:val="EED64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T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5258155">
    <w:abstractNumId w:val="3"/>
  </w:num>
  <w:num w:numId="2" w16cid:durableId="455871711">
    <w:abstractNumId w:val="0"/>
  </w:num>
  <w:num w:numId="3" w16cid:durableId="2125997133">
    <w:abstractNumId w:val="1"/>
  </w:num>
  <w:num w:numId="4" w16cid:durableId="1357733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EF"/>
    <w:rsid w:val="000854B3"/>
    <w:rsid w:val="000E5371"/>
    <w:rsid w:val="000E7A1F"/>
    <w:rsid w:val="000F0267"/>
    <w:rsid w:val="0015062A"/>
    <w:rsid w:val="00185865"/>
    <w:rsid w:val="001F639D"/>
    <w:rsid w:val="00242CEF"/>
    <w:rsid w:val="00260B0B"/>
    <w:rsid w:val="002C3D4B"/>
    <w:rsid w:val="00326576"/>
    <w:rsid w:val="0043796A"/>
    <w:rsid w:val="0046149D"/>
    <w:rsid w:val="004A21A0"/>
    <w:rsid w:val="004A338F"/>
    <w:rsid w:val="005E07C3"/>
    <w:rsid w:val="00690289"/>
    <w:rsid w:val="00703B7C"/>
    <w:rsid w:val="00707A76"/>
    <w:rsid w:val="007E3335"/>
    <w:rsid w:val="00825972"/>
    <w:rsid w:val="00841914"/>
    <w:rsid w:val="008B534B"/>
    <w:rsid w:val="00A551AD"/>
    <w:rsid w:val="00C841E0"/>
    <w:rsid w:val="00C90673"/>
    <w:rsid w:val="00CD4CA0"/>
    <w:rsid w:val="00D07219"/>
    <w:rsid w:val="00D63D03"/>
    <w:rsid w:val="00DA3844"/>
    <w:rsid w:val="00E64C7D"/>
    <w:rsid w:val="00E74929"/>
    <w:rsid w:val="00ED6F85"/>
    <w:rsid w:val="00F842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8BA4"/>
  <w15:docId w15:val="{573B1464-E899-4B49-A948-DB2C0309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4">
    <w:name w:val="heading 4"/>
    <w:basedOn w:val="Normal"/>
    <w:next w:val="Normal"/>
    <w:link w:val="Ttulo4Car"/>
    <w:qFormat/>
    <w:rsid w:val="00D63D03"/>
    <w:pPr>
      <w:keepNext/>
      <w:numPr>
        <w:ilvl w:val="3"/>
        <w:numId w:val="1"/>
      </w:numPr>
      <w:autoSpaceDN/>
      <w:jc w:val="both"/>
      <w:textAlignment w:val="auto"/>
      <w:outlineLvl w:val="3"/>
    </w:pPr>
    <w:rPr>
      <w:rFonts w:ascii="Arial" w:eastAsia="Times New Roman" w:hAnsi="Arial" w:cs="Arial"/>
      <w:b/>
      <w:bCs/>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customStyle="1" w:styleId="Textoindependiente31">
    <w:name w:val="Texto independiente 31"/>
    <w:basedOn w:val="Normal"/>
    <w:rsid w:val="00D63D03"/>
    <w:pPr>
      <w:autoSpaceDN/>
      <w:jc w:val="both"/>
      <w:textAlignment w:val="auto"/>
    </w:pPr>
    <w:rPr>
      <w:rFonts w:ascii="Arial" w:eastAsia="Times New Roman" w:hAnsi="Arial" w:cs="Arial"/>
      <w:b/>
      <w:bCs/>
      <w:sz w:val="22"/>
    </w:rPr>
  </w:style>
  <w:style w:type="character" w:customStyle="1" w:styleId="Ttulo4Car">
    <w:name w:val="Título 4 Car"/>
    <w:basedOn w:val="Fuentedeprrafopredeter"/>
    <w:link w:val="Ttulo4"/>
    <w:rsid w:val="00D63D03"/>
    <w:rPr>
      <w:rFonts w:ascii="Arial" w:eastAsia="Times New Roman" w:hAnsi="Arial" w:cs="Arial"/>
      <w:b/>
      <w:bCs/>
      <w:sz w:val="22"/>
      <w:lang w:bidi="ar-SA"/>
    </w:rPr>
  </w:style>
  <w:style w:type="paragraph" w:styleId="NormalWeb">
    <w:name w:val="Normal (Web)"/>
    <w:basedOn w:val="Normal"/>
    <w:rsid w:val="00D63D03"/>
    <w:pPr>
      <w:autoSpaceDN/>
      <w:spacing w:before="280" w:after="280"/>
      <w:textAlignment w:val="auto"/>
    </w:pPr>
    <w:rPr>
      <w:rFonts w:ascii="Arial Unicode MS" w:eastAsia="Arial Unicode MS" w:hAnsi="Arial Unicode MS" w:cs="Arial Unicode MS"/>
      <w:lang w:val="es-ES"/>
    </w:rPr>
  </w:style>
  <w:style w:type="paragraph" w:styleId="Prrafodelista">
    <w:name w:val="List Paragraph"/>
    <w:basedOn w:val="Normal"/>
    <w:uiPriority w:val="34"/>
    <w:qFormat/>
    <w:rsid w:val="00707A76"/>
    <w:pPr>
      <w:ind w:left="720"/>
      <w:contextualSpacing/>
    </w:pPr>
    <w:rPr>
      <w:rFonts w:cs="Mangal"/>
      <w:szCs w:val="21"/>
    </w:rPr>
  </w:style>
  <w:style w:type="character" w:styleId="Textodelmarcadordeposicin">
    <w:name w:val="Placeholder Text"/>
    <w:basedOn w:val="Fuentedeprrafopredeter"/>
    <w:uiPriority w:val="99"/>
    <w:semiHidden/>
    <w:rsid w:val="00260B0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193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1014</Words>
  <Characters>5781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cp:revision>
  <cp:lastPrinted>2017-05-24T17:10:00Z</cp:lastPrinted>
  <dcterms:created xsi:type="dcterms:W3CDTF">2020-05-29T07:18:00Z</dcterms:created>
  <dcterms:modified xsi:type="dcterms:W3CDTF">2024-03-08T09:04:00Z</dcterms:modified>
</cp:coreProperties>
</file>