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0B9981" w14:textId="3A26FBB3" w:rsidR="00CB4958" w:rsidRPr="00CB4958" w:rsidRDefault="00CB4958" w:rsidP="00CB4958">
      <w:pPr>
        <w:widowControl w:val="0"/>
        <w:autoSpaceDE w:val="0"/>
        <w:autoSpaceDN w:val="0"/>
        <w:adjustRightInd w:val="0"/>
        <w:ind w:right="-1"/>
        <w:jc w:val="both"/>
        <w:rPr>
          <w:rFonts w:ascii="Arial" w:hAnsi="Arial" w:cs="Arial"/>
          <w:b/>
          <w:sz w:val="24"/>
        </w:rPr>
      </w:pPr>
      <w:bookmarkStart w:id="0" w:name="_GoBack"/>
      <w:bookmarkEnd w:id="0"/>
      <w:r w:rsidRPr="00CB4958">
        <w:rPr>
          <w:rFonts w:ascii="Arial" w:hAnsi="Arial" w:cs="Arial"/>
          <w:b/>
          <w:sz w:val="24"/>
        </w:rPr>
        <w:t>KULTURA, EUSKARA ETA KIROL ARLOKO DIRULAGUNTZAK EMATEKO DEIALDIA</w:t>
      </w:r>
    </w:p>
    <w:p w14:paraId="620C9971"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8676B01"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280CED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 artikulua. Dirulaguntzaren xedea</w:t>
      </w:r>
    </w:p>
    <w:p w14:paraId="328CFBC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5A30489"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Oinarri hauetan arautzen diren dirulaguntzen helburua honako proiektu eta jarduera hauek finantzatzea da, bai eta herritarrei eta erakundeei berdintasunaren, gardentasunaren, lehiaren, objektibotasunaren, emakumeen eta gizonen berdintasunaren eta diskriminaziorik ezaren printzipioak bermatzeko helburuak eta irizpideak finkatzea ere, udalaren esku-hartzea osatze aldera:</w:t>
      </w:r>
    </w:p>
    <w:p w14:paraId="39F1EB6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0E10DB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Kulturaren arloan:</w:t>
      </w:r>
    </w:p>
    <w:p w14:paraId="24D7CE8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61B72A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 Adinekoentzat: prestakuntza artistikoa eta iraunkorra, aisialdiko eta denbora libreko jarduerak, bidaiak eta txangoak, etab.</w:t>
      </w:r>
    </w:p>
    <w:p w14:paraId="660A476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2) Hezkuntzakoak, aisialdikoak eta denbora librekoak, haur eta/edo gazteentzat.</w:t>
      </w:r>
    </w:p>
    <w:p w14:paraId="3363543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3) Kultura-ekimen, -jarduera eta -programetarako eta arte-prestakuntzarako dirulaguntzak.</w:t>
      </w:r>
    </w:p>
    <w:p w14:paraId="04A2116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4) Arte-talde amateurrentzako materiala erosteko laguntzak: material instrumentala, partiturak, antzerki-materiala/jantziak, etab.</w:t>
      </w:r>
    </w:p>
    <w:p w14:paraId="588367D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5) Ikuskizunak antolatzeko eta garatzeko dirulaguntzak.</w:t>
      </w:r>
    </w:p>
    <w:p w14:paraId="4432F2B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6) Kultura-bisitak egiteko laguntzak.</w:t>
      </w:r>
    </w:p>
    <w:p w14:paraId="7195B03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7) Berrien idatzizko edo formatu digitaleko edizioak sustatzeko eta garatzeko laguntzak.</w:t>
      </w:r>
    </w:p>
    <w:p w14:paraId="1695289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8) Begiraleak eta animatzaileak prestatzeko programetan parte hartzeko bekak edo laguntzak: haurrak, gazteak, hirugarren adinekoak, etab.</w:t>
      </w:r>
    </w:p>
    <w:p w14:paraId="7343B63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7B2827A"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Euskararen arloan:</w:t>
      </w:r>
    </w:p>
    <w:p w14:paraId="664426CF"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5F91BEA5"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1. Euskara ikasteko bekak.</w:t>
      </w:r>
    </w:p>
    <w:p w14:paraId="754BABE9"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2. Tokiz gaindiko proiektuak finantzatzea.</w:t>
      </w:r>
    </w:p>
    <w:p w14:paraId="730F0007"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21810C73"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Kirolaren arloan:</w:t>
      </w:r>
    </w:p>
    <w:p w14:paraId="6EC74DA6"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6EFACA25"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1. Kirol-jardueren programetarako laguntzak.</w:t>
      </w:r>
    </w:p>
    <w:p w14:paraId="2629DC90"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2. Kirol-ekitaldiak antolatzeko eta garatzeko laguntzak.</w:t>
      </w:r>
    </w:p>
    <w:p w14:paraId="2EFF422D"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3. Oinarrizko kirola sustatzeko laguntzak.</w:t>
      </w:r>
    </w:p>
    <w:p w14:paraId="119A853A"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4. Goi-mailako kirolarientzako laguntzak.</w:t>
      </w:r>
    </w:p>
    <w:p w14:paraId="6FF5C37B"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4259357A"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Jarduerak batera finantzatzeko laguntzak dirulaguntza gisa emango dira, eta Dirulaguntzei buruzko azaroaren 17ko 38/2003 Lege Orokorraren, uztailaren 21eko 887/2006 Errege Dekretuaren eta Kanpezuko Udalaren dirulaguntzen plan estrategikoaren mende egongo dira.</w:t>
      </w:r>
    </w:p>
    <w:p w14:paraId="73656375"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6B1B43F7"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2. artikulua. Onuradunak</w:t>
      </w:r>
    </w:p>
    <w:p w14:paraId="100B5DDC"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1F1C6F9B"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Pertsona fisikoak edo juridikoak izango dira onuradunak, baldin eta dirulaguntza ematea zilegi egiten duen egoeran badaude edo oinarri arautzaile hauetan eta deialdian aurreikusitako baldintzak betetzen badituzte, eta Dirulaguntzei buruzko azaroaren 17ko 38/2003 Lege Orokorrean eta deialdian ezarritako baldintzak betetzen badituzte.</w:t>
      </w:r>
    </w:p>
    <w:p w14:paraId="20F24701"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099AC5F6"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Dirulaguntza eskatu ahal izango dute eskabidea egiten den egunean, Dirulaguntzei buruzko azaroaren 17ko 38/2003 Lege Orokorraren 11. eta 13. artikuluetan eta Dirulaguntzei eta Transferentziei buruzko 3/1997 Foru Arauaren 5. artikuluan aurreikusitako baldintzez gain, honako hauek betetzen dituzten erakundeek eta/edo pertsonek:</w:t>
      </w:r>
    </w:p>
    <w:p w14:paraId="11A9249E"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20EE885C"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 Pertsona juridikoak badira, legez eratuta egon beharko dute.</w:t>
      </w:r>
    </w:p>
    <w:p w14:paraId="79F1E56B"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 Zerga-betebeharrak eta Gizarte Segurantzarekikoak egunean izatea.</w:t>
      </w:r>
    </w:p>
    <w:p w14:paraId="4FFB3C52"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7445F8C4"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Ez dira onuraduntzat joko:</w:t>
      </w:r>
    </w:p>
    <w:p w14:paraId="3B657562"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3E5505F2"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 Laguntza-ildo bereko aurreko deialdietan emandako dirulaguntzetatik eratorritako betebehar guztiak bete ez dituzten erakundeak edo pertsonak.</w:t>
      </w:r>
    </w:p>
    <w:p w14:paraId="5ED1EA7B"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r w:rsidRPr="00CB4958">
        <w:rPr>
          <w:rFonts w:ascii="Arial" w:hAnsi="Arial" w:cs="Arial"/>
          <w:sz w:val="24"/>
          <w:lang w:val="en-GB"/>
        </w:rPr>
        <w:t>- Dirulaguntzei buruzko azaroaren 17ko 38/2003 Lege Orokorraren IV. tituluan aipatzen diren arau-hausteengatik zigortuak izan diren erakundeak edo pertsonak, bai eta Emakumeen eta Gizonen Berdintasunerako Eusko Legebiltzarraren otsailaren 18ko 4/2005 Legean eta Emakumeen eta Gizonen Berdintasun Eragingarrirako martxoaren 22ko 3/2007 Lege Organikoan jasotako kasuetan ere.</w:t>
      </w:r>
    </w:p>
    <w:p w14:paraId="361D5B28" w14:textId="77777777" w:rsidR="00CB4958" w:rsidRPr="00CB4958" w:rsidRDefault="00CB4958" w:rsidP="00CB4958">
      <w:pPr>
        <w:widowControl w:val="0"/>
        <w:autoSpaceDE w:val="0"/>
        <w:autoSpaceDN w:val="0"/>
        <w:adjustRightInd w:val="0"/>
        <w:ind w:right="-1"/>
        <w:jc w:val="both"/>
        <w:rPr>
          <w:rFonts w:ascii="Arial" w:hAnsi="Arial" w:cs="Arial"/>
          <w:sz w:val="24"/>
          <w:lang w:val="en-GB"/>
        </w:rPr>
      </w:pPr>
    </w:p>
    <w:p w14:paraId="1F3EEBA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Kulturaren arloan:</w:t>
      </w:r>
    </w:p>
    <w:p w14:paraId="4BE2D1D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Aurreko puntuan deskribatutako jarduera sustatzen edo egiten duen pertsona fisiko edo juridiko oro.</w:t>
      </w:r>
    </w:p>
    <w:p w14:paraId="5797ED3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1.etik 6.era bitarteko puntuetan adierazitako jardueretarako, udalerrian kokatutako elkarteak edo kolektiboak izango dira onuradun, baldin eta Kanpezun egiten badira jarduerak, bisita kulturalak eta txangoak izan ezik.</w:t>
      </w:r>
    </w:p>
    <w:p w14:paraId="7A74D40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EF66049"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7. eta 8. puntuetan ezarritakoari dagokionez, onuradunak udalerri horretan erroldatutako bizilagunak izango dira, edo ez dira izango udal interesekotzat jotzen diren lanak edo, osorik edo zati batean, nagusiki udalerri horretan kokatutako pertsonei, ondasunei edo interesei buruzkoak.</w:t>
      </w:r>
    </w:p>
    <w:p w14:paraId="7CD8D19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4EE996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Euskararen arloan:</w:t>
      </w:r>
    </w:p>
    <w:p w14:paraId="707FD9C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Euskara-beketarako: Kanpezun erroldatuta dauden interesdun guztiak (ikasturtea hasi baino urtebete lehenago eta ikastaroak irauten duen bitartean), </w:t>
      </w:r>
      <w:r w:rsidRPr="00CB4958">
        <w:rPr>
          <w:rFonts w:ascii="Arial" w:hAnsi="Arial" w:cs="Arial"/>
          <w:sz w:val="24"/>
        </w:rPr>
        <w:lastRenderedPageBreak/>
        <w:t>16 urtetik gorakoak. Pertsona bakoitzak egiten dituen ikastaro eta barnetegiak adina beka eska ditzake (urria-otsaila, otsaila-ekaina, urria-ekaina, uda, uztaila edo iraila eta barnetegiak), aurreko urteko irailetik aurtengo abuztura bitartean.</w:t>
      </w:r>
    </w:p>
    <w:p w14:paraId="73D1E36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60DF76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Barneratuen kasuan, prestakuntza-kostuak baino ez dira finantzatuko, eta ostatu- eta mantenu-kostuak eskatzailearen kontura geratuko dira.</w:t>
      </w:r>
    </w:p>
    <w:p w14:paraId="70D91689"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3428A1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Tokiz gaindiko proiektuei dagokienez: Udalerrian euskara sustatzeko eta erabiltzeko jarduerak garatzea helburu duten elkarteak, Kanpezun egiten direnak eta, batez ere, udalerriko biztanleei zuzenduak.</w:t>
      </w:r>
    </w:p>
    <w:p w14:paraId="3AB88C2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4E6121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Kirolaren arloan:</w:t>
      </w:r>
    </w:p>
    <w:p w14:paraId="19517066"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Aurreko puntuan deskribatutako jarduera sustatzen edo egiten duen pertsona fisiko edo juridiko oro izango da onuraduna.</w:t>
      </w:r>
    </w:p>
    <w:p w14:paraId="6451C3A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Udalerriko elkarteak edo taldeak izango dira onuradunak, baldin eta 1. artikuluko 1., 2. eta 3. puntuetan aipatzen diren jarduerak Kanpezuko udalerrian egiten badituzte.</w:t>
      </w:r>
    </w:p>
    <w:p w14:paraId="2FCCE71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2CB3BD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Emakumeen eta Gizonen Berdintasunerako otsailaren 18ko 4/2005 Legea betez, sexuagatik zuzenean edo zeharka diskriminatzen diren jarduerak ez dira inola ere diruz lagunduko.</w:t>
      </w:r>
    </w:p>
    <w:p w14:paraId="29C4A8E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33FC130" w14:textId="0BC618B5"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Ez dira diruz lagunduko, ezta ere, erlijio, jatorri etniko, kultural edo sozialagatik edo beste edozein arrazoirengatik zuzenean edo zeharka diskriminatzen dituzten jarduerak.</w:t>
      </w:r>
    </w:p>
    <w:p w14:paraId="49AE9EEF" w14:textId="00736FAE" w:rsidR="00CB4958" w:rsidRDefault="00CB4958" w:rsidP="00CB4958">
      <w:pPr>
        <w:widowControl w:val="0"/>
        <w:autoSpaceDE w:val="0"/>
        <w:autoSpaceDN w:val="0"/>
        <w:adjustRightInd w:val="0"/>
        <w:ind w:right="-1"/>
        <w:jc w:val="both"/>
        <w:rPr>
          <w:rFonts w:ascii="Arial" w:hAnsi="Arial" w:cs="Arial"/>
          <w:sz w:val="24"/>
        </w:rPr>
      </w:pPr>
    </w:p>
    <w:p w14:paraId="59A85DA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3. artikulua. Aurrekontu-zuzkidura</w:t>
      </w:r>
    </w:p>
    <w:p w14:paraId="2B1E545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5968B09"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Kulturaren arloan:</w:t>
      </w:r>
    </w:p>
    <w:p w14:paraId="3B60B4A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Indarrean dagoen aurrekontuko 6.400 euro erabiliko dira dirulaguntza horiek emateko.</w:t>
      </w:r>
    </w:p>
    <w:p w14:paraId="07FF697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C7D212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Euskararen arloan:</w:t>
      </w:r>
    </w:p>
    <w:p w14:paraId="176D3D0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Bekak: 1.000 euro</w:t>
      </w:r>
    </w:p>
    <w:p w14:paraId="54CB964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Tokiz gaindiko proiektuak (euskararen aldeko dirulaguntzak): 1.000 euro</w:t>
      </w:r>
    </w:p>
    <w:p w14:paraId="21500B7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6D5860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Kirolaren arloan:</w:t>
      </w:r>
    </w:p>
    <w:p w14:paraId="1883057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Indarrean dagoen aurrekontuko 6.400 euro erabiliko dira dirulaguntza horiek emateko.</w:t>
      </w:r>
    </w:p>
    <w:p w14:paraId="75769BE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Gehienez 600 euro erabiliko dira goi-mailako kirolarientzako laguntzetarako.</w:t>
      </w:r>
    </w:p>
    <w:p w14:paraId="62479A5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FF83EF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Urte honetan aurkeztutako eskabideak ebatzi ondoren agortzen ez diren gastu-partidak beste gai batzuetara bideratu ahal izango dira, baldin eta haien partidak agortu badira.</w:t>
      </w:r>
    </w:p>
    <w:p w14:paraId="21954BC6"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788B91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guztiak borondatezkoak izango dira, eta ezin izango dira aipatu aurrekari gisa.</w:t>
      </w:r>
    </w:p>
    <w:p w14:paraId="53311F6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E8EF5C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4. artikulua. Dirulaguntza emateko prozedura</w:t>
      </w:r>
    </w:p>
    <w:p w14:paraId="6D76DB8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3D1CCC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horien deialdia Alkatetzak egingo du iragarki baten bidez, eta iragarki hori iragarki-oholean eta www.kanpezu.eus webgunean argitaratuko da. Salbuespen izango dira euskararen arloko tokiz gaindiko proiektuak, uneko ekitaldiko edozein unetan aurkez baitaitezke.</w:t>
      </w:r>
    </w:p>
    <w:p w14:paraId="22A8A676"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B06C5F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Eskabideak aurkeztea:</w:t>
      </w:r>
    </w:p>
    <w:p w14:paraId="0DE6AC45"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56B845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Eskabidea, eredu ofizialaren arabera (I. eranskina), Udaleko Alkatetzari zuzendua, Udaleko sarrera-erregistroan aurkeztuko da, edo Administrazio Publikoen Administrazio Prozedura Erkidearen 39/2015 Legearen 16. artikuluan adierazitako edozein bitartekoren bidez, HOGEITA HAMAR eguneko epean, deialdiaren iragarkia argitaratu eta hurrengo egunetik hasita. Honako agiri hauek aurkeztu beharko dira:</w:t>
      </w:r>
    </w:p>
    <w:p w14:paraId="68C1F7E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450D02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Kulturaren arloan:</w:t>
      </w:r>
    </w:p>
    <w:p w14:paraId="5B4F5E6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Jardueretarako: Jardueraren edo programaren proiektua, II. eranskineko ereduaren arabera.</w:t>
      </w:r>
    </w:p>
    <w:p w14:paraId="0EE6AD8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29CE346"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Beketarako:</w:t>
      </w:r>
    </w:p>
    <w:p w14:paraId="17C7C13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Prestakuntza-</w:t>
      </w:r>
      <w:proofErr w:type="gramStart"/>
      <w:r w:rsidRPr="00CB4958">
        <w:rPr>
          <w:rFonts w:ascii="Arial" w:hAnsi="Arial" w:cs="Arial"/>
          <w:sz w:val="24"/>
        </w:rPr>
        <w:t>programa.*</w:t>
      </w:r>
      <w:proofErr w:type="gramEnd"/>
      <w:r w:rsidRPr="00CB4958">
        <w:rPr>
          <w:rFonts w:ascii="Arial" w:hAnsi="Arial" w:cs="Arial"/>
          <w:sz w:val="24"/>
        </w:rPr>
        <w:t xml:space="preserve"> Matrikulazioa jasotzen duen ikastetxearen ziurtagiria.* Matrikula ordaindu izanaren egiaztagiria.</w:t>
      </w:r>
    </w:p>
    <w:p w14:paraId="654CD53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F9D791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Talde artistiko amateurrentzako materiala erosteko laguntzak: material instrumentala, partiturak, antzerki-materiala/jantziak, etab.: II. eranskineko ereduaren arabera.</w:t>
      </w:r>
    </w:p>
    <w:p w14:paraId="673AA7A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03F15D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Euskararen arloan:</w:t>
      </w:r>
    </w:p>
    <w:p w14:paraId="1F351D2A"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Beketarako:</w:t>
      </w:r>
    </w:p>
    <w:p w14:paraId="53ACA21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NANaren fotokopia</w:t>
      </w:r>
    </w:p>
    <w:p w14:paraId="20D3DB7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Matrikula ordaindu izanaren banku-erakundearen egiaztagiria.</w:t>
      </w:r>
    </w:p>
    <w:p w14:paraId="7A9684F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Euskaltegiko edo beste erakunde ofizial bateko matrikularen egiaztagiria, euskaltegiak berak emana. Barnetegiaren kasuan, irakaskuntza-gastuak eta mantenu- eta ostatu-gastuak banakatuta egon beharko dira.</w:t>
      </w:r>
    </w:p>
    <w:p w14:paraId="7B7909A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Kanpezuko Udalak antolatutako ikastaroetan, beharrezkoa izango da irakasleak emandako txostena, ehuneko 75eko bertaratzearen justifikazioari buruzkoa.</w:t>
      </w:r>
    </w:p>
    <w:p w14:paraId="6D73E51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 Eskolen ehuneko 75erainoko bertaratze-justifikazioa, euskaltegiak edo beste erakunde ofizial batek emandakoa eta/edo bertaratzea justifikatu ezin bada. </w:t>
      </w:r>
      <w:r w:rsidRPr="00CB4958">
        <w:rPr>
          <w:rFonts w:ascii="Arial" w:hAnsi="Arial" w:cs="Arial"/>
          <w:sz w:val="24"/>
        </w:rPr>
        <w:lastRenderedPageBreak/>
        <w:t>Justifikazio hori arrazoi handiagoren batengatik gertatu beharko da, eta dagokion dokumentazioarekin justifikatu beharko da, hau da, euskaltegiak edo dagokion erakundeak emandako ikastaroa edo hizkuntza-eskakizuna gaindituta.</w:t>
      </w:r>
    </w:p>
    <w:p w14:paraId="1227AD3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72C1FE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Tokiz gaindiko proiektuak: II. eranskineko ereduaren arabera.</w:t>
      </w:r>
    </w:p>
    <w:p w14:paraId="12D16286"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5BD749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Kirolaren arloan:</w:t>
      </w:r>
    </w:p>
    <w:p w14:paraId="502E8A6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Jardueretarako:</w:t>
      </w:r>
    </w:p>
    <w:p w14:paraId="247FE76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Jardueraren edo programaren proiektua, II. eranskineko ereduaren arabera.</w:t>
      </w:r>
    </w:p>
    <w:p w14:paraId="59DC784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9FE7E2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Goi-mailako kirolarientzat:</w:t>
      </w:r>
    </w:p>
    <w:p w14:paraId="33397F0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Garatzen dituen jarduketen memoria: II. eranskineko ereduaren araberakoa.</w:t>
      </w:r>
    </w:p>
    <w:p w14:paraId="3FCAC426"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Estatuan edo nazioartean lortutako tituluak.</w:t>
      </w:r>
    </w:p>
    <w:p w14:paraId="60D3BDC5"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62411D9"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Eskatutako agiriak dagoeneko Udalaren esku badaude, eskatzaileak ez aurkezteko eskubidea baliatu ahal izango du, baldin eta prozedura amaitu zenetik bost urte baino gehiago igaro ez badira. Horretarako, agiriak noiz eta zein organo edo bulegotan aurkeztu edo jaulki ziren adierazi beharko du.</w:t>
      </w:r>
    </w:p>
    <w:p w14:paraId="20CD7F29"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6940CC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Eskabideak telematikoki aurkeztu ahal izango dira, Administrazio Publikoen Administrazio Prozedura Erkidearen 39/2015 Legean aurreikusitako baldintzetan.</w:t>
      </w:r>
    </w:p>
    <w:p w14:paraId="67901EC8" w14:textId="0CA3CECE" w:rsidR="00CB4958" w:rsidRDefault="00CB4958" w:rsidP="00CB4958">
      <w:pPr>
        <w:widowControl w:val="0"/>
        <w:autoSpaceDE w:val="0"/>
        <w:autoSpaceDN w:val="0"/>
        <w:adjustRightInd w:val="0"/>
        <w:ind w:right="-1"/>
        <w:jc w:val="both"/>
        <w:rPr>
          <w:rFonts w:ascii="Arial" w:hAnsi="Arial" w:cs="Arial"/>
          <w:sz w:val="24"/>
        </w:rPr>
      </w:pPr>
    </w:p>
    <w:p w14:paraId="67E46B0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Eskabideak Ordenantza honetan ezarritako baldintza guztiak betetzen ez baditu, organo eskudunak interesdunari eskatuko dio hamar eguneko gehieneko epe luzaezinean zuzen dezala eskaera, eta adieraziko dio hala egiten ez badu, eskaeran atzera egin duela ulertuko dela, 39/2015 Legearen 21. artikuluan aurreikusitako baldintzetan emandako ebazpenaren ondoren.</w:t>
      </w:r>
    </w:p>
    <w:p w14:paraId="40EA670C"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B80151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Prozeduraren instrukzioa:</w:t>
      </w:r>
    </w:p>
    <w:p w14:paraId="7BB61C79"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46F376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Instrukzio-organoaren buru arloko zinegotzi ordezkaria izango da, eta honako hauek osatuko dute: Kanpezu-Arabako Mendialdeko Kuadrillako gizarte- eta kultura-animazioko teknikariak eta dauden udal-talde bakoitzeko ordezkari batek. Horiek ofizioz egingo dituzte ebazpen-proposamena formulatzeko erabili behar diren datuak zehazteko, ezagutzeko eta egiaztatzeko beharrezkotzat jotzen dituzten jarduketa guztiak.</w:t>
      </w:r>
    </w:p>
    <w:p w14:paraId="09AC73F6"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7E9512D"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Instrukzio-organoak, deialdiaren hurrengo artikuluetan ezarritako irizpideen arabera aurkeztutako eskabideak alderatu ondoren, hasierako proposamena egingo dio udal-idazkariari, gehienez ere 15 eguneko epean, ebaluazioaren emaitza eta lehentasun-hurrenkeraren berri eman dezan.</w:t>
      </w:r>
    </w:p>
    <w:p w14:paraId="0CDBF6A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Instrukzio-organoak, espedientea eta udal-idazkaritzaren txostena ikusita, behin-behineko ebazpenaren proposamena egingo du, behar bezala arrazoituta.</w:t>
      </w:r>
    </w:p>
    <w:p w14:paraId="6D922D3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BDCD0C6"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Organo eskudunak, organo instrukzio-egileak proposatuta, dagokion ebazpena emango du, gehienez ere 6 hilabeteko epean, deialdia ALHAOn argitaratzen denetik aurrera. Gehienezko epea igaro eta berariazko ebazpenik eman ez bada, erakunde edo pertsona interesdunek eskabidea ezetsitzat jo ahal izango dute.</w:t>
      </w:r>
    </w:p>
    <w:p w14:paraId="01420E4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E2A852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Ebazpena positiboa bada, dirulaguntzaren zenbatekoa, ordaintzeko modua, programa edo jarduera, aurkeztu beharreko dokumentazioa eta zer baldintzatan ematen den adieraziko da, eta onuradunei jakinaraziko zaie, Administrazio Publikoen Administrazio Prozedura Erkidearen 39/2015 Legearen 42. eta 43. artikuluetan aurreikusitakoaren arabera.</w:t>
      </w:r>
    </w:p>
    <w:p w14:paraId="2043B87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10947A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emateko edo ukatzeko ebazpena erakunde edo pertsona eskatzaileari jakinaraziko zaio, Administrazio Publikoen Administrazio Prozedura Erkidearen 39/2015 Legearen 42. eta 43. artikuluetan aurreikusitako moduen arabera.</w:t>
      </w:r>
    </w:p>
    <w:p w14:paraId="3C0E02D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Ebazpenak amaiera emango dio administrazio-bideari, eta, beraren aurka, administrazioarekiko auzi-errekurtsoa jarri ahal izango da Vitoria-Gasteizko Administrazioarekiko Auzietako Epaitegietan, Administrazioarekiko Auzien Jurisdikzioa arautzen duen uztailaren 13ko 29/1998 Legearen 8. artikuluan aurreikusitakoaren arabera, jakinarazten denetik bi hilabeteko epean. Zuzenean aurkaratzen ez bada, aukerako berraztertzeko errekurtsoa aurkeztu ahal izango zaio ebazpena eman zuen organoari, hilabeteko epean, Administrazio Publikoen Administrazio Prozedura Erkidearen 39/2015 Legearen 123. eta 124. artikuluetan xedatutakoaren arabera.</w:t>
      </w:r>
    </w:p>
    <w:p w14:paraId="008FEF04"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341761A" w14:textId="594A68DC"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Dirulaguntzei buruzko azaroaren 17ko 38/2003 Lege Orokorraren arabera, behin betiko ebazpena oro har jakinaraziko da iragarki-taulan eta udalaren webgunean (</w:t>
      </w:r>
      <w:hyperlink r:id="rId8" w:history="1">
        <w:r w:rsidRPr="00064589">
          <w:rPr>
            <w:rStyle w:val="Hipervnculo"/>
            <w:rFonts w:ascii="Arial" w:hAnsi="Arial" w:cs="Arial"/>
            <w:sz w:val="24"/>
          </w:rPr>
          <w:t>www.kanpezu.eus</w:t>
        </w:r>
      </w:hyperlink>
      <w:r w:rsidRPr="00CB4958">
        <w:rPr>
          <w:rFonts w:ascii="Arial" w:hAnsi="Arial" w:cs="Arial"/>
          <w:sz w:val="24"/>
        </w:rPr>
        <w:t>).</w:t>
      </w:r>
    </w:p>
    <w:p w14:paraId="66E0C699" w14:textId="401EC759" w:rsidR="00CB4958" w:rsidRDefault="00CB4958" w:rsidP="00CB4958">
      <w:pPr>
        <w:widowControl w:val="0"/>
        <w:autoSpaceDE w:val="0"/>
        <w:autoSpaceDN w:val="0"/>
        <w:adjustRightInd w:val="0"/>
        <w:ind w:right="-1"/>
        <w:jc w:val="both"/>
        <w:rPr>
          <w:rFonts w:ascii="Arial" w:hAnsi="Arial" w:cs="Arial"/>
          <w:sz w:val="24"/>
        </w:rPr>
      </w:pPr>
    </w:p>
    <w:p w14:paraId="03C0853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5. artikulua. Dirulaguntzak esleitzeko irizpideak</w:t>
      </w:r>
    </w:p>
    <w:p w14:paraId="0BC2EDF1"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02EE60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Tokiz gaindiko jarduera eta proiektuetarako:</w:t>
      </w:r>
    </w:p>
    <w:p w14:paraId="323C871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 Proiektuaren kalitatea eta bideragarritasuna.* Proiektuak udalerriko garapen eta gizarte-ongizatean duen eragina eta ekarpena.* Proiektuaren originaltasuna.* Onuradunen kopurua, inplikatutako kolektiboak eta esku-hartzearen hartzaile izan den publikoa.* Proiektuak gauzatzeko bermeak, eta eskura dauden giza baliabideak, baliabide materialak eta teknikoak.* Aurrekontua egokitzea, elkarteak edo erakundeak bere gain hartzen dituen kostuak eta finantzabideak.* Euskararen erabilera egin beharreko programa edo jardueretan.* Tokiko bizitzako berriak zabaltzea.* Erakundearen eta udalaren arteko lankidetza gizarte-, kultura- eta kirol-arloan udalaren esku-hartzean.* Genero-ikuspegia txertatzea.* Udalak egin gabeko jarduerak.* Begirale gabezia inguruan.* Goi-mailako kirolarientzako laguntzetan, lortutako kirol-lorpenak aintzat hartzeari </w:t>
      </w:r>
      <w:r w:rsidRPr="00CB4958">
        <w:rPr>
          <w:rFonts w:ascii="Arial" w:hAnsi="Arial" w:cs="Arial"/>
          <w:sz w:val="24"/>
        </w:rPr>
        <w:lastRenderedPageBreak/>
        <w:t>buruzko foru-araudian xedatutakoa beteko da.</w:t>
      </w:r>
    </w:p>
    <w:p w14:paraId="57168B2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6E5AAF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Beketarako:</w:t>
      </w:r>
    </w:p>
    <w:p w14:paraId="03DD98D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Hezkuntza-</w:t>
      </w:r>
      <w:proofErr w:type="gramStart"/>
      <w:r w:rsidRPr="00CB4958">
        <w:rPr>
          <w:rFonts w:ascii="Arial" w:hAnsi="Arial" w:cs="Arial"/>
          <w:sz w:val="24"/>
        </w:rPr>
        <w:t>proiektua.*</w:t>
      </w:r>
      <w:proofErr w:type="gramEnd"/>
      <w:r w:rsidRPr="00CB4958">
        <w:rPr>
          <w:rFonts w:ascii="Arial" w:hAnsi="Arial" w:cs="Arial"/>
          <w:sz w:val="24"/>
        </w:rPr>
        <w:t xml:space="preserve"> Iraupena.* Ikastaroa ematen duen erakundea.* Genero-ikuspegia txertatzea.</w:t>
      </w:r>
    </w:p>
    <w:p w14:paraId="673DE771"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CE4CAB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6. artikulua. Onuradunen betebeharrak</w:t>
      </w:r>
    </w:p>
    <w:p w14:paraId="0042BC0F"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B35478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Onuradunen betebeharrak honako hauek dira:</w:t>
      </w:r>
    </w:p>
    <w:p w14:paraId="66066CE6"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Helburua betetzea, proiektua gauzatzea, jarduera egitea edo dirulaguntza emateko oinarri den jokabidea hartzea.</w:t>
      </w:r>
    </w:p>
    <w:p w14:paraId="1F8C8DC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Dirulaguntza ematen duen organoaren edo, hala badagokio, erakunde laguntzailearen aurrean justifikatzea betekizunak eta baldintzak betetzen direla, bai eta jarduera egin dela eta dirulaguntza ematea edo baliatzea eragin duen helburua bete dela ere.</w:t>
      </w:r>
    </w:p>
    <w:p w14:paraId="6E278CB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Organo emaileak edo, hala badagokio, erakunde laguntzaileak egin beharreko egiaztapen-jarduketei men egitea, bai eta kontrol-organo eskudunek, nazionalek zein Europako Erkidegokoek, finantza-egiaztapeneko eta -kontroleko beste edozein jarduketei ere, aurreko jarduketetan eskatzen zaien informazio guztia emanez.</w:t>
      </w:r>
    </w:p>
    <w:p w14:paraId="7E4E33A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Dirulaguntza eman duen organoari edo erakunde laguntzaileari jakinaraztea diruz lagundutako jarduerak finantzatzeko beste dirulaguntza, laguntza, diru-sarrera edo baliabide batzuk lortu direla.</w:t>
      </w:r>
    </w:p>
    <w:p w14:paraId="191F77BD"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Ebazpen-proposamena eman aurretik, zerga-betebeharrak eta Gizarte Segurantzarekikoak egunean dituela egiaztatzea, hala eskatuz gero.</w:t>
      </w:r>
    </w:p>
    <w:p w14:paraId="77D28535" w14:textId="5F0208EE"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Kontabilitate-liburuak, izapidetutako erregistroak eta behar bezala ikuskatutako gainerako dokumentuak edukitzea, kasu bakoitzean onuradunari aplika dakiokeen merkataritzako eta sektoreko legeriak eskatzen duen moduan.</w:t>
      </w:r>
    </w:p>
    <w:p w14:paraId="6C1D68DA" w14:textId="1CBF6217" w:rsidR="00CB4958" w:rsidRDefault="00CB4958" w:rsidP="00CB4958">
      <w:pPr>
        <w:widowControl w:val="0"/>
        <w:autoSpaceDE w:val="0"/>
        <w:autoSpaceDN w:val="0"/>
        <w:adjustRightInd w:val="0"/>
        <w:ind w:right="-1"/>
        <w:jc w:val="both"/>
        <w:rPr>
          <w:rFonts w:ascii="Arial" w:hAnsi="Arial" w:cs="Arial"/>
          <w:sz w:val="24"/>
        </w:rPr>
      </w:pPr>
    </w:p>
    <w:p w14:paraId="4F720F46"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Jasotako funtsen aplikazioa justifikatzen duten dokumentuak gordetzea, dokumentu elektronikoak barne, egiaztapen- eta kontrol-jardueren xede izan daitezkeelako.</w:t>
      </w:r>
    </w:p>
    <w:p w14:paraId="65C0DFC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Dirulaguntza jaso dezaketen programa, jarduera, inbertsio edo jardueren finantzaketaren publizitate publiko egokia ematea.</w:t>
      </w:r>
    </w:p>
    <w:p w14:paraId="3355859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Dirua itzultzeko arrazoiren bat gertatzen ari bada, jasotako zenbatekoa itzuli beharko da.</w:t>
      </w:r>
    </w:p>
    <w:p w14:paraId="72F404A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Liburuak edo liburuxkak inprimatuta argitaratzen badira, bi ale aurkeztu beharko dira udal-gordailurako.</w:t>
      </w:r>
    </w:p>
    <w:p w14:paraId="1664012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Kanpezuko Udalaren logoa iragartzea, egindako jarduera guztietan organo laguntzaile gisa.</w:t>
      </w:r>
    </w:p>
    <w:p w14:paraId="158CA70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FEFC4E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7. artikulua. Zenbatekoa</w:t>
      </w:r>
    </w:p>
    <w:p w14:paraId="3C61AF34"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A8B3D3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Kasu bakoitzean diruz lagunduko den jardueraren, eskabideen eta aurrekontu-</w:t>
      </w:r>
      <w:r w:rsidRPr="00CB4958">
        <w:rPr>
          <w:rFonts w:ascii="Arial" w:hAnsi="Arial" w:cs="Arial"/>
          <w:sz w:val="24"/>
        </w:rPr>
        <w:lastRenderedPageBreak/>
        <w:t>partidaren arabera finkatu beharko dira zenbatekoak:</w:t>
      </w:r>
    </w:p>
    <w:p w14:paraId="1AB7A92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2E18FB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Kulturaren arloan:</w:t>
      </w:r>
    </w:p>
    <w:p w14:paraId="7253490D"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Gizarte-, kultura- eta prestakuntza-jarduerak</w:t>
      </w:r>
    </w:p>
    <w:p w14:paraId="0026754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Haur eta/edo gazteei zuzendutako hezkuntza, aisia eta denbora librea</w:t>
      </w:r>
    </w:p>
    <w:p w14:paraId="5E6EF54B"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Arte-talde amateurrentzako materiala erosteko laguntzak: material instrumentala, partiturak, antzerki-materiala/jantziak, etab.</w:t>
      </w:r>
    </w:p>
    <w:p w14:paraId="61C534C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Ikuskizunak antolatu eta garatzeko dirulaguntzak</w:t>
      </w:r>
    </w:p>
    <w:p w14:paraId="6586D28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Bisita kulturalak egiteko laguntzak</w:t>
      </w:r>
    </w:p>
    <w:p w14:paraId="0047077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Laguntzak: Adinekoen gizarte-bidaiak</w:t>
      </w:r>
    </w:p>
    <w:p w14:paraId="3FF54CB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diruz lagun daitekeen aurrekontuaren ehuneko 50era arte, 500 eurora arte, eta gehienez bi proiektu eskabide bakoitzeko.</w:t>
      </w:r>
    </w:p>
    <w:p w14:paraId="408C2FE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D1717C5"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9F7D2C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Begiraleak eta/edo animatzaileak prestatzeko programetan parte hartzeko bekak edo laguntzak (haurrak, gazteak, hirugarren adinekoak, etab.), eta idatzizko edo formatu digitaleko edizioak sustatzeko eta garatzeko laguntzak: diruz lagun daitekeen aurrekontuaren % 30, gehienez, 400 euro.</w:t>
      </w:r>
    </w:p>
    <w:p w14:paraId="135D2F6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8F11EF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Euskararen arloan:</w:t>
      </w:r>
    </w:p>
    <w:p w14:paraId="553EF18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Bekak: bekaren zenbatekoa gehienez matrikula-kostuaren ehuneko 50 izango da, eskaeren eta aurrekontu-partidaren arabera. Gehienez 200 euro.</w:t>
      </w:r>
    </w:p>
    <w:p w14:paraId="6AC4C09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522CA65" w14:textId="7C81D056"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Tokiz gaindiko proiektuak: diruz lagun daitekeen aurrekontuaren ehuneko 50, gehienez, eta 300 euro, gehienez, jarduera bakoitzeko; eskaera bakoitzeko, gehienez ere, bi proiektu.</w:t>
      </w:r>
    </w:p>
    <w:p w14:paraId="1B226F7A" w14:textId="07825216" w:rsidR="00CB4958" w:rsidRDefault="00CB4958" w:rsidP="00CB4958">
      <w:pPr>
        <w:widowControl w:val="0"/>
        <w:autoSpaceDE w:val="0"/>
        <w:autoSpaceDN w:val="0"/>
        <w:adjustRightInd w:val="0"/>
        <w:ind w:right="-1"/>
        <w:jc w:val="both"/>
        <w:rPr>
          <w:rFonts w:ascii="Arial" w:hAnsi="Arial" w:cs="Arial"/>
          <w:sz w:val="24"/>
        </w:rPr>
      </w:pPr>
    </w:p>
    <w:p w14:paraId="3C9AC61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Kirolaren arloan:</w:t>
      </w:r>
    </w:p>
    <w:p w14:paraId="18AD27E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Kirol-jardueren programetarako laguntzak: Diruz lagun daitekeen aurrekontuaren % 70, gehienez, honako kontzeptu hauengatik: federazio-gastuak, arbitrajeak, entrenatzaileak kontratatzea, telefono-, farmazia- eta mediku-azterketak, ekipoetarako ekipazioa erostea eta lekualdaketa- eta desplazamendu-gastuak (erregaia, ibilgailuen alokairuak, etab.).</w:t>
      </w:r>
    </w:p>
    <w:p w14:paraId="45DFDB4C"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7ECD66A"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Kontzeptu horiengatiko dirulaguntzaren gehieneko zenbatekoa 2.900 eurokoa izango da. Kanpoan geratzen dira elkarteen barne-funtzionamenduko eta kudeaketako gastuak eta Klub edo Elkarteari ezarritako zigorrek eragindako federazio-gastuak.</w:t>
      </w:r>
    </w:p>
    <w:p w14:paraId="13EA7840"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513FDA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Kirol-ekitaldiak antolatzeko eta garatzeko laguntzak: aurrekontuaren % 40, gehienez, 600 euro.</w:t>
      </w:r>
    </w:p>
    <w:p w14:paraId="0AF5BCD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 Oinarrizko kirola sustatzeko laguntzak: 30 euroko ekarpena Kirol Elkartean edo Klubean izena emanda dagoen udalerriko haur bakoitzeko, udalerrian garatzen dituen kirol-jardueretakoren batean parte hartuz. Ez da eskola-kirolaritzat hartuko </w:t>
      </w:r>
      <w:r w:rsidRPr="00CB4958">
        <w:rPr>
          <w:rFonts w:ascii="Arial" w:hAnsi="Arial" w:cs="Arial"/>
          <w:sz w:val="24"/>
        </w:rPr>
        <w:lastRenderedPageBreak/>
        <w:t>kadete adina gainditzen duenean.</w:t>
      </w:r>
    </w:p>
    <w:p w14:paraId="105961AA"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Dirulaguntzaren gehieneko zenbatekoa aurrekontuaren ehuneko 40 izango da, 600 euro gehienez.</w:t>
      </w:r>
    </w:p>
    <w:p w14:paraId="50047207"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597440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Goi-mailako kirolarientzako laguntzak: Diruz lagun daitekeen aurrekontuaren % 70, gehienez ere, honako kontzeptu hauengatik: federazio-gastuak, entrenatzaileak kontratatzea, azterketa medikoak, ekipazioa erostea eta lekualdaketa- eta desplazamendu-gastuak. Kontzeptu horiengatiko dirulaguntzaren gehieneko zenbatekoa 600 eurokoa izango da.</w:t>
      </w:r>
    </w:p>
    <w:p w14:paraId="2719469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FB6C3DD"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Kasu guztietan, eta baliabide partikularrekin egiten badira, lekualdaketek eta joan-etorriek eragindako gastuak justifikatu ahal izango dira, herritik kanpo egin beharreko jardueren egutegi ofizialak aurkeztuta.</w:t>
      </w:r>
    </w:p>
    <w:p w14:paraId="7184AC0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9C98CD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Dirulaguntzetako batean ere ez dira diruz lagunduko honako hauek: ondasun higigarriak eta higiezinak erosi, konpondu eta zaharberritzeko gastuak; banku-kontuen interes zordunak; interesak, errekarguak eta zehapen administratibo eta penalak; prozedura judizialen gastuak; elkarteen barne-funtzionamenduko eta kudeaketako gastuak, bai eta jardueretan erabiltzen diren ondasun kontsumigarri edo jangarriak ere; jardueren zabalkundeari dagokion publizitatearen gastuak, ezta elkartearen web-orria mantentzeko xedea dutenak ere; eta Udalak eskainitako proiektuen paraleloak, udalaren esku-hartzearen osagarri ez bada.</w:t>
      </w:r>
    </w:p>
    <w:p w14:paraId="2D93C499" w14:textId="5D8A8044" w:rsidR="00CB4958" w:rsidRDefault="00CB4958" w:rsidP="00CB4958">
      <w:pPr>
        <w:widowControl w:val="0"/>
        <w:autoSpaceDE w:val="0"/>
        <w:autoSpaceDN w:val="0"/>
        <w:adjustRightInd w:val="0"/>
        <w:ind w:right="-1"/>
        <w:jc w:val="both"/>
        <w:rPr>
          <w:rFonts w:ascii="Arial" w:hAnsi="Arial" w:cs="Arial"/>
          <w:sz w:val="24"/>
        </w:rPr>
      </w:pPr>
    </w:p>
    <w:p w14:paraId="00EDB16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Eskaera-kopurua eta jaso beharreko zenbatekoak kontuan hartuta, hainbestekoak ehunka kopurutan murriztu beharko balira, aurrekontu-partidara egokitzeko, murrizketa jarduera guztien proportzioan ezarriko litzateke.</w:t>
      </w:r>
    </w:p>
    <w:p w14:paraId="39BB8EF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B69603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8. artikulua. Justifikazioa eta kobrantza</w:t>
      </w:r>
    </w:p>
    <w:p w14:paraId="449C2CC4"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66E238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jasotzeko, honako agiri hauek aurkeztu beharko zaizkio Udalari:</w:t>
      </w:r>
    </w:p>
    <w:p w14:paraId="3A5516E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D5D871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Tokiz gaindiko jarduera eta proiektuetarako:</w:t>
      </w:r>
    </w:p>
    <w:p w14:paraId="38148D5E"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Eredu ofizialaren araberako eskabidea. (III. eranskina)</w:t>
      </w:r>
    </w:p>
    <w:p w14:paraId="07802D7D"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Kanpezuko Udalaren logoaren publizitatea, egindako jarduera guztietan organo laguntzaile gisa.</w:t>
      </w:r>
    </w:p>
    <w:p w14:paraId="5B5DBBD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5FB55F6"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Beketarako:</w:t>
      </w:r>
    </w:p>
    <w:p w14:paraId="061D7CB6"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Eredu ofizialaren araberako eskabidea. (III. eranskina)</w:t>
      </w:r>
    </w:p>
    <w:p w14:paraId="34460A64"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Ikastaroko eskola-orduen ehuneko 75era joan izanaren egiaztagiria eta/edo, hala badagokio, gainditzeko probak ofizialki baliozkotu dituzten erakundeek ikastaroa edo ikastaroak gainditu izanaren egiaztagiria, eta, bertaratzea justifikatu ezin bada, dagokion euskaltegiak edo erakundeak emandako ikastaroa edo hizkuntza-eskakizuna gainditu izanaren egiaztagiria.</w:t>
      </w:r>
    </w:p>
    <w:p w14:paraId="7E09619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Era berean, ez dira justifikazio-gastu gisa onartuko PFEZren konturako </w:t>
      </w:r>
      <w:r w:rsidRPr="00CB4958">
        <w:rPr>
          <w:rFonts w:ascii="Arial" w:hAnsi="Arial" w:cs="Arial"/>
          <w:sz w:val="24"/>
        </w:rPr>
        <w:lastRenderedPageBreak/>
        <w:t>atxikipenen arloan (pertsona fisikoen errentaren gaineko zerga) zerga-araudia betetzen ez duten fakturak edo ordainagiriak.</w:t>
      </w:r>
    </w:p>
    <w:p w14:paraId="48F2A23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F4624A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Dirulaguntzen justifikazioan bitarteko elektroniko, informatiko eta telematikoen erabilera arautzen duen uztailaren 17ko EHA/2261/2007 Aginduan ezarritakoaren arabera, faktura elektronikoak justifikazio-bide gisa erabiltzea onartuko da.</w:t>
      </w:r>
    </w:p>
    <w:p w14:paraId="60F7BF47"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B71E6A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Halaber, faktura elektronikoak aurkeztuz gero, horien formatua Factura-e eta Ef4ktur estandarretara egokituko da. Elektronikoki sinatutako beste edozein dokumentu aurkeztuz gero, 11/2007 Legearen@firma plataformak onartzen dituen ziurtagiriak onartuko dira, urtarrilaren 8ko 4/2010 Errege Dekretuarekin bat etorriz (4/2010 Errege Dekretua, urtarrilaren 8koa, administrazio elektronikoaren esparruan elkarreragingarritasunaren eskema nazionala arautzen duena) (http: www.dnielectronico.es/seccion aapp/rel autoridades.html)</w:t>
      </w:r>
    </w:p>
    <w:p w14:paraId="7BA96E2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567A36C" w14:textId="6C7C0DD1" w:rsid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Onuradunek oinarri hauetan jasotako betebeharrak eta zehaztapenak betetzen ez badituzte, dirulaguntza ezeztatu ahal izango da, eta itzultzeko prozedura egokitu egingo da</w:t>
      </w:r>
      <w:r>
        <w:rPr>
          <w:rFonts w:ascii="Arial" w:hAnsi="Arial" w:cs="Arial"/>
          <w:sz w:val="24"/>
        </w:rPr>
        <w:t>.</w:t>
      </w:r>
    </w:p>
    <w:p w14:paraId="6E2AFACB" w14:textId="6E0DB9E2" w:rsidR="00CB4958" w:rsidRDefault="00CB4958" w:rsidP="00CB4958">
      <w:pPr>
        <w:widowControl w:val="0"/>
        <w:autoSpaceDE w:val="0"/>
        <w:autoSpaceDN w:val="0"/>
        <w:adjustRightInd w:val="0"/>
        <w:ind w:right="-1"/>
        <w:jc w:val="both"/>
        <w:rPr>
          <w:rFonts w:ascii="Arial" w:hAnsi="Arial" w:cs="Arial"/>
          <w:sz w:val="24"/>
        </w:rPr>
      </w:pPr>
    </w:p>
    <w:p w14:paraId="1BFAB83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Kanpezuko Udalaren Dirulaguntzen Udal Ordenantzan araututakoari emandako dirulaguntza.</w:t>
      </w:r>
    </w:p>
    <w:p w14:paraId="7C79CFAC"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820F47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Justifikazio-agiriak hurrengo urteko urtarrilaren 31ra arte aurkeztu ahal izango dira.</w:t>
      </w:r>
    </w:p>
    <w:p w14:paraId="534E6FBC"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321739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9. artikulua. Itzulketa</w:t>
      </w:r>
    </w:p>
    <w:p w14:paraId="355C17BC"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90763C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Jasotako zenbatekoak itzuli egin beharko dira, eta berandutze-interesa eskatuko da dirulaguntza ordaintzen denetik itzulketa bidezkoa dela erabakitzen den egunera arte, Dirulaguntzei buruzko Lege Orokorraren 38.2 artikuluan ezarritako zenbatekoan, Ordenantza Orokorraren 12. artikuluan adierazitako kasuetan.</w:t>
      </w:r>
    </w:p>
    <w:p w14:paraId="1B8AFFD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3E869AD3"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10. artikulua. Berme-neurriak</w:t>
      </w:r>
    </w:p>
    <w:p w14:paraId="4CEE6CD0"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1D1516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 ematen duen organoak egoki iritzitako administrazio-kontrolak eta ikuskapenak egin ahal izango ditu, aurkeztutako dokumentazioan jasotako datuak egiazkoak diren eta laguntza jasotzeko baldintzak betetzen diren egiaztatzeko.</w:t>
      </w:r>
    </w:p>
    <w:p w14:paraId="062E026B"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E1F7659"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Onuradunak ikuskapen horretan lagundu beharko du, eskatutako datuak emanez eta, hala badagokio, jarduerak egiteko erabiltzen diren bulegoetarako sarbidea erraztuz.</w:t>
      </w:r>
    </w:p>
    <w:p w14:paraId="080C0602"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04F2DC1"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lastRenderedPageBreak/>
        <w:t>11. artikulua. Ordainketa aurreratuak eta konturako ordainketak.</w:t>
      </w:r>
    </w:p>
    <w:p w14:paraId="089B1358"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4041BC5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Organo eskudunak dirulaguntzak ebazten dituenetik aurrera, eta eskatzen den guztietan, dirulaguntzaren ehuneko 40 ordainduko da hogeita hamar eguneko epean, eta gainerako ehuneko 60 justifikazioa aurkezten denean.</w:t>
      </w:r>
    </w:p>
    <w:p w14:paraId="34E3E166"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54AE6F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12. artikulua. Dirulaguntzen bateragarritasuna</w:t>
      </w:r>
    </w:p>
    <w:p w14:paraId="458A59B5"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67A04A6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Laguntza hauek bateragarriak izango dira beste edozein dirulaguntza edo laguntzarekin, 1. artikuluan kulturaren arloan jasotako 7. puntuan jasotako laguntzarekin izan ezik.</w:t>
      </w:r>
    </w:p>
    <w:p w14:paraId="0B52F62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8B9505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Dirulaguntzaren zenbatekoa, bakarka hartuta edo beste dirulaguntza, laguntza, diru-sarrera edo baliabide batzuekin batera, ezingo da izan, inola ere, diruz lagundutako jardueraren kostua baino handiagoa.</w:t>
      </w:r>
    </w:p>
    <w:p w14:paraId="484BF937"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BCC831D"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Onuradunak organo emaileari edo erakunde laguntzaileari jakinarazi beharko dio dirulaguntzak, laguntza publikoak,</w:t>
      </w:r>
      <w:r>
        <w:rPr>
          <w:rFonts w:ascii="Arial" w:hAnsi="Arial" w:cs="Arial"/>
          <w:sz w:val="24"/>
        </w:rPr>
        <w:t xml:space="preserve"> </w:t>
      </w:r>
      <w:r w:rsidRPr="00CB4958">
        <w:rPr>
          <w:rFonts w:ascii="Arial" w:hAnsi="Arial" w:cs="Arial"/>
          <w:sz w:val="24"/>
        </w:rPr>
        <w:t>helburu bererako diru-sarrerak edo baliabideak.</w:t>
      </w:r>
    </w:p>
    <w:p w14:paraId="0FCEC063"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9B74912"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Beste laguntzarik jaso ez bada, zinpeko aitorpena aurkeztu beharko da.</w:t>
      </w:r>
    </w:p>
    <w:p w14:paraId="577AE65E"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0E49225"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13. artikulua. Arau-hausteak eta zehapenak</w:t>
      </w:r>
    </w:p>
    <w:p w14:paraId="7BC761C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2AFF861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Arau-hausteak eta zehapenak dirulaguntzak ematea arautzen duen ordenantza orokorreko 16. artikulutik 18.era bitartekoetan ezarritakoak izango dira.</w:t>
      </w:r>
    </w:p>
    <w:p w14:paraId="27C8A03D"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6B80340"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14. artikulua. Araudi aplikagarria.</w:t>
      </w:r>
    </w:p>
    <w:p w14:paraId="6C6185D7"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74586FE7"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Oinarri hauetan aurreikusi gabekoari dagokionez, Toki Araubidearen araudian, Administrazio Publikoen Administrazio Prozedura Erkidearen 39/2015 Legean, Dirulaguntzei buruzko azaroaren 17ko 38/2003 Lege Orokorrean, uztailaren 21eko 887/2006 Errege Dekretuan eta Dirulaguntzei buruzko Udal Ordenantzan eta gainerako araudi aplikagarrian ezarritakoari jarraituko zaio.</w:t>
      </w:r>
    </w:p>
    <w:p w14:paraId="7FC9F935"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026A760C"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Deialdi honen aurka administrazioarekiko auzi-errekurtsoa jarri ahal izango da zuzenean Vitoria-Gasteizko epaitegietan, bi hilabeteko epean, deialdia ALHAOn argitaratu eta hurrengo egunetik aurrera, edo aukerako berraztertzeko errekurtsoa jarri ahal izango da deialdia onartu duen organoaren aurrean, hilabeteko epean, deialdia ALHAOn argitaratu eta hurrengo egunetik aurrera.</w:t>
      </w:r>
    </w:p>
    <w:p w14:paraId="493F4D5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C8748DF"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15. artikulua. Datu pertsonalen babesa.</w:t>
      </w:r>
    </w:p>
    <w:p w14:paraId="0D034EF5"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52F8CC78" w14:textId="77777777" w:rsidR="00CB4958" w:rsidRPr="00CB495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 xml:space="preserve">Datu Pertsonalak Babesteari eta Eskubide Digitalak Bermatzeari buruzko </w:t>
      </w:r>
      <w:r w:rsidRPr="00CB4958">
        <w:rPr>
          <w:rFonts w:ascii="Arial" w:hAnsi="Arial" w:cs="Arial"/>
          <w:sz w:val="24"/>
        </w:rPr>
        <w:lastRenderedPageBreak/>
        <w:t>abenduaren 5eko 3/2018 Lege Organikoarekin eta Datu Pertsonaletarako Jabetza Publikoko Fitxategiei eta Datuak Babesteko Euskal Bulegoa Sortzeari buruzko otsailaren 25eko 2/2004 Legearekin bat etorriz, deialdi hau izapidetzean jasotako datu pertsonalak Kanpezuko Udalari dagokion fitxategian sartuko dira, Kanpezuko Udalaren fitxategi pertsonalak sortzeko eta aldatzeko arauan, eta deialdi honi buruzko edozein gai orokor taldeka jakinarazteko erabili ahal izango dira.</w:t>
      </w:r>
    </w:p>
    <w:p w14:paraId="2DC8EBAA" w14:textId="77777777" w:rsidR="00CB4958" w:rsidRPr="00CB4958" w:rsidRDefault="00CB4958" w:rsidP="00CB4958">
      <w:pPr>
        <w:widowControl w:val="0"/>
        <w:autoSpaceDE w:val="0"/>
        <w:autoSpaceDN w:val="0"/>
        <w:adjustRightInd w:val="0"/>
        <w:ind w:right="-1"/>
        <w:jc w:val="both"/>
        <w:rPr>
          <w:rFonts w:ascii="Arial" w:hAnsi="Arial" w:cs="Arial"/>
          <w:sz w:val="24"/>
        </w:rPr>
      </w:pPr>
    </w:p>
    <w:p w14:paraId="1FA10A8A" w14:textId="1005AAF5" w:rsidR="00CB4958" w:rsidRPr="000E0388" w:rsidRDefault="00CB4958" w:rsidP="00CB4958">
      <w:pPr>
        <w:widowControl w:val="0"/>
        <w:autoSpaceDE w:val="0"/>
        <w:autoSpaceDN w:val="0"/>
        <w:adjustRightInd w:val="0"/>
        <w:ind w:right="-1"/>
        <w:jc w:val="both"/>
        <w:rPr>
          <w:rFonts w:ascii="Arial" w:hAnsi="Arial" w:cs="Arial"/>
          <w:sz w:val="24"/>
        </w:rPr>
      </w:pPr>
      <w:r w:rsidRPr="00CB4958">
        <w:rPr>
          <w:rFonts w:ascii="Arial" w:hAnsi="Arial" w:cs="Arial"/>
          <w:sz w:val="24"/>
        </w:rPr>
        <w:t>Datuak eskuratzeko, zuzentzeko, ezerezteko eta aurka egiteko eskubideak Kanpezuko Udalean baliatu ahal izango dira.</w:t>
      </w:r>
    </w:p>
    <w:sectPr w:rsidR="00CB4958" w:rsidRPr="000E0388">
      <w:headerReference w:type="default" r:id="rId9"/>
      <w:footerReference w:type="default" r:id="rId10"/>
      <w:pgSz w:w="11906" w:h="16838"/>
      <w:pgMar w:top="2325" w:right="1701" w:bottom="1417"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57DA5" w14:textId="77777777" w:rsidR="00C4778E" w:rsidRDefault="00C4778E">
      <w:r>
        <w:separator/>
      </w:r>
    </w:p>
  </w:endnote>
  <w:endnote w:type="continuationSeparator" w:id="0">
    <w:p w14:paraId="314BE783" w14:textId="77777777" w:rsidR="00C4778E" w:rsidRDefault="00C4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075886"/>
      <w:docPartObj>
        <w:docPartGallery w:val="Page Numbers (Bottom of Page)"/>
        <w:docPartUnique/>
      </w:docPartObj>
    </w:sdtPr>
    <w:sdtEndPr/>
    <w:sdtContent>
      <w:p w14:paraId="3717C08C" w14:textId="71848AD0" w:rsidR="000E0388" w:rsidRDefault="000E0388">
        <w:pPr>
          <w:pStyle w:val="Piedepgina"/>
          <w:jc w:val="right"/>
        </w:pPr>
        <w:r>
          <w:fldChar w:fldCharType="begin"/>
        </w:r>
        <w:r>
          <w:instrText>PAGE   \* MERGEFORMAT</w:instrText>
        </w:r>
        <w:r>
          <w:fldChar w:fldCharType="separate"/>
        </w:r>
        <w:r w:rsidR="00777F99">
          <w:rPr>
            <w:noProof/>
          </w:rPr>
          <w:t>12</w:t>
        </w:r>
        <w:r>
          <w:fldChar w:fldCharType="end"/>
        </w:r>
      </w:p>
    </w:sdtContent>
  </w:sdt>
  <w:p w14:paraId="3FD07346" w14:textId="77777777" w:rsidR="000E0388" w:rsidRDefault="000E038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87EA3" w14:textId="77777777" w:rsidR="00C4778E" w:rsidRDefault="00C4778E">
      <w:r>
        <w:separator/>
      </w:r>
    </w:p>
  </w:footnote>
  <w:footnote w:type="continuationSeparator" w:id="0">
    <w:p w14:paraId="242618E5" w14:textId="77777777" w:rsidR="00C4778E" w:rsidRDefault="00C477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ayout w:type="fixed"/>
      <w:tblCellMar>
        <w:left w:w="70" w:type="dxa"/>
        <w:right w:w="70" w:type="dxa"/>
      </w:tblCellMar>
      <w:tblLook w:val="0000" w:firstRow="0" w:lastRow="0" w:firstColumn="0" w:lastColumn="0" w:noHBand="0" w:noVBand="0"/>
    </w:tblPr>
    <w:tblGrid>
      <w:gridCol w:w="4820"/>
      <w:gridCol w:w="1701"/>
      <w:gridCol w:w="4820"/>
    </w:tblGrid>
    <w:tr w:rsidR="00D85C82" w14:paraId="41C7079A" w14:textId="77777777">
      <w:trPr>
        <w:trHeight w:val="1275"/>
        <w:jc w:val="center"/>
      </w:trPr>
      <w:tc>
        <w:tcPr>
          <w:tcW w:w="4820" w:type="dxa"/>
          <w:vAlign w:val="center"/>
        </w:tcPr>
        <w:p w14:paraId="4493080E" w14:textId="610AEBEF" w:rsidR="00D85C82" w:rsidRDefault="00D85C82">
          <w:pPr>
            <w:ind w:left="229"/>
            <w:jc w:val="center"/>
            <w:rPr>
              <w:b/>
              <w:noProof/>
            </w:rPr>
          </w:pPr>
          <w:r>
            <w:rPr>
              <w:b/>
              <w:noProof/>
            </w:rPr>
            <w:t>AYUNTAMIENTO</w:t>
          </w:r>
        </w:p>
        <w:p w14:paraId="57A8E1D1" w14:textId="77777777" w:rsidR="00D85C82" w:rsidRDefault="00D85C82">
          <w:pPr>
            <w:ind w:left="229"/>
            <w:jc w:val="center"/>
            <w:rPr>
              <w:b/>
            </w:rPr>
          </w:pPr>
          <w:r>
            <w:rPr>
              <w:b/>
              <w:noProof/>
            </w:rPr>
            <w:t xml:space="preserve">DE </w:t>
          </w:r>
          <w:r>
            <w:rPr>
              <w:b/>
            </w:rPr>
            <w:t>CAMPEZO</w:t>
          </w:r>
        </w:p>
        <w:p w14:paraId="04EBFBE0" w14:textId="77777777" w:rsidR="00D85C82" w:rsidRDefault="00D85C82">
          <w:pPr>
            <w:jc w:val="center"/>
            <w:rPr>
              <w:b/>
            </w:rPr>
          </w:pPr>
          <w:r>
            <w:rPr>
              <w:b/>
            </w:rPr>
            <w:t>(</w:t>
          </w:r>
          <w:r>
            <w:rPr>
              <w:b/>
              <w:i/>
            </w:rPr>
            <w:t>ALAVA</w:t>
          </w:r>
          <w:r>
            <w:rPr>
              <w:b/>
            </w:rPr>
            <w:t>)</w:t>
          </w:r>
        </w:p>
      </w:tc>
      <w:tc>
        <w:tcPr>
          <w:tcW w:w="1701" w:type="dxa"/>
          <w:vAlign w:val="center"/>
        </w:tcPr>
        <w:p w14:paraId="6C2A77E5" w14:textId="7B0A2D53" w:rsidR="00D85C82" w:rsidRDefault="001334EE">
          <w:pPr>
            <w:jc w:val="center"/>
            <w:rPr>
              <w:sz w:val="20"/>
            </w:rPr>
          </w:pPr>
          <w:r>
            <w:rPr>
              <w:b/>
              <w:noProof/>
              <w:lang w:val="en-GB" w:eastAsia="en-GB"/>
            </w:rPr>
            <w:drawing>
              <wp:anchor distT="0" distB="0" distL="114300" distR="114300" simplePos="0" relativeHeight="251657728" behindDoc="0" locked="0" layoutInCell="0" allowOverlap="1" wp14:anchorId="6A4C6373" wp14:editId="05B31C7A">
                <wp:simplePos x="0" y="0"/>
                <wp:positionH relativeFrom="column">
                  <wp:posOffset>205105</wp:posOffset>
                </wp:positionH>
                <wp:positionV relativeFrom="paragraph">
                  <wp:posOffset>302895</wp:posOffset>
                </wp:positionV>
                <wp:extent cx="635635" cy="745490"/>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745490"/>
                        </a:xfrm>
                        <a:prstGeom prst="rect">
                          <a:avLst/>
                        </a:prstGeom>
                        <a:noFill/>
                      </pic:spPr>
                    </pic:pic>
                  </a:graphicData>
                </a:graphic>
                <wp14:sizeRelH relativeFrom="page">
                  <wp14:pctWidth>0</wp14:pctWidth>
                </wp14:sizeRelH>
                <wp14:sizeRelV relativeFrom="page">
                  <wp14:pctHeight>0</wp14:pctHeight>
                </wp14:sizeRelV>
              </wp:anchor>
            </w:drawing>
          </w:r>
        </w:p>
      </w:tc>
      <w:tc>
        <w:tcPr>
          <w:tcW w:w="4820" w:type="dxa"/>
          <w:vAlign w:val="center"/>
        </w:tcPr>
        <w:p w14:paraId="34467CE2" w14:textId="77777777" w:rsidR="00D85C82" w:rsidRDefault="00D85C82">
          <w:pPr>
            <w:jc w:val="center"/>
            <w:rPr>
              <w:b/>
            </w:rPr>
          </w:pPr>
          <w:r>
            <w:rPr>
              <w:b/>
            </w:rPr>
            <w:t>KANPEZUKO</w:t>
          </w:r>
        </w:p>
        <w:p w14:paraId="0F31CB23" w14:textId="77777777" w:rsidR="00D85C82" w:rsidRDefault="00D85C82">
          <w:pPr>
            <w:jc w:val="center"/>
            <w:rPr>
              <w:b/>
            </w:rPr>
          </w:pPr>
          <w:r>
            <w:rPr>
              <w:b/>
            </w:rPr>
            <w:t>UDALA</w:t>
          </w:r>
        </w:p>
        <w:p w14:paraId="044AB9D0" w14:textId="77777777" w:rsidR="00D85C82" w:rsidRDefault="00D85C82">
          <w:pPr>
            <w:jc w:val="center"/>
            <w:rPr>
              <w:b/>
            </w:rPr>
          </w:pPr>
          <w:r>
            <w:rPr>
              <w:b/>
            </w:rPr>
            <w:t>(</w:t>
          </w:r>
          <w:r>
            <w:rPr>
              <w:b/>
              <w:i/>
            </w:rPr>
            <w:t>ARABA</w:t>
          </w:r>
          <w:r>
            <w:rPr>
              <w:b/>
            </w:rPr>
            <w:t>)</w:t>
          </w:r>
        </w:p>
      </w:tc>
    </w:tr>
  </w:tbl>
  <w:p w14:paraId="0B7B6AC7" w14:textId="77777777" w:rsidR="00D85C82" w:rsidRDefault="00D85C82">
    <w:pPr>
      <w:pStyle w:val="Encabezado"/>
      <w:jc w:val="center"/>
      <w:rPr>
        <w:sz w:val="20"/>
      </w:rPr>
    </w:pPr>
  </w:p>
  <w:p w14:paraId="18BC00E1" w14:textId="77777777" w:rsidR="00D85C82" w:rsidRDefault="00D85C82">
    <w:pPr>
      <w:pStyle w:val="Encabezado"/>
    </w:pPr>
  </w:p>
  <w:p w14:paraId="7F7A6E22" w14:textId="77777777" w:rsidR="00D85C82" w:rsidRDefault="00D85C8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B0454"/>
    <w:multiLevelType w:val="hybridMultilevel"/>
    <w:tmpl w:val="61B2439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A00F71"/>
    <w:multiLevelType w:val="hybridMultilevel"/>
    <w:tmpl w:val="0B227FC4"/>
    <w:lvl w:ilvl="0" w:tplc="0C0A0003">
      <w:start w:val="1"/>
      <w:numFmt w:val="bullet"/>
      <w:lvlText w:val="o"/>
      <w:lvlJc w:val="left"/>
      <w:pPr>
        <w:tabs>
          <w:tab w:val="num" w:pos="2020"/>
        </w:tabs>
        <w:ind w:left="2020" w:hanging="360"/>
      </w:pPr>
      <w:rPr>
        <w:rFonts w:ascii="Courier New" w:hAnsi="Courier New" w:cs="Arial" w:hint="default"/>
      </w:rPr>
    </w:lvl>
    <w:lvl w:ilvl="1" w:tplc="0C0A0003" w:tentative="1">
      <w:start w:val="1"/>
      <w:numFmt w:val="bullet"/>
      <w:lvlText w:val="o"/>
      <w:lvlJc w:val="left"/>
      <w:pPr>
        <w:tabs>
          <w:tab w:val="num" w:pos="2740"/>
        </w:tabs>
        <w:ind w:left="2740" w:hanging="360"/>
      </w:pPr>
      <w:rPr>
        <w:rFonts w:ascii="Courier New" w:hAnsi="Courier New" w:cs="Arial" w:hint="default"/>
      </w:rPr>
    </w:lvl>
    <w:lvl w:ilvl="2" w:tplc="0C0A0005" w:tentative="1">
      <w:start w:val="1"/>
      <w:numFmt w:val="bullet"/>
      <w:lvlText w:val=""/>
      <w:lvlJc w:val="left"/>
      <w:pPr>
        <w:tabs>
          <w:tab w:val="num" w:pos="3460"/>
        </w:tabs>
        <w:ind w:left="3460" w:hanging="360"/>
      </w:pPr>
      <w:rPr>
        <w:rFonts w:ascii="Wingdings" w:hAnsi="Wingdings" w:hint="default"/>
      </w:rPr>
    </w:lvl>
    <w:lvl w:ilvl="3" w:tplc="0C0A0001" w:tentative="1">
      <w:start w:val="1"/>
      <w:numFmt w:val="bullet"/>
      <w:lvlText w:val=""/>
      <w:lvlJc w:val="left"/>
      <w:pPr>
        <w:tabs>
          <w:tab w:val="num" w:pos="4180"/>
        </w:tabs>
        <w:ind w:left="4180" w:hanging="360"/>
      </w:pPr>
      <w:rPr>
        <w:rFonts w:ascii="Symbol" w:hAnsi="Symbol" w:hint="default"/>
      </w:rPr>
    </w:lvl>
    <w:lvl w:ilvl="4" w:tplc="0C0A0003" w:tentative="1">
      <w:start w:val="1"/>
      <w:numFmt w:val="bullet"/>
      <w:lvlText w:val="o"/>
      <w:lvlJc w:val="left"/>
      <w:pPr>
        <w:tabs>
          <w:tab w:val="num" w:pos="4900"/>
        </w:tabs>
        <w:ind w:left="4900" w:hanging="360"/>
      </w:pPr>
      <w:rPr>
        <w:rFonts w:ascii="Courier New" w:hAnsi="Courier New" w:cs="Arial" w:hint="default"/>
      </w:rPr>
    </w:lvl>
    <w:lvl w:ilvl="5" w:tplc="0C0A0005" w:tentative="1">
      <w:start w:val="1"/>
      <w:numFmt w:val="bullet"/>
      <w:lvlText w:val=""/>
      <w:lvlJc w:val="left"/>
      <w:pPr>
        <w:tabs>
          <w:tab w:val="num" w:pos="5620"/>
        </w:tabs>
        <w:ind w:left="5620" w:hanging="360"/>
      </w:pPr>
      <w:rPr>
        <w:rFonts w:ascii="Wingdings" w:hAnsi="Wingdings" w:hint="default"/>
      </w:rPr>
    </w:lvl>
    <w:lvl w:ilvl="6" w:tplc="0C0A0001" w:tentative="1">
      <w:start w:val="1"/>
      <w:numFmt w:val="bullet"/>
      <w:lvlText w:val=""/>
      <w:lvlJc w:val="left"/>
      <w:pPr>
        <w:tabs>
          <w:tab w:val="num" w:pos="6340"/>
        </w:tabs>
        <w:ind w:left="6340" w:hanging="360"/>
      </w:pPr>
      <w:rPr>
        <w:rFonts w:ascii="Symbol" w:hAnsi="Symbol" w:hint="default"/>
      </w:rPr>
    </w:lvl>
    <w:lvl w:ilvl="7" w:tplc="0C0A0003" w:tentative="1">
      <w:start w:val="1"/>
      <w:numFmt w:val="bullet"/>
      <w:lvlText w:val="o"/>
      <w:lvlJc w:val="left"/>
      <w:pPr>
        <w:tabs>
          <w:tab w:val="num" w:pos="7060"/>
        </w:tabs>
        <w:ind w:left="7060" w:hanging="360"/>
      </w:pPr>
      <w:rPr>
        <w:rFonts w:ascii="Courier New" w:hAnsi="Courier New" w:cs="Arial" w:hint="default"/>
      </w:rPr>
    </w:lvl>
    <w:lvl w:ilvl="8" w:tplc="0C0A0005" w:tentative="1">
      <w:start w:val="1"/>
      <w:numFmt w:val="bullet"/>
      <w:lvlText w:val=""/>
      <w:lvlJc w:val="left"/>
      <w:pPr>
        <w:tabs>
          <w:tab w:val="num" w:pos="7780"/>
        </w:tabs>
        <w:ind w:left="7780" w:hanging="360"/>
      </w:pPr>
      <w:rPr>
        <w:rFonts w:ascii="Wingdings" w:hAnsi="Wingdings" w:hint="default"/>
      </w:rPr>
    </w:lvl>
  </w:abstractNum>
  <w:abstractNum w:abstractNumId="2" w15:restartNumberingAfterBreak="0">
    <w:nsid w:val="3A0211FB"/>
    <w:multiLevelType w:val="hybridMultilevel"/>
    <w:tmpl w:val="52A01EC4"/>
    <w:lvl w:ilvl="0" w:tplc="0C0A0001">
      <w:start w:val="1"/>
      <w:numFmt w:val="bullet"/>
      <w:lvlText w:val=""/>
      <w:lvlJc w:val="left"/>
      <w:pPr>
        <w:tabs>
          <w:tab w:val="num" w:pos="720"/>
        </w:tabs>
        <w:ind w:left="72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296F51"/>
    <w:multiLevelType w:val="hybridMultilevel"/>
    <w:tmpl w:val="965A99BA"/>
    <w:lvl w:ilvl="0" w:tplc="0C0A0003">
      <w:start w:val="1"/>
      <w:numFmt w:val="bullet"/>
      <w:lvlText w:val="o"/>
      <w:lvlJc w:val="left"/>
      <w:pPr>
        <w:tabs>
          <w:tab w:val="num" w:pos="1080"/>
        </w:tabs>
        <w:ind w:left="1080" w:hanging="360"/>
      </w:pPr>
      <w:rPr>
        <w:rFonts w:ascii="Courier New" w:hAnsi="Courier New" w:cs="Arial" w:hint="default"/>
      </w:rPr>
    </w:lvl>
    <w:lvl w:ilvl="1" w:tplc="0C0A0003">
      <w:start w:val="1"/>
      <w:numFmt w:val="bullet"/>
      <w:lvlText w:val="o"/>
      <w:lvlJc w:val="left"/>
      <w:pPr>
        <w:tabs>
          <w:tab w:val="num" w:pos="1800"/>
        </w:tabs>
        <w:ind w:left="1800" w:hanging="360"/>
      </w:pPr>
      <w:rPr>
        <w:rFonts w:ascii="Courier New" w:hAnsi="Courier New" w:cs="Arial"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Arial"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Arial"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A63540E"/>
    <w:multiLevelType w:val="hybridMultilevel"/>
    <w:tmpl w:val="526EB32A"/>
    <w:lvl w:ilvl="0" w:tplc="634E1D66">
      <w:start w:val="7"/>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BF51DEE"/>
    <w:multiLevelType w:val="hybridMultilevel"/>
    <w:tmpl w:val="71BCBE7A"/>
    <w:lvl w:ilvl="0" w:tplc="7152B70A">
      <w:start w:val="1"/>
      <w:numFmt w:val="bullet"/>
      <w:lvlText w:val="-"/>
      <w:lvlJc w:val="left"/>
      <w:pPr>
        <w:tabs>
          <w:tab w:val="num" w:pos="1563"/>
        </w:tabs>
        <w:ind w:left="1563" w:hanging="855"/>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5D246724"/>
    <w:multiLevelType w:val="hybridMultilevel"/>
    <w:tmpl w:val="C51E9C9E"/>
    <w:lvl w:ilvl="0" w:tplc="0C0A0001">
      <w:start w:val="1"/>
      <w:numFmt w:val="bullet"/>
      <w:lvlText w:val=""/>
      <w:lvlJc w:val="left"/>
      <w:pPr>
        <w:tabs>
          <w:tab w:val="num" w:pos="720"/>
        </w:tabs>
        <w:ind w:left="720" w:hanging="360"/>
      </w:pPr>
      <w:rPr>
        <w:rFonts w:ascii="Symbol" w:hAnsi="Symbol" w:hint="default"/>
      </w:r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7C1E58"/>
    <w:multiLevelType w:val="hybridMultilevel"/>
    <w:tmpl w:val="3C62C7AC"/>
    <w:lvl w:ilvl="0" w:tplc="CB309BDE">
      <w:numFmt w:val="bullet"/>
      <w:lvlText w:val="-"/>
      <w:lvlJc w:val="left"/>
      <w:pPr>
        <w:tabs>
          <w:tab w:val="num" w:pos="1218"/>
        </w:tabs>
        <w:ind w:left="1218" w:hanging="51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6DB63649"/>
    <w:multiLevelType w:val="hybridMultilevel"/>
    <w:tmpl w:val="0608D5C6"/>
    <w:lvl w:ilvl="0" w:tplc="0C0A0003">
      <w:start w:val="1"/>
      <w:numFmt w:val="bullet"/>
      <w:lvlText w:val="o"/>
      <w:lvlJc w:val="left"/>
      <w:pPr>
        <w:tabs>
          <w:tab w:val="num" w:pos="2484"/>
        </w:tabs>
        <w:ind w:left="2484" w:hanging="360"/>
      </w:pPr>
      <w:rPr>
        <w:rFonts w:ascii="Courier New" w:hAnsi="Courier New" w:cs="Arial" w:hint="default"/>
      </w:rPr>
    </w:lvl>
    <w:lvl w:ilvl="1" w:tplc="18A6F544">
      <w:start w:val="7"/>
      <w:numFmt w:val="bullet"/>
      <w:lvlText w:val="-"/>
      <w:lvlJc w:val="left"/>
      <w:pPr>
        <w:tabs>
          <w:tab w:val="num" w:pos="2844"/>
        </w:tabs>
        <w:ind w:left="2844" w:hanging="360"/>
      </w:pPr>
      <w:rPr>
        <w:rFonts w:ascii="Tahoma" w:eastAsia="Times New Roman" w:hAnsi="Tahoma" w:cs="Tahoma" w:hint="default"/>
      </w:rPr>
    </w:lvl>
    <w:lvl w:ilvl="2" w:tplc="0C0A0001">
      <w:start w:val="1"/>
      <w:numFmt w:val="bullet"/>
      <w:lvlText w:val=""/>
      <w:lvlJc w:val="left"/>
      <w:pPr>
        <w:tabs>
          <w:tab w:val="num" w:pos="3564"/>
        </w:tabs>
        <w:ind w:left="3564" w:hanging="360"/>
      </w:pPr>
      <w:rPr>
        <w:rFonts w:ascii="Symbol" w:hAnsi="Symbol" w:hint="default"/>
      </w:rPr>
    </w:lvl>
    <w:lvl w:ilvl="3" w:tplc="0C0A0001" w:tentative="1">
      <w:start w:val="1"/>
      <w:numFmt w:val="bullet"/>
      <w:lvlText w:val=""/>
      <w:lvlJc w:val="left"/>
      <w:pPr>
        <w:tabs>
          <w:tab w:val="num" w:pos="4284"/>
        </w:tabs>
        <w:ind w:left="4284" w:hanging="360"/>
      </w:pPr>
      <w:rPr>
        <w:rFonts w:ascii="Symbol" w:hAnsi="Symbol" w:hint="default"/>
      </w:rPr>
    </w:lvl>
    <w:lvl w:ilvl="4" w:tplc="0C0A0003" w:tentative="1">
      <w:start w:val="1"/>
      <w:numFmt w:val="bullet"/>
      <w:lvlText w:val="o"/>
      <w:lvlJc w:val="left"/>
      <w:pPr>
        <w:tabs>
          <w:tab w:val="num" w:pos="5004"/>
        </w:tabs>
        <w:ind w:left="5004" w:hanging="360"/>
      </w:pPr>
      <w:rPr>
        <w:rFonts w:ascii="Courier New" w:hAnsi="Courier New" w:cs="Arial" w:hint="default"/>
      </w:rPr>
    </w:lvl>
    <w:lvl w:ilvl="5" w:tplc="0C0A0005" w:tentative="1">
      <w:start w:val="1"/>
      <w:numFmt w:val="bullet"/>
      <w:lvlText w:val=""/>
      <w:lvlJc w:val="left"/>
      <w:pPr>
        <w:tabs>
          <w:tab w:val="num" w:pos="5724"/>
        </w:tabs>
        <w:ind w:left="5724" w:hanging="360"/>
      </w:pPr>
      <w:rPr>
        <w:rFonts w:ascii="Wingdings" w:hAnsi="Wingdings" w:hint="default"/>
      </w:rPr>
    </w:lvl>
    <w:lvl w:ilvl="6" w:tplc="0C0A0001" w:tentative="1">
      <w:start w:val="1"/>
      <w:numFmt w:val="bullet"/>
      <w:lvlText w:val=""/>
      <w:lvlJc w:val="left"/>
      <w:pPr>
        <w:tabs>
          <w:tab w:val="num" w:pos="6444"/>
        </w:tabs>
        <w:ind w:left="6444" w:hanging="360"/>
      </w:pPr>
      <w:rPr>
        <w:rFonts w:ascii="Symbol" w:hAnsi="Symbol" w:hint="default"/>
      </w:rPr>
    </w:lvl>
    <w:lvl w:ilvl="7" w:tplc="0C0A0003" w:tentative="1">
      <w:start w:val="1"/>
      <w:numFmt w:val="bullet"/>
      <w:lvlText w:val="o"/>
      <w:lvlJc w:val="left"/>
      <w:pPr>
        <w:tabs>
          <w:tab w:val="num" w:pos="7164"/>
        </w:tabs>
        <w:ind w:left="7164" w:hanging="360"/>
      </w:pPr>
      <w:rPr>
        <w:rFonts w:ascii="Courier New" w:hAnsi="Courier New" w:cs="Arial" w:hint="default"/>
      </w:rPr>
    </w:lvl>
    <w:lvl w:ilvl="8" w:tplc="0C0A0005" w:tentative="1">
      <w:start w:val="1"/>
      <w:numFmt w:val="bullet"/>
      <w:lvlText w:val=""/>
      <w:lvlJc w:val="left"/>
      <w:pPr>
        <w:tabs>
          <w:tab w:val="num" w:pos="7884"/>
        </w:tabs>
        <w:ind w:left="7884" w:hanging="360"/>
      </w:pPr>
      <w:rPr>
        <w:rFonts w:ascii="Wingdings" w:hAnsi="Wingdings" w:hint="default"/>
      </w:rPr>
    </w:lvl>
  </w:abstractNum>
  <w:abstractNum w:abstractNumId="9" w15:restartNumberingAfterBreak="0">
    <w:nsid w:val="742F78B9"/>
    <w:multiLevelType w:val="hybridMultilevel"/>
    <w:tmpl w:val="C51E9C9E"/>
    <w:lvl w:ilvl="0" w:tplc="0C0A000F">
      <w:start w:val="1"/>
      <w:numFmt w:val="decimal"/>
      <w:lvlText w:val="%1."/>
      <w:lvlJc w:val="left"/>
      <w:pPr>
        <w:tabs>
          <w:tab w:val="num" w:pos="720"/>
        </w:tabs>
        <w:ind w:left="720" w:hanging="360"/>
      </w:p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356112"/>
    <w:multiLevelType w:val="hybridMultilevel"/>
    <w:tmpl w:val="8BB0842A"/>
    <w:lvl w:ilvl="0" w:tplc="5E069BB2">
      <w:start w:val="1"/>
      <w:numFmt w:val="low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1" w15:restartNumberingAfterBreak="0">
    <w:nsid w:val="7D57458A"/>
    <w:multiLevelType w:val="hybridMultilevel"/>
    <w:tmpl w:val="F00CB376"/>
    <w:lvl w:ilvl="0" w:tplc="0C0A0001">
      <w:start w:val="1"/>
      <w:numFmt w:val="bullet"/>
      <w:lvlText w:val=""/>
      <w:lvlJc w:val="left"/>
      <w:pPr>
        <w:tabs>
          <w:tab w:val="num" w:pos="1080"/>
        </w:tabs>
        <w:ind w:left="108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5"/>
  </w:num>
  <w:num w:numId="4">
    <w:abstractNumId w:val="9"/>
  </w:num>
  <w:num w:numId="5">
    <w:abstractNumId w:val="0"/>
  </w:num>
  <w:num w:numId="6">
    <w:abstractNumId w:val="4"/>
  </w:num>
  <w:num w:numId="7">
    <w:abstractNumId w:val="2"/>
  </w:num>
  <w:num w:numId="8">
    <w:abstractNumId w:val="1"/>
  </w:num>
  <w:num w:numId="9">
    <w:abstractNumId w:val="3"/>
  </w:num>
  <w:num w:numId="10">
    <w:abstractNumId w:val="8"/>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EB"/>
    <w:rsid w:val="00051A14"/>
    <w:rsid w:val="00053EC2"/>
    <w:rsid w:val="000712FB"/>
    <w:rsid w:val="000C7C02"/>
    <w:rsid w:val="000E0388"/>
    <w:rsid w:val="001033CD"/>
    <w:rsid w:val="0013291F"/>
    <w:rsid w:val="001334EE"/>
    <w:rsid w:val="00151AB4"/>
    <w:rsid w:val="00157EA1"/>
    <w:rsid w:val="00167C3C"/>
    <w:rsid w:val="001978C6"/>
    <w:rsid w:val="001A14C7"/>
    <w:rsid w:val="001F6FFA"/>
    <w:rsid w:val="00222063"/>
    <w:rsid w:val="00243ACE"/>
    <w:rsid w:val="00262157"/>
    <w:rsid w:val="002B4187"/>
    <w:rsid w:val="002B5664"/>
    <w:rsid w:val="002D020F"/>
    <w:rsid w:val="002F2565"/>
    <w:rsid w:val="0031337A"/>
    <w:rsid w:val="00350503"/>
    <w:rsid w:val="003617A0"/>
    <w:rsid w:val="00372BC6"/>
    <w:rsid w:val="0038114D"/>
    <w:rsid w:val="00393352"/>
    <w:rsid w:val="003B6CDF"/>
    <w:rsid w:val="003C40A7"/>
    <w:rsid w:val="003D607A"/>
    <w:rsid w:val="00410F56"/>
    <w:rsid w:val="00413377"/>
    <w:rsid w:val="00420B08"/>
    <w:rsid w:val="004224D6"/>
    <w:rsid w:val="00424F60"/>
    <w:rsid w:val="004511F0"/>
    <w:rsid w:val="004514A4"/>
    <w:rsid w:val="00480636"/>
    <w:rsid w:val="004C2F3E"/>
    <w:rsid w:val="004D73CC"/>
    <w:rsid w:val="004E7DAA"/>
    <w:rsid w:val="004F4B9E"/>
    <w:rsid w:val="00501C3A"/>
    <w:rsid w:val="00516BEE"/>
    <w:rsid w:val="0052072B"/>
    <w:rsid w:val="00536570"/>
    <w:rsid w:val="00540394"/>
    <w:rsid w:val="00543DF1"/>
    <w:rsid w:val="005500EE"/>
    <w:rsid w:val="005621D5"/>
    <w:rsid w:val="00566B39"/>
    <w:rsid w:val="00570E96"/>
    <w:rsid w:val="00580E37"/>
    <w:rsid w:val="0059681B"/>
    <w:rsid w:val="005A4733"/>
    <w:rsid w:val="005D0CAC"/>
    <w:rsid w:val="006004C6"/>
    <w:rsid w:val="00600C01"/>
    <w:rsid w:val="006138E2"/>
    <w:rsid w:val="0061756E"/>
    <w:rsid w:val="00654FAC"/>
    <w:rsid w:val="00655CFA"/>
    <w:rsid w:val="006776BA"/>
    <w:rsid w:val="00690786"/>
    <w:rsid w:val="00694E68"/>
    <w:rsid w:val="006A35DC"/>
    <w:rsid w:val="006A69B4"/>
    <w:rsid w:val="006E4A79"/>
    <w:rsid w:val="006F35DF"/>
    <w:rsid w:val="00702911"/>
    <w:rsid w:val="00703EF8"/>
    <w:rsid w:val="00705683"/>
    <w:rsid w:val="00740191"/>
    <w:rsid w:val="00740A56"/>
    <w:rsid w:val="00777F99"/>
    <w:rsid w:val="00781808"/>
    <w:rsid w:val="007845F7"/>
    <w:rsid w:val="00787CCB"/>
    <w:rsid w:val="007973E2"/>
    <w:rsid w:val="007D2709"/>
    <w:rsid w:val="007E1159"/>
    <w:rsid w:val="007F5141"/>
    <w:rsid w:val="007F7A67"/>
    <w:rsid w:val="00836162"/>
    <w:rsid w:val="00842C04"/>
    <w:rsid w:val="00856B3A"/>
    <w:rsid w:val="008768E5"/>
    <w:rsid w:val="00886A74"/>
    <w:rsid w:val="008976B2"/>
    <w:rsid w:val="008C7912"/>
    <w:rsid w:val="008E418A"/>
    <w:rsid w:val="008E7DE4"/>
    <w:rsid w:val="008F1DD8"/>
    <w:rsid w:val="008F68F3"/>
    <w:rsid w:val="0090527B"/>
    <w:rsid w:val="0091466C"/>
    <w:rsid w:val="00930C91"/>
    <w:rsid w:val="009338AB"/>
    <w:rsid w:val="009D41C4"/>
    <w:rsid w:val="009D5587"/>
    <w:rsid w:val="009E0462"/>
    <w:rsid w:val="009F2C55"/>
    <w:rsid w:val="009F3D40"/>
    <w:rsid w:val="00A00387"/>
    <w:rsid w:val="00A040D4"/>
    <w:rsid w:val="00A0494C"/>
    <w:rsid w:val="00A11E78"/>
    <w:rsid w:val="00A300D4"/>
    <w:rsid w:val="00A32F8F"/>
    <w:rsid w:val="00A65655"/>
    <w:rsid w:val="00A9470A"/>
    <w:rsid w:val="00AB5F23"/>
    <w:rsid w:val="00AC3EB5"/>
    <w:rsid w:val="00AC5850"/>
    <w:rsid w:val="00AF7F7C"/>
    <w:rsid w:val="00B17EBD"/>
    <w:rsid w:val="00B54B15"/>
    <w:rsid w:val="00B63CD3"/>
    <w:rsid w:val="00B86A0C"/>
    <w:rsid w:val="00B94C94"/>
    <w:rsid w:val="00BA2DF1"/>
    <w:rsid w:val="00BA4680"/>
    <w:rsid w:val="00BF5385"/>
    <w:rsid w:val="00C000B3"/>
    <w:rsid w:val="00C0734C"/>
    <w:rsid w:val="00C37EB0"/>
    <w:rsid w:val="00C44D94"/>
    <w:rsid w:val="00C4778E"/>
    <w:rsid w:val="00CA7C3E"/>
    <w:rsid w:val="00CB4765"/>
    <w:rsid w:val="00CB4958"/>
    <w:rsid w:val="00CD67BE"/>
    <w:rsid w:val="00D11A4F"/>
    <w:rsid w:val="00D1560E"/>
    <w:rsid w:val="00D2638E"/>
    <w:rsid w:val="00D30C0C"/>
    <w:rsid w:val="00D76614"/>
    <w:rsid w:val="00D81313"/>
    <w:rsid w:val="00D85B71"/>
    <w:rsid w:val="00D85C82"/>
    <w:rsid w:val="00DA0D7B"/>
    <w:rsid w:val="00DB3849"/>
    <w:rsid w:val="00DD1AEB"/>
    <w:rsid w:val="00DD2395"/>
    <w:rsid w:val="00DE1B06"/>
    <w:rsid w:val="00DF11BF"/>
    <w:rsid w:val="00DF4385"/>
    <w:rsid w:val="00E04A13"/>
    <w:rsid w:val="00E1436E"/>
    <w:rsid w:val="00E40ABE"/>
    <w:rsid w:val="00E73CFF"/>
    <w:rsid w:val="00EE0352"/>
    <w:rsid w:val="00EF7467"/>
    <w:rsid w:val="00F02DAE"/>
    <w:rsid w:val="00F11486"/>
    <w:rsid w:val="00F13DD6"/>
    <w:rsid w:val="00F240E7"/>
    <w:rsid w:val="00F32CDA"/>
    <w:rsid w:val="00F34A99"/>
    <w:rsid w:val="00F57CDC"/>
    <w:rsid w:val="00F6508C"/>
    <w:rsid w:val="00F67D4F"/>
    <w:rsid w:val="00F744D5"/>
    <w:rsid w:val="00F867FC"/>
    <w:rsid w:val="00FA420C"/>
    <w:rsid w:val="00FB56C5"/>
    <w:rsid w:val="00FB7B9C"/>
    <w:rsid w:val="00FC22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414E02"/>
  <w15:docId w15:val="{6E23F0CB-1371-4676-AC23-342BB03C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4"/>
    </w:rPr>
  </w:style>
  <w:style w:type="paragraph" w:styleId="Ttulo1">
    <w:name w:val="heading 1"/>
    <w:basedOn w:val="Normal"/>
    <w:next w:val="Normal"/>
    <w:qFormat/>
    <w:pPr>
      <w:keepNext/>
      <w:jc w:val="center"/>
      <w:outlineLvl w:val="0"/>
    </w:pPr>
    <w:rPr>
      <w:b/>
      <w:sz w:val="20"/>
      <w:szCs w:val="20"/>
      <w:lang w:val="es-ES_tradnl"/>
    </w:rPr>
  </w:style>
  <w:style w:type="paragraph" w:styleId="Ttulo2">
    <w:name w:val="heading 2"/>
    <w:basedOn w:val="Normal"/>
    <w:next w:val="Normal"/>
    <w:qFormat/>
    <w:pPr>
      <w:keepNext/>
      <w:tabs>
        <w:tab w:val="left" w:pos="425"/>
      </w:tabs>
      <w:autoSpaceDE w:val="0"/>
      <w:autoSpaceDN w:val="0"/>
      <w:adjustRightInd w:val="0"/>
      <w:jc w:val="center"/>
      <w:outlineLvl w:val="1"/>
    </w:pPr>
    <w:rPr>
      <w:rFonts w:ascii="Courier New" w:hAnsi="Courier New" w:cs="Courier New"/>
      <w:b/>
      <w:bCs/>
      <w:iCs/>
      <w:sz w:val="22"/>
      <w:szCs w:val="22"/>
      <w:lang w:val="es-ES_tradnl" w:eastAsia="es-ES_tradnl"/>
    </w:rPr>
  </w:style>
  <w:style w:type="paragraph" w:styleId="Ttulo3">
    <w:name w:val="heading 3"/>
    <w:basedOn w:val="Normal"/>
    <w:next w:val="Normal"/>
    <w:qFormat/>
    <w:pPr>
      <w:keepNext/>
      <w:autoSpaceDE w:val="0"/>
      <w:autoSpaceDN w:val="0"/>
      <w:adjustRightInd w:val="0"/>
      <w:ind w:left="4480"/>
      <w:outlineLvl w:val="2"/>
    </w:pPr>
    <w:rPr>
      <w:b/>
      <w:bCs/>
      <w:iCs/>
      <w:szCs w:val="22"/>
      <w:u w:val="single"/>
    </w:rPr>
  </w:style>
  <w:style w:type="paragraph" w:styleId="Ttulo4">
    <w:name w:val="heading 4"/>
    <w:basedOn w:val="Normal"/>
    <w:next w:val="Normal"/>
    <w:qFormat/>
    <w:pPr>
      <w:keepNext/>
      <w:ind w:left="360"/>
      <w:outlineLvl w:val="3"/>
    </w:pPr>
    <w:rPr>
      <w:rFonts w:ascii="Arial" w:hAnsi="Arial" w:cs="Arial"/>
      <w:b/>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tabs>
        <w:tab w:val="left" w:pos="425"/>
      </w:tabs>
      <w:autoSpaceDE w:val="0"/>
      <w:autoSpaceDN w:val="0"/>
      <w:adjustRightInd w:val="0"/>
      <w:jc w:val="both"/>
    </w:pPr>
    <w:rPr>
      <w:rFonts w:ascii="Courier New" w:hAnsi="Courier New" w:cs="Courier New"/>
      <w:iCs/>
      <w:sz w:val="22"/>
      <w:szCs w:val="22"/>
      <w:lang w:val="es-ES_tradnl" w:eastAsia="es-ES_tradnl"/>
    </w:rPr>
  </w:style>
  <w:style w:type="paragraph" w:styleId="Textoindependiente2">
    <w:name w:val="Body Text 2"/>
    <w:basedOn w:val="Normal"/>
    <w:pPr>
      <w:jc w:val="both"/>
    </w:pPr>
    <w:rPr>
      <w:rFonts w:ascii="Arial" w:hAnsi="Arial" w:cs="Arial"/>
      <w:b/>
      <w:sz w:val="24"/>
    </w:rPr>
  </w:style>
  <w:style w:type="paragraph" w:styleId="Sangradetextonormal">
    <w:name w:val="Body Text Indent"/>
    <w:basedOn w:val="Normal"/>
    <w:pPr>
      <w:ind w:left="360" w:firstLine="348"/>
      <w:jc w:val="both"/>
    </w:pPr>
    <w:rPr>
      <w:rFonts w:ascii="Arial" w:hAnsi="Arial" w:cs="Arial"/>
      <w:sz w:val="24"/>
    </w:rPr>
  </w:style>
  <w:style w:type="paragraph" w:styleId="Sangra2detindependiente">
    <w:name w:val="Body Text Indent 2"/>
    <w:basedOn w:val="Normal"/>
    <w:pPr>
      <w:ind w:firstLine="708"/>
    </w:pPr>
    <w:rPr>
      <w:rFonts w:ascii="Arial" w:hAnsi="Arial" w:cs="Arial"/>
      <w:sz w:val="24"/>
    </w:rPr>
  </w:style>
  <w:style w:type="paragraph" w:styleId="Sangra3detindependiente">
    <w:name w:val="Body Text Indent 3"/>
    <w:basedOn w:val="Normal"/>
    <w:pPr>
      <w:ind w:firstLine="708"/>
      <w:jc w:val="both"/>
    </w:pPr>
    <w:rPr>
      <w:rFonts w:ascii="Arial" w:hAnsi="Arial" w:cs="Arial"/>
      <w:bCs/>
      <w:sz w:val="24"/>
    </w:rPr>
  </w:style>
  <w:style w:type="character" w:styleId="Textoennegrita">
    <w:name w:val="Strong"/>
    <w:qFormat/>
    <w:rsid w:val="00DD1AEB"/>
    <w:rPr>
      <w:b/>
      <w:bCs/>
    </w:rPr>
  </w:style>
  <w:style w:type="paragraph" w:customStyle="1" w:styleId="txtprincipal">
    <w:name w:val="txtprincipal"/>
    <w:basedOn w:val="Normal"/>
    <w:rsid w:val="00DD1AEB"/>
    <w:pPr>
      <w:spacing w:before="100" w:beforeAutospacing="1" w:after="100" w:afterAutospacing="1"/>
    </w:pPr>
    <w:rPr>
      <w:sz w:val="24"/>
    </w:rPr>
  </w:style>
  <w:style w:type="character" w:styleId="Hipervnculo">
    <w:name w:val="Hyperlink"/>
    <w:rsid w:val="00763647"/>
    <w:rPr>
      <w:color w:val="0000FF"/>
      <w:u w:val="single"/>
    </w:rPr>
  </w:style>
  <w:style w:type="paragraph" w:styleId="Textodeglobo">
    <w:name w:val="Balloon Text"/>
    <w:basedOn w:val="Normal"/>
    <w:semiHidden/>
    <w:rsid w:val="00B86A0C"/>
    <w:rPr>
      <w:rFonts w:ascii="Tahoma" w:hAnsi="Tahoma" w:cs="Tahoma"/>
      <w:sz w:val="16"/>
      <w:szCs w:val="16"/>
    </w:rPr>
  </w:style>
  <w:style w:type="character" w:customStyle="1" w:styleId="UnresolvedMention">
    <w:name w:val="Unresolved Mention"/>
    <w:basedOn w:val="Fuentedeprrafopredeter"/>
    <w:uiPriority w:val="99"/>
    <w:semiHidden/>
    <w:unhideWhenUsed/>
    <w:rsid w:val="008F68F3"/>
    <w:rPr>
      <w:color w:val="605E5C"/>
      <w:shd w:val="clear" w:color="auto" w:fill="E1DFDD"/>
    </w:rPr>
  </w:style>
  <w:style w:type="character" w:customStyle="1" w:styleId="PiedepginaCar">
    <w:name w:val="Pie de página Car"/>
    <w:basedOn w:val="Fuentedeprrafopredeter"/>
    <w:link w:val="Piedepgina"/>
    <w:uiPriority w:val="99"/>
    <w:rsid w:val="000E0388"/>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5126">
      <w:bodyDiv w:val="1"/>
      <w:marLeft w:val="0"/>
      <w:marRight w:val="0"/>
      <w:marTop w:val="0"/>
      <w:marBottom w:val="0"/>
      <w:divBdr>
        <w:top w:val="none" w:sz="0" w:space="0" w:color="auto"/>
        <w:left w:val="none" w:sz="0" w:space="0" w:color="auto"/>
        <w:bottom w:val="none" w:sz="0" w:space="0" w:color="auto"/>
        <w:right w:val="none" w:sz="0" w:space="0" w:color="auto"/>
      </w:divBdr>
    </w:div>
    <w:div w:id="1817406866">
      <w:bodyDiv w:val="1"/>
      <w:marLeft w:val="0"/>
      <w:marRight w:val="0"/>
      <w:marTop w:val="0"/>
      <w:marBottom w:val="0"/>
      <w:divBdr>
        <w:top w:val="none" w:sz="0" w:space="0" w:color="auto"/>
        <w:left w:val="none" w:sz="0" w:space="0" w:color="auto"/>
        <w:bottom w:val="none" w:sz="0" w:space="0" w:color="auto"/>
        <w:right w:val="none" w:sz="0" w:space="0" w:color="auto"/>
      </w:divBdr>
      <w:divsChild>
        <w:div w:id="820388279">
          <w:marLeft w:val="0"/>
          <w:marRight w:val="0"/>
          <w:marTop w:val="0"/>
          <w:marBottom w:val="0"/>
          <w:divBdr>
            <w:top w:val="none" w:sz="0" w:space="0" w:color="auto"/>
            <w:left w:val="none" w:sz="0" w:space="0" w:color="auto"/>
            <w:bottom w:val="none" w:sz="0" w:space="0" w:color="auto"/>
            <w:right w:val="none" w:sz="0" w:space="0" w:color="auto"/>
          </w:divBdr>
          <w:divsChild>
            <w:div w:id="131957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npezu.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195CD-BA01-4A95-97CB-FB9171DF3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2670</Words>
  <Characters>21186</Characters>
  <Application>Microsoft Office Word</Application>
  <DocSecurity>0</DocSecurity>
  <Lines>176</Lines>
  <Paragraphs>47</Paragraphs>
  <ScaleCrop>false</ScaleCrop>
  <HeadingPairs>
    <vt:vector size="2" baseType="variant">
      <vt:variant>
        <vt:lpstr>Título</vt:lpstr>
      </vt:variant>
      <vt:variant>
        <vt:i4>1</vt:i4>
      </vt:variant>
    </vt:vector>
  </HeadingPairs>
  <TitlesOfParts>
    <vt:vector size="1" baseType="lpstr">
      <vt:lpstr>ORDENAZA REGULADORA DE LAS CONDICIONES DE URBANIZACION DEL MUNICIPIO DE CAMPEZO</vt:lpstr>
    </vt:vector>
  </TitlesOfParts>
  <Company>zuia</Company>
  <LinksUpToDate>false</LinksUpToDate>
  <CharactersWithSpaces>23809</CharactersWithSpaces>
  <SharedDoc>false</SharedDoc>
  <HLinks>
    <vt:vector size="12" baseType="variant">
      <vt:variant>
        <vt:i4>2490430</vt:i4>
      </vt:variant>
      <vt:variant>
        <vt:i4>3</vt:i4>
      </vt:variant>
      <vt:variant>
        <vt:i4>0</vt:i4>
      </vt:variant>
      <vt:variant>
        <vt:i4>5</vt:i4>
      </vt:variant>
      <vt:variant>
        <vt:lpwstr>http://www.dnielectronico.es/seccion aapp/rel autoridades.html</vt:lpwstr>
      </vt:variant>
      <vt:variant>
        <vt:lpwstr/>
      </vt:variant>
      <vt:variant>
        <vt:i4>3735648</vt:i4>
      </vt:variant>
      <vt:variant>
        <vt:i4>0</vt:i4>
      </vt:variant>
      <vt:variant>
        <vt:i4>0</vt:i4>
      </vt:variant>
      <vt:variant>
        <vt:i4>5</vt:i4>
      </vt:variant>
      <vt:variant>
        <vt:lpwstr>http://www.campezo.eus/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ORDENAZA REGULADORA DE LAS CONDICIONES DE URBANIZACION DEL MUNICIPIO DE CAMPEZO</dc:title>
  <dc:creator>017jose</dc:creator>
  <cp:lastModifiedBy>Kanpezu</cp:lastModifiedBy>
  <cp:revision>3</cp:revision>
  <cp:lastPrinted>2021-04-19T07:48:00Z</cp:lastPrinted>
  <dcterms:created xsi:type="dcterms:W3CDTF">2024-03-06T11:46:00Z</dcterms:created>
  <dcterms:modified xsi:type="dcterms:W3CDTF">2024-03-06T11:46:00Z</dcterms:modified>
</cp:coreProperties>
</file>