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716"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10716"/>
      </w:tblGrid>
      <w:tr>
        <w:trPr/>
        <w:tc>
          <w:tcPr>
            <w:tcW w:w="10716" w:type="dxa"/>
            <w:tcBorders>
              <w:top w:val="single" w:sz="2" w:space="0" w:color="DDDDDD"/>
              <w:left w:val="single" w:sz="2" w:space="0" w:color="DDDDDD"/>
              <w:bottom w:val="single" w:sz="2" w:space="0" w:color="DDDDDD"/>
              <w:right w:val="single" w:sz="2" w:space="0" w:color="DDDDDD"/>
            </w:tcBorders>
            <w:shd w:color="auto" w:fill="EEEEEE" w:val="clear"/>
          </w:tcPr>
          <w:p>
            <w:pPr>
              <w:pStyle w:val="Standard"/>
              <w:widowControl w:val="false"/>
              <w:snapToGrid w:val="false"/>
              <w:ind w:right="113" w:hanging="0"/>
              <w:jc w:val="left"/>
              <w:rPr>
                <w:b/>
                <w:bCs/>
                <w:color w:val="003DA5"/>
                <w:spacing w:val="-6"/>
                <w:sz w:val="22"/>
                <w:szCs w:val="22"/>
              </w:rPr>
            </w:pPr>
            <w:r>
              <w:rPr>
                <w:b/>
                <w:bCs/>
                <w:color w:val="003DA5"/>
              </w:rPr>
              <w:t xml:space="preserve">VI ERANSKINA </w:t>
            </w:r>
            <w:r>
              <w:rPr>
                <w:color w:val="003DA5"/>
              </w:rPr>
              <w:t>/ ANEXO VI</w:t>
            </w:r>
          </w:p>
        </w:tc>
      </w:tr>
    </w:tbl>
    <w:p>
      <w:pPr>
        <w:pStyle w:val="Standard"/>
        <w:rPr>
          <w:color w:val="003DA5"/>
        </w:rPr>
      </w:pPr>
      <w:r>
        <w:rPr>
          <w:color w:val="003DA5"/>
        </w:rPr>
      </w:r>
    </w:p>
    <w:tbl>
      <w:tblPr>
        <w:tblW w:w="10714"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5164"/>
        <w:gridCol w:w="5549"/>
      </w:tblGrid>
      <w:tr>
        <w:trPr/>
        <w:tc>
          <w:tcPr>
            <w:tcW w:w="5164" w:type="dxa"/>
            <w:tcBorders/>
          </w:tcPr>
          <w:p>
            <w:pPr>
              <w:pStyle w:val="Standard"/>
              <w:widowControl w:val="false"/>
              <w:spacing w:before="57" w:after="57"/>
              <w:ind w:right="283" w:hanging="0"/>
              <w:jc w:val="center"/>
              <w:rPr/>
            </w:pPr>
            <w:r>
              <w:rPr>
                <w:b/>
                <w:bCs/>
                <w:color w:val="003DA5"/>
              </w:rPr>
              <w:t>OSOTASUNAREN ETA IRUZURRAREN AURKAKO BORROKAREN ARLOKO BETEBEHARRAK</w:t>
            </w:r>
          </w:p>
        </w:tc>
        <w:tc>
          <w:tcPr>
            <w:tcW w:w="5549" w:type="dxa"/>
            <w:tcBorders/>
          </w:tcPr>
          <w:p>
            <w:pPr>
              <w:pStyle w:val="Standard"/>
              <w:widowControl w:val="false"/>
              <w:suppressLineNumbers/>
              <w:snapToGrid w:val="false"/>
              <w:spacing w:before="57" w:after="57"/>
              <w:ind w:left="283" w:hanging="0"/>
              <w:jc w:val="center"/>
              <w:rPr>
                <w:b/>
                <w:bCs/>
                <w:color w:val="003DA5"/>
              </w:rPr>
            </w:pPr>
            <w:r>
              <w:rPr>
                <w:b/>
                <w:bCs/>
                <w:color w:val="003DA5"/>
              </w:rPr>
              <w:t>OBLIGACIONES EN MATERIA DE INTEGRIDAD Y LUCHA CONTRA EL FRAUDE</w:t>
            </w:r>
          </w:p>
        </w:tc>
      </w:tr>
    </w:tbl>
    <w:p>
      <w:pPr>
        <w:pStyle w:val="Standard"/>
        <w:rPr>
          <w:color w:val="003DA5"/>
        </w:rPr>
      </w:pPr>
      <w:r>
        <w:rPr>
          <w:color w:val="003DA5"/>
        </w:rPr>
      </w:r>
    </w:p>
    <w:tbl>
      <w:tblPr>
        <w:tblW w:w="10714"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341"/>
        <w:gridCol w:w="4823"/>
        <w:gridCol w:w="621"/>
        <w:gridCol w:w="4928"/>
      </w:tblGrid>
      <w:tr>
        <w:trPr/>
        <w:tc>
          <w:tcPr>
            <w:tcW w:w="5164" w:type="dxa"/>
            <w:gridSpan w:val="2"/>
            <w:tcBorders/>
          </w:tcPr>
          <w:p>
            <w:pPr>
              <w:pStyle w:val="Standard"/>
              <w:widowControl w:val="false"/>
              <w:suppressLineNumbers/>
              <w:spacing w:before="57" w:after="57"/>
              <w:ind w:left="57" w:right="283" w:hanging="0"/>
              <w:rPr>
                <w:color w:val="003DA5"/>
              </w:rPr>
            </w:pPr>
            <w:r>
              <w:rPr>
                <w:color w:val="003DA5"/>
                <w:sz w:val="18"/>
                <w:szCs w:val="18"/>
              </w:rPr>
              <w:t>Tokiko Gobernu Batzarrak 2022ko martxoaren 15ean onartutako Iruzurraren aurkako neurrien Planarekin bat etorriz (plan hori iruzurra, ustelkeria eta interes-gatazkak prebenitzeko, detektatzeko eta zuzentzeko neurriak ezartzeko helburuarekin egin zen), eta Donostiako Sustapeneko Administrazio Kontseiluak 2022ko martxoaren 29an ornartutako iruzurraren aurkako neurrien planarekin bat etorriz, deialdi honetan parte hartzeak berekin dakar dirulaguntzaren onuradunek honako betebehar hauek beren gain hartzea:</w:t>
            </w:r>
          </w:p>
        </w:tc>
        <w:tc>
          <w:tcPr>
            <w:tcW w:w="5549" w:type="dxa"/>
            <w:gridSpan w:val="2"/>
            <w:tcBorders/>
          </w:tcPr>
          <w:p>
            <w:pPr>
              <w:pStyle w:val="Standard"/>
              <w:widowControl w:val="false"/>
              <w:suppressLineNumbers/>
              <w:spacing w:before="57" w:after="57"/>
              <w:ind w:left="283" w:hanging="0"/>
              <w:rPr>
                <w:color w:val="003DA5"/>
              </w:rPr>
            </w:pPr>
            <w:r>
              <w:rPr>
                <w:color w:val="003DA5"/>
                <w:sz w:val="18"/>
                <w:szCs w:val="18"/>
                <w:lang w:val="es-ES"/>
              </w:rPr>
              <w:t>En el marco d</w:t>
            </w:r>
            <w:r>
              <w:rPr>
                <w:color w:val="003DA5"/>
                <w:sz w:val="18"/>
                <w:szCs w:val="18"/>
              </w:rPr>
              <w:t>el “Plan de medidas antifraude, aprobado por la Junta de Gobierno Local de 15 de marzo de 2022, y confeccionado con la finalidad de implementar medidas de prevención, detección y corrección del fraude, la corrupción y los conflictos de intereses, y el Plan de medidas antifraude de FSS aprobado por el Consejo de Administración de Fomento de San Sebastián, S.A., el 29 de marzo de 2022, la participación en la presente convocatoria, supone la asunción por parte de los beneficiarios de la subvención de las siguientes obligaciones:</w:t>
            </w:r>
          </w:p>
        </w:tc>
      </w:tr>
      <w:tr>
        <w:trPr/>
        <w:tc>
          <w:tcPr>
            <w:tcW w:w="341" w:type="dxa"/>
            <w:tcBorders/>
          </w:tcPr>
          <w:p>
            <w:pPr>
              <w:pStyle w:val="Textbody"/>
              <w:widowControl w:val="false"/>
              <w:suppressLineNumbers/>
              <w:spacing w:before="57" w:after="57"/>
              <w:ind w:left="57" w:hanging="0"/>
              <w:rPr>
                <w:color w:val="003DA5"/>
              </w:rPr>
            </w:pPr>
            <w:r>
              <w:rPr>
                <w:color w:val="003DA5"/>
              </w:rPr>
              <w:t>a)</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Berdintasunaren, lehia askearen, gardentasunaren eta osotasunaren printzipioak errespetatzea.</w:t>
            </w:r>
          </w:p>
        </w:tc>
        <w:tc>
          <w:tcPr>
            <w:tcW w:w="621" w:type="dxa"/>
            <w:tcBorders/>
          </w:tcPr>
          <w:p>
            <w:pPr>
              <w:pStyle w:val="Standard"/>
              <w:widowControl w:val="false"/>
              <w:suppressLineNumbers/>
              <w:spacing w:before="57" w:after="57"/>
              <w:ind w:left="283" w:hanging="0"/>
              <w:rPr>
                <w:color w:val="003DA5"/>
              </w:rPr>
            </w:pPr>
            <w:r>
              <w:rPr>
                <w:color w:val="003DA5"/>
              </w:rPr>
              <w:t>a)</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Respetar los principios de igualdad, libre concurrencia, transparencia e integridad.</w:t>
            </w:r>
          </w:p>
        </w:tc>
      </w:tr>
      <w:tr>
        <w:trPr/>
        <w:tc>
          <w:tcPr>
            <w:tcW w:w="341" w:type="dxa"/>
            <w:tcBorders/>
          </w:tcPr>
          <w:p>
            <w:pPr>
              <w:pStyle w:val="Textbody"/>
              <w:widowControl w:val="false"/>
              <w:suppressLineNumbers/>
              <w:spacing w:before="57" w:after="57"/>
              <w:ind w:left="57" w:hanging="0"/>
              <w:rPr>
                <w:color w:val="003DA5"/>
              </w:rPr>
            </w:pPr>
            <w:r>
              <w:rPr>
                <w:color w:val="003DA5"/>
              </w:rPr>
              <w:t>b)</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Ez eskatzea, ez zuzenean ez zeharka, erakunde emailearen kargu edo langile batek, ez beste edozeinek, eragina izatea hautaketa-prozesuan.</w:t>
            </w:r>
          </w:p>
        </w:tc>
        <w:tc>
          <w:tcPr>
            <w:tcW w:w="621" w:type="dxa"/>
            <w:tcBorders/>
          </w:tcPr>
          <w:p>
            <w:pPr>
              <w:pStyle w:val="Standard"/>
              <w:widowControl w:val="false"/>
              <w:suppressLineNumbers/>
              <w:spacing w:before="57" w:after="57"/>
              <w:ind w:left="283" w:hanging="0"/>
              <w:rPr>
                <w:color w:val="003DA5"/>
              </w:rPr>
            </w:pPr>
            <w:r>
              <w:rPr>
                <w:color w:val="003DA5"/>
              </w:rPr>
              <w:t>b)</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No solicitar, directa o indirectamente, que un cargo o empleado de la Entidad concedente, ni cualquier otro, influya en el proceso de selección.</w:t>
            </w:r>
          </w:p>
        </w:tc>
      </w:tr>
      <w:tr>
        <w:trPr/>
        <w:tc>
          <w:tcPr>
            <w:tcW w:w="341" w:type="dxa"/>
            <w:tcBorders/>
          </w:tcPr>
          <w:p>
            <w:pPr>
              <w:pStyle w:val="Textbody"/>
              <w:widowControl w:val="false"/>
              <w:suppressLineNumbers/>
              <w:spacing w:before="57" w:after="57"/>
              <w:ind w:left="57" w:hanging="0"/>
              <w:rPr>
                <w:color w:val="003DA5"/>
              </w:rPr>
            </w:pPr>
            <w:r>
              <w:rPr>
                <w:color w:val="003DA5"/>
              </w:rPr>
              <w:t>c)</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Merkatu askearen eta norgehiagokaren printzipioak errespetatzea, eta ez egitea lehia eragotzi, murriztu edo faltsutzea xede duten edo eragin dezaketen jokabideak.</w:t>
            </w:r>
          </w:p>
        </w:tc>
        <w:tc>
          <w:tcPr>
            <w:tcW w:w="621" w:type="dxa"/>
            <w:tcBorders/>
          </w:tcPr>
          <w:p>
            <w:pPr>
              <w:pStyle w:val="Standard"/>
              <w:widowControl w:val="false"/>
              <w:suppressLineNumbers/>
              <w:spacing w:before="57" w:after="57"/>
              <w:ind w:left="283" w:hanging="0"/>
              <w:rPr>
                <w:color w:val="003DA5"/>
              </w:rPr>
            </w:pPr>
            <w:r>
              <w:rPr>
                <w:color w:val="003DA5"/>
              </w:rPr>
              <w:t>c)</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Respetar los principios de libre mercado y de concurrencia competitiva, y abstenerse de realizar conductas que tengan por objeto o puedan producir el efecto de impedir, restringir o falsear la competencia.</w:t>
            </w:r>
          </w:p>
        </w:tc>
      </w:tr>
      <w:tr>
        <w:trPr/>
        <w:tc>
          <w:tcPr>
            <w:tcW w:w="341" w:type="dxa"/>
            <w:tcBorders/>
          </w:tcPr>
          <w:p>
            <w:pPr>
              <w:pStyle w:val="Textbody"/>
              <w:widowControl w:val="false"/>
              <w:suppressLineNumbers/>
              <w:spacing w:before="57" w:after="57"/>
              <w:ind w:left="57" w:hanging="0"/>
              <w:rPr>
                <w:color w:val="003DA5"/>
              </w:rPr>
            </w:pPr>
            <w:r>
              <w:rPr>
                <w:color w:val="003DA5"/>
              </w:rPr>
              <w:t>d)</w:t>
            </w:r>
          </w:p>
        </w:tc>
        <w:tc>
          <w:tcPr>
            <w:tcW w:w="4823" w:type="dxa"/>
            <w:tcBorders/>
          </w:tcPr>
          <w:p>
            <w:pPr>
              <w:pStyle w:val="Standard"/>
              <w:widowControl w:val="false"/>
              <w:suppressLineNumbers/>
              <w:spacing w:before="57" w:after="57"/>
              <w:ind w:left="57" w:right="283" w:hanging="0"/>
              <w:rPr>
                <w:sz w:val="18"/>
                <w:szCs w:val="18"/>
                <w:shd w:fill="FFFFFF" w:val="clear"/>
              </w:rPr>
            </w:pPr>
            <w:r>
              <w:rPr>
                <w:color w:val="003DA5"/>
                <w:sz w:val="18"/>
                <w:szCs w:val="18"/>
              </w:rPr>
              <w:t xml:space="preserve">Udal-salaketen kanalaren bidez edo </w:t>
            </w:r>
            <w:hyperlink r:id="rId2">
              <w:r>
                <w:rPr>
                  <w:color w:val="003DA5"/>
                  <w:sz w:val="18"/>
                  <w:szCs w:val="18"/>
                  <w:shd w:fill="FFFFFF" w:val="clear"/>
                </w:rPr>
                <w:t>salaketakanala@donostia.eus</w:t>
              </w:r>
            </w:hyperlink>
            <w:r>
              <w:rPr>
                <w:color w:val="003DA5"/>
                <w:sz w:val="18"/>
                <w:szCs w:val="18"/>
              </w:rPr>
              <w:t xml:space="preserve"> helbide elektronikoaren bidez jakinaraztea hautaketa-prozesuan aurkez daitekeen edozein egintza, jokabide edo egoera irregular.</w:t>
            </w:r>
          </w:p>
        </w:tc>
        <w:tc>
          <w:tcPr>
            <w:tcW w:w="621" w:type="dxa"/>
            <w:tcBorders/>
          </w:tcPr>
          <w:p>
            <w:pPr>
              <w:pStyle w:val="Standard"/>
              <w:widowControl w:val="false"/>
              <w:suppressLineNumbers/>
              <w:spacing w:before="57" w:after="57"/>
              <w:ind w:left="283" w:hanging="0"/>
              <w:rPr>
                <w:color w:val="003DA5"/>
              </w:rPr>
            </w:pPr>
            <w:r>
              <w:rPr>
                <w:color w:val="003DA5"/>
              </w:rPr>
              <w:t>d)</w:t>
            </w:r>
          </w:p>
        </w:tc>
        <w:tc>
          <w:tcPr>
            <w:tcW w:w="4928" w:type="dxa"/>
            <w:tcBorders/>
          </w:tcPr>
          <w:p>
            <w:pPr>
              <w:pStyle w:val="Standard"/>
              <w:widowControl w:val="false"/>
              <w:suppressLineNumbers/>
              <w:spacing w:before="57" w:after="57"/>
              <w:ind w:left="57" w:hanging="0"/>
              <w:rPr>
                <w:color w:val="00A933"/>
                <w:sz w:val="18"/>
                <w:szCs w:val="18"/>
              </w:rPr>
            </w:pPr>
            <w:r>
              <w:rPr>
                <w:color w:val="003DA5"/>
                <w:sz w:val="18"/>
                <w:szCs w:val="18"/>
              </w:rPr>
              <w:t xml:space="preserve">Notificar a través del Canal de Denuncias municipal  o a través de la siguiente dirección electrónica </w:t>
            </w:r>
            <w:hyperlink r:id="rId3">
              <w:r>
                <w:rPr>
                  <w:color w:val="003DA5"/>
                  <w:sz w:val="18"/>
                  <w:szCs w:val="18"/>
                </w:rPr>
                <w:t>salaketakanala@donostia.eus</w:t>
              </w:r>
            </w:hyperlink>
            <w:r>
              <w:rPr>
                <w:color w:val="003DA5"/>
                <w:sz w:val="18"/>
                <w:szCs w:val="18"/>
              </w:rPr>
              <w:t xml:space="preserve"> cualquier acto, conducta o situación irregular de los cuales tuviera conocimiento que se puedan presentar en el procesos de selección.</w:t>
            </w:r>
          </w:p>
        </w:tc>
      </w:tr>
      <w:tr>
        <w:trPr/>
        <w:tc>
          <w:tcPr>
            <w:tcW w:w="341" w:type="dxa"/>
            <w:tcBorders/>
          </w:tcPr>
          <w:p>
            <w:pPr>
              <w:pStyle w:val="Textbody"/>
              <w:widowControl w:val="false"/>
              <w:suppressLineNumbers/>
              <w:spacing w:before="57" w:after="57"/>
              <w:ind w:left="57" w:hanging="0"/>
              <w:rPr>
                <w:color w:val="003DA5"/>
              </w:rPr>
            </w:pPr>
            <w:r>
              <w:rPr>
                <w:color w:val="003DA5"/>
              </w:rPr>
              <w:t>e)</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Dirulaguntza onuradunek interes-gatazkarik ez dutela adierazteko adierazpena sinatzea.</w:t>
            </w:r>
          </w:p>
        </w:tc>
        <w:tc>
          <w:tcPr>
            <w:tcW w:w="621" w:type="dxa"/>
            <w:tcBorders/>
          </w:tcPr>
          <w:p>
            <w:pPr>
              <w:pStyle w:val="Standard"/>
              <w:widowControl w:val="false"/>
              <w:suppressLineNumbers/>
              <w:spacing w:before="57" w:after="57"/>
              <w:ind w:left="283" w:firstLine="57"/>
              <w:rPr>
                <w:color w:val="003DA5"/>
              </w:rPr>
            </w:pPr>
            <w:r>
              <w:rPr>
                <w:color w:val="003DA5"/>
              </w:rPr>
              <w:t>e)</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Suscribir la Declaración de Ausencia de Conflicto de intereses por parte de los/las beneficiarios/as de la subvención.</w:t>
            </w:r>
          </w:p>
        </w:tc>
      </w:tr>
      <w:tr>
        <w:trPr/>
        <w:tc>
          <w:tcPr>
            <w:tcW w:w="341" w:type="dxa"/>
            <w:tcBorders/>
          </w:tcPr>
          <w:p>
            <w:pPr>
              <w:pStyle w:val="Textbody"/>
              <w:widowControl w:val="false"/>
              <w:suppressLineNumbers/>
              <w:spacing w:before="57" w:after="57"/>
              <w:ind w:left="57" w:hanging="0"/>
              <w:rPr>
                <w:color w:val="003DA5"/>
              </w:rPr>
            </w:pPr>
            <w:r>
              <w:rPr>
                <w:color w:val="003DA5"/>
              </w:rPr>
              <w:t>f)</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Balorazio-batzordeari berehala jakinaraztea dirulaguntzaren jardueraren prozesu eta betearazpenaren esparruan izan daitezkeen interes-gatazkako egoerak, agerikoak edo errealak.</w:t>
            </w:r>
          </w:p>
        </w:tc>
        <w:tc>
          <w:tcPr>
            <w:tcW w:w="621" w:type="dxa"/>
            <w:tcBorders/>
          </w:tcPr>
          <w:p>
            <w:pPr>
              <w:pStyle w:val="Standard"/>
              <w:widowControl w:val="false"/>
              <w:suppressLineNumbers/>
              <w:spacing w:before="57" w:after="57"/>
              <w:ind w:left="283" w:firstLine="57"/>
              <w:rPr>
                <w:color w:val="003DA5"/>
              </w:rPr>
            </w:pPr>
            <w:r>
              <w:rPr>
                <w:color w:val="003DA5"/>
              </w:rPr>
              <w:t>f)</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Comunicar inmediatamente al comité de valoración las posibles situaciones de conflicto de intereses, aparentes o reales, de las que tuvieran conocimiento en el ámbito del proceso y ejecución de la actividad objeto de subvención.</w:t>
            </w:r>
          </w:p>
        </w:tc>
      </w:tr>
      <w:tr>
        <w:trPr/>
        <w:tc>
          <w:tcPr>
            <w:tcW w:w="341" w:type="dxa"/>
            <w:tcBorders/>
          </w:tcPr>
          <w:p>
            <w:pPr>
              <w:pStyle w:val="Textbody"/>
              <w:widowControl w:val="false"/>
              <w:suppressLineNumbers/>
              <w:spacing w:before="57" w:after="57"/>
              <w:ind w:left="57" w:hanging="0"/>
              <w:rPr>
                <w:color w:val="003DA5"/>
              </w:rPr>
            </w:pPr>
            <w:r>
              <w:rPr>
                <w:color w:val="003DA5"/>
              </w:rPr>
              <w:t>g)</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Erakunde emaileari kargu edo enplegatuei ez eskaintzea edo ez ematea abantaila pertsonalik edo materialik, ez beraientzat, ez beren familia- edo gizarte-ingurunearekin lotutako pertsonentzat, ezkontidearenak edo haiekin antzeko afektibitate-harreman batean bizi den pertsonarenak barne, ez eta laugarren mailara arteko odolkidetasuneko edo bigarren mailako ezkontza-ahaidetasuneko senideentzat ere.</w:t>
            </w:r>
          </w:p>
        </w:tc>
        <w:tc>
          <w:tcPr>
            <w:tcW w:w="621" w:type="dxa"/>
            <w:tcBorders/>
          </w:tcPr>
          <w:p>
            <w:pPr>
              <w:pStyle w:val="Standard"/>
              <w:widowControl w:val="false"/>
              <w:suppressLineNumbers/>
              <w:spacing w:before="57" w:after="57"/>
              <w:ind w:left="283" w:firstLine="57"/>
              <w:rPr>
                <w:color w:val="003DA5"/>
              </w:rPr>
            </w:pPr>
            <w:r>
              <w:rPr>
                <w:color w:val="003DA5"/>
              </w:rPr>
              <w:t>g)</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No ofrecer ni facilitar a cargos o empleados de la Entidad concedente ventajas personales o materiales, ni para ellos mismo ni para personas vinculadas con su entorno familiar o social, incluyendo los del cónyuge o persona con quien conviva en análoga relación de afectividad, los familiares dentro del cuarto grado de consanguinidad o segundo grado de afinidad.</w:t>
            </w:r>
          </w:p>
        </w:tc>
      </w:tr>
      <w:tr>
        <w:trPr/>
        <w:tc>
          <w:tcPr>
            <w:tcW w:w="341" w:type="dxa"/>
            <w:tcBorders/>
          </w:tcPr>
          <w:p>
            <w:pPr>
              <w:pStyle w:val="Textbody"/>
              <w:widowControl w:val="false"/>
              <w:suppressLineNumbers/>
              <w:spacing w:before="57" w:after="57"/>
              <w:ind w:left="57" w:hanging="0"/>
              <w:rPr>
                <w:color w:val="003DA5"/>
              </w:rPr>
            </w:pPr>
            <w:r>
              <w:rPr>
                <w:color w:val="003DA5"/>
              </w:rPr>
              <w:t>h)</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Dirulaguntzaren xede diren prestazioei dagozkien jardueren, lanbideen edo lanbideen printzipioak, arauak eta kanon etikoak behatzea</w:t>
            </w:r>
          </w:p>
        </w:tc>
        <w:tc>
          <w:tcPr>
            <w:tcW w:w="621" w:type="dxa"/>
            <w:tcBorders/>
          </w:tcPr>
          <w:p>
            <w:pPr>
              <w:pStyle w:val="Standard"/>
              <w:widowControl w:val="false"/>
              <w:suppressLineNumbers/>
              <w:spacing w:before="57" w:after="57"/>
              <w:ind w:left="283" w:firstLine="57"/>
              <w:rPr>
                <w:color w:val="003DA5"/>
              </w:rPr>
            </w:pPr>
            <w:r>
              <w:rPr>
                <w:color w:val="003DA5"/>
              </w:rPr>
              <w:t>h)</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Observar los principios, las normas y los cánones éticos propios de las actividades, los oficios o las profesiones correspondientes a las prestaciones objeto de la subvención.</w:t>
            </w:r>
          </w:p>
        </w:tc>
      </w:tr>
      <w:tr>
        <w:trPr/>
        <w:tc>
          <w:tcPr>
            <w:tcW w:w="341" w:type="dxa"/>
            <w:tcBorders/>
          </w:tcPr>
          <w:p>
            <w:pPr>
              <w:pStyle w:val="Textbody"/>
              <w:widowControl w:val="false"/>
              <w:suppressLineNumbers/>
              <w:spacing w:before="57" w:after="57"/>
              <w:ind w:left="57" w:hanging="0"/>
              <w:rPr>
                <w:color w:val="003DA5"/>
              </w:rPr>
            </w:pPr>
            <w:r>
              <w:rPr>
                <w:color w:val="003DA5"/>
              </w:rPr>
              <w:t>i)</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Interes publikoa arriskuan jartzen duen ekintzarik ez egitea</w:t>
            </w:r>
          </w:p>
        </w:tc>
        <w:tc>
          <w:tcPr>
            <w:tcW w:w="621" w:type="dxa"/>
            <w:tcBorders/>
          </w:tcPr>
          <w:p>
            <w:pPr>
              <w:pStyle w:val="Standard"/>
              <w:widowControl w:val="false"/>
              <w:suppressLineNumbers/>
              <w:spacing w:before="57" w:after="57"/>
              <w:ind w:left="283" w:firstLine="57"/>
              <w:rPr>
                <w:color w:val="003DA5"/>
              </w:rPr>
            </w:pPr>
            <w:r>
              <w:rPr>
                <w:color w:val="003DA5"/>
              </w:rPr>
              <w:t>i)</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No realizar acciones que pongan en riesgo el interés público.</w:t>
            </w:r>
          </w:p>
        </w:tc>
      </w:tr>
      <w:tr>
        <w:trPr/>
        <w:tc>
          <w:tcPr>
            <w:tcW w:w="341" w:type="dxa"/>
            <w:tcBorders/>
          </w:tcPr>
          <w:p>
            <w:pPr>
              <w:pStyle w:val="Textbody"/>
              <w:widowControl w:val="false"/>
              <w:suppressLineNumbers/>
              <w:spacing w:before="57" w:after="57"/>
              <w:ind w:left="57" w:hanging="0"/>
              <w:rPr>
                <w:color w:val="003DA5"/>
              </w:rPr>
            </w:pPr>
            <w:r>
              <w:rPr>
                <w:color w:val="003DA5"/>
              </w:rPr>
              <w:t>j)</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Konfidentzialtasun-arauak eta akordioak errespetatzea.</w:t>
            </w:r>
          </w:p>
        </w:tc>
        <w:tc>
          <w:tcPr>
            <w:tcW w:w="621" w:type="dxa"/>
            <w:tcBorders/>
          </w:tcPr>
          <w:p>
            <w:pPr>
              <w:pStyle w:val="Standard"/>
              <w:widowControl w:val="false"/>
              <w:suppressLineNumbers/>
              <w:spacing w:before="57" w:after="57"/>
              <w:ind w:left="283" w:firstLine="57"/>
              <w:rPr>
                <w:color w:val="003DA5"/>
              </w:rPr>
            </w:pPr>
            <w:r>
              <w:rPr>
                <w:color w:val="003DA5"/>
              </w:rPr>
              <w:t>j)</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Respetar los acuerdos y las normas de confidencialidad.</w:t>
            </w:r>
          </w:p>
        </w:tc>
      </w:tr>
      <w:tr>
        <w:trPr/>
        <w:tc>
          <w:tcPr>
            <w:tcW w:w="341" w:type="dxa"/>
            <w:tcBorders/>
          </w:tcPr>
          <w:p>
            <w:pPr>
              <w:pStyle w:val="Textbody"/>
              <w:widowControl w:val="false"/>
              <w:suppressLineNumbers/>
              <w:spacing w:before="57" w:after="57"/>
              <w:ind w:left="57" w:hanging="0"/>
              <w:rPr>
                <w:color w:val="003DA5"/>
              </w:rPr>
            </w:pPr>
            <w:r>
              <w:rPr>
                <w:color w:val="003DA5"/>
              </w:rPr>
              <w:t>k)</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Organo insturzio-egileari laguntzea dirulaguntza emateko ezarritako baldintzen betetze-mailaren jarraipena edo ebaluazioa egiteko eta iruzur-arriskua dagoela egiaztatzeko edo ebaluatzeko egiten dituen jardueretan, bereziki gardentasunari buruzko legeriak eta sektore publikoko kontratuek esleipendunei administrazioari dagokionez eskatzen dioten informazioa emanez, hargatik eragotzi gabe legez zuzenean dagozkien gardentasun-betebeharrak betetzea.</w:t>
            </w:r>
          </w:p>
        </w:tc>
        <w:tc>
          <w:tcPr>
            <w:tcW w:w="621" w:type="dxa"/>
            <w:tcBorders/>
          </w:tcPr>
          <w:p>
            <w:pPr>
              <w:pStyle w:val="Standard"/>
              <w:widowControl w:val="false"/>
              <w:suppressLineNumbers/>
              <w:spacing w:before="57" w:after="57"/>
              <w:ind w:left="283" w:firstLine="57"/>
              <w:rPr>
                <w:color w:val="003DA5"/>
              </w:rPr>
            </w:pPr>
            <w:r>
              <w:rPr>
                <w:color w:val="003DA5"/>
              </w:rPr>
              <w:t>k)</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Colaborar con el órgano instructor en las actuaciones que este realice para el seguimiento o la evaluación del cumplimiento de las condiciones impuestas en el acto de concesión de la subvención y de riesgo de fraude, particularmente facilitando la información que le sea solicitada para estas finalidades y que la legislación de transparencia y la Ley General de Subvenciones imponen a los beneficiarios en relación con la Administración, sin perjuicio del cumplimiento de las obligaciones de transparencia que les correspondan de forma directa por previsión legal.</w:t>
            </w:r>
          </w:p>
        </w:tc>
      </w:tr>
      <w:tr>
        <w:trPr/>
        <w:tc>
          <w:tcPr>
            <w:tcW w:w="341" w:type="dxa"/>
            <w:tcBorders/>
          </w:tcPr>
          <w:p>
            <w:pPr>
              <w:pStyle w:val="Textbody"/>
              <w:widowControl w:val="false"/>
              <w:suppressLineNumbers/>
              <w:spacing w:before="57" w:after="57"/>
              <w:ind w:left="57" w:hanging="0"/>
              <w:rPr>
                <w:color w:val="003DA5"/>
              </w:rPr>
            </w:pPr>
            <w:r>
              <w:rPr>
                <w:color w:val="003DA5"/>
              </w:rPr>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Era berean, Batasunaren finantza-interesen defentsan bete-betean lagundu beharko dute, eta beharrezko eskubideak eta sarbidea eman beharko dizkiete agintari nazional eskudunei, Europako Kontuen Auzitegiari, Iruzurraren aurka Borrokatzeko Europako Bulegoari eta, hala badagokio, Europako Fiskaltzari, dagozkien eskumenak erabat gauza ditzaten, betiere Berreskuratze eta Bizitegi Mekanismoa Ezartzen duen 2021/241 (EB) Erregelamenduaren 22.2.e) artikuluaren aurreikuspenen arabera. Betebehar horrek barne hartzen du ikerketak egiteko eskubidea, besteak beste, ikuskapenak eta kontrolak in situ egiteko.</w:t>
            </w:r>
          </w:p>
        </w:tc>
        <w:tc>
          <w:tcPr>
            <w:tcW w:w="621" w:type="dxa"/>
            <w:tcBorders/>
          </w:tcPr>
          <w:p>
            <w:pPr>
              <w:pStyle w:val="Standard"/>
              <w:widowControl w:val="false"/>
              <w:suppressLineNumbers/>
              <w:spacing w:before="57" w:after="57"/>
              <w:ind w:left="283" w:firstLine="57"/>
              <w:rPr>
                <w:color w:val="003DA5"/>
              </w:rPr>
            </w:pPr>
            <w:r>
              <w:rPr>
                <w:color w:val="003DA5"/>
              </w:rPr>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 xml:space="preserve">Asimismo, deberán cooperar plenamente en la defensa de los intereses financieros de la Unión y conceder los derechos y el acceso necesarios para que las autoridades nacionales competentes, el Tribunal de Cuentas Europeo, La Oficina Europea de Lucha contra el Fraude y, en su caso, la Fiscalía Europea ejerzan plenamente sus compentencias respectivas, conforme a las previsiones del artículo 22.2.e) del el Reglamento (UE) 2021/241 por el que se establece el Mecanismo de Recuperación y Resillencia. Esta obligación incluye el derecho a realizar investigaciones, entre otras actuaciones, inspecciones y controles </w:t>
            </w:r>
            <w:r>
              <w:rPr>
                <w:i/>
                <w:iCs/>
                <w:color w:val="003DA5"/>
                <w:sz w:val="18"/>
                <w:szCs w:val="18"/>
              </w:rPr>
              <w:t>in situ</w:t>
            </w:r>
            <w:r>
              <w:rPr>
                <w:color w:val="003DA5"/>
                <w:sz w:val="18"/>
                <w:szCs w:val="18"/>
              </w:rPr>
              <w:t>.</w:t>
            </w:r>
          </w:p>
        </w:tc>
      </w:tr>
      <w:tr>
        <w:trPr/>
        <w:tc>
          <w:tcPr>
            <w:tcW w:w="341" w:type="dxa"/>
            <w:tcBorders/>
          </w:tcPr>
          <w:p>
            <w:pPr>
              <w:pStyle w:val="Textbody"/>
              <w:widowControl w:val="false"/>
              <w:suppressLineNumbers/>
              <w:spacing w:before="57" w:after="57"/>
              <w:ind w:left="57" w:hanging="0"/>
              <w:rPr>
                <w:color w:val="003DA5"/>
              </w:rPr>
            </w:pPr>
            <w:r>
              <w:rPr>
                <w:color w:val="003DA5"/>
              </w:rPr>
              <w:t>l)</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Indarrean dagoen legeria ezagutu, sustatu eta betetzerakoan ahalik eta arreta handiena jartzea.</w:t>
            </w:r>
          </w:p>
        </w:tc>
        <w:tc>
          <w:tcPr>
            <w:tcW w:w="621" w:type="dxa"/>
            <w:tcBorders/>
          </w:tcPr>
          <w:p>
            <w:pPr>
              <w:pStyle w:val="Standard"/>
              <w:widowControl w:val="false"/>
              <w:suppressLineNumbers/>
              <w:spacing w:before="57" w:after="57"/>
              <w:ind w:left="283" w:firstLine="57"/>
              <w:rPr>
                <w:color w:val="003DA5"/>
              </w:rPr>
            </w:pPr>
            <w:r>
              <w:rPr>
                <w:color w:val="003DA5"/>
              </w:rPr>
              <w:t>l)</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Aplicar la máxima diligencia en el conocimiento, fomento y cumplimiento de la legalidad vigente.</w:t>
            </w:r>
          </w:p>
        </w:tc>
      </w:tr>
      <w:tr>
        <w:trPr/>
        <w:tc>
          <w:tcPr>
            <w:tcW w:w="341" w:type="dxa"/>
            <w:tcBorders/>
          </w:tcPr>
          <w:p>
            <w:pPr>
              <w:pStyle w:val="Textbody"/>
              <w:widowControl w:val="false"/>
              <w:suppressLineNumbers/>
              <w:spacing w:before="57" w:after="57"/>
              <w:ind w:left="57" w:hanging="0"/>
              <w:rPr>
                <w:color w:val="003DA5"/>
              </w:rPr>
            </w:pPr>
            <w:r>
              <w:rPr>
                <w:color w:val="003DA5"/>
              </w:rPr>
              <w:t>m)</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Kalte-gabetasunaren printzipioa bermatzea, bai eta irregulartasunak jakinarazten dituzten pertsonen anonimotasuna eta konfidentzialtasuna ere.</w:t>
            </w:r>
          </w:p>
        </w:tc>
        <w:tc>
          <w:tcPr>
            <w:tcW w:w="621" w:type="dxa"/>
            <w:tcBorders/>
          </w:tcPr>
          <w:p>
            <w:pPr>
              <w:pStyle w:val="Standard"/>
              <w:widowControl w:val="false"/>
              <w:suppressLineNumbers/>
              <w:spacing w:before="57" w:after="57"/>
              <w:ind w:left="283" w:firstLine="57"/>
              <w:rPr>
                <w:color w:val="003DA5"/>
              </w:rPr>
            </w:pPr>
            <w:r>
              <w:rPr>
                <w:color w:val="003DA5"/>
              </w:rPr>
              <w:t>m)</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Garantizar el principio de indemnidad, así como el anonimato y la confidencialidad a las personas que notifiquen irregularidades.</w:t>
            </w:r>
          </w:p>
        </w:tc>
      </w:tr>
      <w:tr>
        <w:trPr/>
        <w:tc>
          <w:tcPr>
            <w:tcW w:w="341" w:type="dxa"/>
            <w:tcBorders/>
          </w:tcPr>
          <w:p>
            <w:pPr>
              <w:pStyle w:val="Textbody"/>
              <w:widowControl w:val="false"/>
              <w:suppressLineNumbers/>
              <w:spacing w:before="57" w:after="57"/>
              <w:ind w:left="57" w:hanging="0"/>
              <w:rPr>
                <w:color w:val="003DA5"/>
              </w:rPr>
            </w:pPr>
            <w:r>
              <w:rPr>
                <w:color w:val="003DA5"/>
              </w:rPr>
              <w:t>n)</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Dirulaguntzaren xede den jarduera ekitate eta gardentasun fiskaleko irizpideekin gauzatzea, eta, beraz, prozesu honetatik eratorritako diru-sarrerak edo mozkinak osorik aitortu eta zergapetuko dira indarrean dagoen legeria fiskalaren arabera, eta inola ere ez da onartuko helbideak erabiltzea eta, ondorioz, zergak ordaintzea Ekonomia Lankidetza eta Garapenerako Erakundeak (ELGA) ezarritako paradisu fiskalen zerrendako orriren batean, ez zuzenean, ez enpresa filialen bitartez.</w:t>
            </w:r>
          </w:p>
        </w:tc>
        <w:tc>
          <w:tcPr>
            <w:tcW w:w="621" w:type="dxa"/>
            <w:tcBorders/>
          </w:tcPr>
          <w:p>
            <w:pPr>
              <w:pStyle w:val="Standard"/>
              <w:widowControl w:val="false"/>
              <w:suppressLineNumbers/>
              <w:spacing w:before="57" w:after="57"/>
              <w:ind w:left="283" w:firstLine="57"/>
              <w:rPr>
                <w:color w:val="003DA5"/>
              </w:rPr>
            </w:pPr>
            <w:r>
              <w:rPr>
                <w:color w:val="003DA5"/>
              </w:rPr>
              <w:t>n)</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Ejecutar la actividad objeto de la subvención con criterios de equidad y transparencia fiscal, por lo que los ingresos o beneficios procedentes del presente proceso serán íntegramente declarados y tributados conforme a legislación fiscal vigente, sin que resulte en ningún caso admitido la utilización de domicilios y su consiguiente tributación en algún páis de la lista de paraísos fiscales establecida por la Organización para la Cooperación y el Desarrollo  Económicos (OCDE), bien sea de forma directa o a través de empresas filiales.</w:t>
            </w:r>
          </w:p>
        </w:tc>
      </w:tr>
      <w:tr>
        <w:trPr/>
        <w:tc>
          <w:tcPr>
            <w:tcW w:w="341" w:type="dxa"/>
            <w:tcBorders/>
          </w:tcPr>
          <w:p>
            <w:pPr>
              <w:pStyle w:val="Textbody"/>
              <w:widowControl w:val="false"/>
              <w:suppressLineNumbers/>
              <w:spacing w:before="57" w:after="57"/>
              <w:ind w:left="57" w:hanging="0"/>
              <w:rPr>
                <w:color w:val="003DA5"/>
              </w:rPr>
            </w:pPr>
            <w:r>
              <w:rPr>
                <w:color w:val="003DA5"/>
              </w:rPr>
              <w:t>o)</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Iruzurra, ustelkeria eta interes-gatazkak prebenitzeko, detektatzeko eta zuzentzeko behar diren neurriak hartzea, eta, hala badagokio, ikusitako ez-betetzeak dagokien agintariei jakinaraztea</w:t>
            </w:r>
          </w:p>
        </w:tc>
        <w:tc>
          <w:tcPr>
            <w:tcW w:w="621" w:type="dxa"/>
            <w:tcBorders/>
          </w:tcPr>
          <w:p>
            <w:pPr>
              <w:pStyle w:val="Standard"/>
              <w:widowControl w:val="false"/>
              <w:suppressLineNumbers/>
              <w:spacing w:before="57" w:after="57"/>
              <w:ind w:left="283" w:firstLine="57"/>
              <w:rPr>
                <w:color w:val="003DA5"/>
              </w:rPr>
            </w:pPr>
            <w:r>
              <w:rPr>
                <w:color w:val="003DA5"/>
              </w:rPr>
              <w:t>o)</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Adoptar las medidas necesarias para prevenir, detectar y corregir el fraude, la corrupción y los conflictos de interés, comunicando en su caso a las autoridades que proceda los incumplimientos observados.</w:t>
            </w:r>
          </w:p>
        </w:tc>
      </w:tr>
      <w:tr>
        <w:trPr/>
        <w:tc>
          <w:tcPr>
            <w:tcW w:w="341" w:type="dxa"/>
            <w:tcBorders/>
          </w:tcPr>
          <w:p>
            <w:pPr>
              <w:pStyle w:val="Textbody"/>
              <w:widowControl w:val="false"/>
              <w:suppressLineNumbers/>
              <w:spacing w:before="57" w:after="57"/>
              <w:ind w:left="57" w:hanging="0"/>
              <w:rPr>
                <w:color w:val="003DA5"/>
              </w:rPr>
            </w:pPr>
            <w:r>
              <w:rPr>
                <w:color w:val="003DA5"/>
              </w:rPr>
              <w:t>p)</w:t>
            </w:r>
          </w:p>
        </w:tc>
        <w:tc>
          <w:tcPr>
            <w:tcW w:w="4823" w:type="dxa"/>
            <w:tcBorders/>
          </w:tcPr>
          <w:p>
            <w:pPr>
              <w:pStyle w:val="Standard"/>
              <w:widowControl w:val="false"/>
              <w:suppressLineNumbers/>
              <w:spacing w:before="57" w:after="57"/>
              <w:ind w:left="57" w:right="283" w:hanging="0"/>
              <w:rPr>
                <w:color w:val="003DA5"/>
                <w:sz w:val="18"/>
                <w:szCs w:val="18"/>
              </w:rPr>
            </w:pPr>
            <w:r>
              <w:rPr>
                <w:color w:val="003DA5"/>
                <w:sz w:val="18"/>
                <w:szCs w:val="18"/>
              </w:rPr>
              <w:t>Ekonomia zirkularraren printzipioak betetzea eta ingurumen-inpaktu negatibo adierazgarriak saihestea hautaketa-prozesu honen ondoriozko jarduerak gauzatzean.</w:t>
            </w:r>
          </w:p>
        </w:tc>
        <w:tc>
          <w:tcPr>
            <w:tcW w:w="621" w:type="dxa"/>
            <w:tcBorders/>
          </w:tcPr>
          <w:p>
            <w:pPr>
              <w:pStyle w:val="Standard"/>
              <w:widowControl w:val="false"/>
              <w:suppressLineNumbers/>
              <w:spacing w:before="57" w:after="57"/>
              <w:ind w:left="283" w:firstLine="57"/>
              <w:rPr>
                <w:color w:val="003DA5"/>
              </w:rPr>
            </w:pPr>
            <w:r>
              <w:rPr>
                <w:color w:val="003DA5"/>
              </w:rPr>
              <w:t>p)</w:t>
            </w:r>
          </w:p>
        </w:tc>
        <w:tc>
          <w:tcPr>
            <w:tcW w:w="4928" w:type="dxa"/>
            <w:tcBorders/>
          </w:tcPr>
          <w:p>
            <w:pPr>
              <w:pStyle w:val="Standard"/>
              <w:widowControl w:val="false"/>
              <w:suppressLineNumbers/>
              <w:spacing w:before="57" w:after="57"/>
              <w:ind w:left="57" w:hanging="0"/>
              <w:rPr>
                <w:color w:val="003DA5"/>
                <w:sz w:val="18"/>
                <w:szCs w:val="18"/>
              </w:rPr>
            </w:pPr>
            <w:r>
              <w:rPr>
                <w:color w:val="003DA5"/>
                <w:sz w:val="18"/>
                <w:szCs w:val="18"/>
              </w:rPr>
              <w:t>Cumplir con los principios de economía circular y evitar impactos negativos significativos en el medio ambiente («DNSH» por sus siglas en inglés «do no significant harm») en la ejecución de las actuaciones derivadas del presente proceso de selección.</w:t>
            </w:r>
          </w:p>
        </w:tc>
      </w:tr>
    </w:tbl>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color w:val="003DA5"/>
        </w:rPr>
      </w:r>
    </w:p>
    <w:p>
      <w:pPr>
        <w:pStyle w:val="Standard"/>
        <w:jc w:val="right"/>
        <w:rPr>
          <w:color w:val="003DA5"/>
        </w:rPr>
      </w:pPr>
      <w:r>
        <w:rPr/>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510" w:right="680" w:gutter="0" w:header="306" w:top="1553" w:footer="227" w:bottom="10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drawing>
        <wp:inline distT="0" distB="0" distL="0" distR="0">
          <wp:extent cx="6804660" cy="434340"/>
          <wp:effectExtent l="0" t="0" r="0" b="0"/>
          <wp:docPr id="3" name="Irudi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4" descr=""/>
                  <pic:cNvPicPr>
                    <a:picLocks noChangeAspect="1" noChangeArrowheads="1"/>
                  </pic:cNvPicPr>
                </pic:nvPicPr>
                <pic:blipFill>
                  <a:blip r:embed="rId1"/>
                  <a:stretch>
                    <a:fillRect/>
                  </a:stretch>
                </pic:blipFill>
                <pic:spPr bwMode="auto">
                  <a:xfrm>
                    <a:off x="0" y="0"/>
                    <a:ext cx="6804660" cy="434340"/>
                  </a:xfrm>
                  <a:prstGeom prst="rect">
                    <a:avLst/>
                  </a:prstGeom>
                </pic:spPr>
              </pic:pic>
            </a:graphicData>
          </a:graphic>
        </wp:inline>
      </w:drawing>
    </w:r>
  </w:p>
  <w:p>
    <w:pPr>
      <w:pStyle w:val="Orri-oina"/>
      <w:rPr/>
    </w:pPr>
    <w:r>
      <w:rPr/>
    </w:r>
  </w:p>
  <w:p>
    <w:pPr>
      <w:pStyle w:val="Orri-oina"/>
      <w:rPr/>
    </w:pPr>
    <w:r>
      <w:rPr/>
    </w:r>
  </w:p>
  <w:p>
    <w:pPr>
      <w:pStyle w:val="Orri-oina"/>
      <w:jc w:val="right"/>
      <w:rPr>
        <w:color w:val="000000"/>
        <w:sz w:val="18"/>
        <w:szCs w:val="18"/>
      </w:rPr>
    </w:pPr>
    <w:r>
      <w:rPr>
        <w:color w:val="000000"/>
        <w:sz w:val="18"/>
        <w:szCs w:val="18"/>
      </w:rPr>
      <w:fldChar w:fldCharType="begin"/>
    </w:r>
    <w:r>
      <w:rPr>
        <w:sz w:val="18"/>
        <w:szCs w:val="18"/>
        <w:color w:val="000000"/>
      </w:rPr>
      <w:instrText xml:space="preserve"> PAGE </w:instrText>
    </w:r>
    <w:r>
      <w:rPr>
        <w:sz w:val="18"/>
        <w:szCs w:val="18"/>
        <w:color w:val="000000"/>
      </w:rPr>
      <w:fldChar w:fldCharType="separate"/>
    </w:r>
    <w:r>
      <w:rPr>
        <w:sz w:val="18"/>
        <w:szCs w:val="18"/>
        <w:color w:val="000000"/>
      </w:rPr>
      <w:t>2</w:t>
    </w:r>
    <w:r>
      <w:rPr>
        <w:sz w:val="18"/>
        <w:szCs w:val="18"/>
        <w:color w:val="00000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drawing>
        <wp:inline distT="0" distB="0" distL="0" distR="0">
          <wp:extent cx="6804660" cy="434340"/>
          <wp:effectExtent l="0" t="0" r="0" b="0"/>
          <wp:docPr id="4" name="Irudi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udia4" descr=""/>
                  <pic:cNvPicPr>
                    <a:picLocks noChangeAspect="1" noChangeArrowheads="1"/>
                  </pic:cNvPicPr>
                </pic:nvPicPr>
                <pic:blipFill>
                  <a:blip r:embed="rId1"/>
                  <a:stretch>
                    <a:fillRect/>
                  </a:stretch>
                </pic:blipFill>
                <pic:spPr bwMode="auto">
                  <a:xfrm>
                    <a:off x="0" y="0"/>
                    <a:ext cx="6804660" cy="434340"/>
                  </a:xfrm>
                  <a:prstGeom prst="rect">
                    <a:avLst/>
                  </a:prstGeom>
                </pic:spPr>
              </pic:pic>
            </a:graphicData>
          </a:graphic>
        </wp:inline>
      </w:drawing>
    </w:r>
  </w:p>
  <w:p>
    <w:pPr>
      <w:pStyle w:val="Orri-oina"/>
      <w:rPr/>
    </w:pPr>
    <w:r>
      <w:rPr/>
    </w:r>
  </w:p>
  <w:p>
    <w:pPr>
      <w:pStyle w:val="Orri-oina"/>
      <w:rPr/>
    </w:pPr>
    <w:r>
      <w:rPr/>
    </w:r>
  </w:p>
  <w:p>
    <w:pPr>
      <w:pStyle w:val="Orri-oina"/>
      <w:jc w:val="right"/>
      <w:rPr>
        <w:color w:val="000000"/>
        <w:sz w:val="18"/>
        <w:szCs w:val="18"/>
      </w:rPr>
    </w:pPr>
    <w:r>
      <w:rPr>
        <w:color w:val="000000"/>
        <w:sz w:val="18"/>
        <w:szCs w:val="18"/>
      </w:rPr>
      <w:fldChar w:fldCharType="begin"/>
    </w:r>
    <w:r>
      <w:rPr>
        <w:sz w:val="18"/>
        <w:szCs w:val="18"/>
        <w:color w:val="000000"/>
      </w:rPr>
      <w:instrText xml:space="preserve"> PAGE </w:instrText>
    </w:r>
    <w:r>
      <w:rPr>
        <w:sz w:val="18"/>
        <w:szCs w:val="18"/>
        <w:color w:val="000000"/>
      </w:rPr>
      <w:fldChar w:fldCharType="separate"/>
    </w:r>
    <w:r>
      <w:rPr>
        <w:sz w:val="18"/>
        <w:szCs w:val="18"/>
        <w:color w:val="000000"/>
      </w:rPr>
      <w:t>2</w:t>
    </w:r>
    <w:r>
      <w:rPr>
        <w:sz w:val="18"/>
        <w:szCs w:val="18"/>
        <w:color w:val="00000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FRAG2"/>
      <w:rPr/>
    </w:pPr>
    <w:r>
      <w:rPr/>
      <w:drawing>
        <wp:anchor behindDoc="1" distT="0" distB="0" distL="0" distR="114300" simplePos="0" locked="0" layoutInCell="0" allowOverlap="1" relativeHeight="5">
          <wp:simplePos x="0" y="0"/>
          <wp:positionH relativeFrom="column">
            <wp:align>left</wp:align>
          </wp:positionH>
          <wp:positionV relativeFrom="paragraph">
            <wp:posOffset>635</wp:posOffset>
          </wp:positionV>
          <wp:extent cx="720090" cy="323850"/>
          <wp:effectExtent l="0" t="0" r="0" b="0"/>
          <wp:wrapSquare wrapText="bothSides"/>
          <wp:docPr id="1" name="Irudi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descr=""/>
                  <pic:cNvPicPr>
                    <a:picLocks noChangeAspect="1" noChangeArrowheads="1"/>
                  </pic:cNvPicPr>
                </pic:nvPicPr>
                <pic:blipFill>
                  <a:blip r:embed="rId1"/>
                  <a:stretch>
                    <a:fillRect/>
                  </a:stretch>
                </pic:blipFill>
                <pic:spPr bwMode="auto">
                  <a:xfrm>
                    <a:off x="0" y="0"/>
                    <a:ext cx="720090" cy="323850"/>
                  </a:xfrm>
                  <a:prstGeom prst="rect">
                    <a:avLst/>
                  </a:prstGeom>
                </pic:spPr>
              </pic:pic>
            </a:graphicData>
          </a:graphic>
        </wp:anchor>
      </w:drawing>
    </w:r>
  </w:p>
  <w:p>
    <w:pPr>
      <w:pStyle w:val="EstherFRAG2"/>
      <w:tabs>
        <w:tab w:val="clear" w:pos="4252"/>
        <w:tab w:val="clear" w:pos="8504"/>
        <w:tab w:val="center" w:pos="4950" w:leader="none"/>
        <w:tab w:val="right" w:pos="9202" w:leader="none"/>
      </w:tabs>
      <w:ind w:left="698" w:firstLine="203"/>
      <w:jc w:val="both"/>
      <w:rPr>
        <w:rFonts w:ascii="Arial" w:hAnsi="Arial"/>
        <w:spacing w:val="4"/>
        <w:sz w:val="6"/>
        <w:szCs w:val="6"/>
      </w:rPr>
    </w:pPr>
    <w:r>
      <w:rPr>
        <w:rFonts w:ascii="Arial" w:hAnsi="Arial"/>
        <w:spacing w:val="4"/>
        <w:sz w:val="6"/>
        <w:szCs w:val="6"/>
      </w:rPr>
    </w:r>
  </w:p>
  <w:p>
    <w:pPr>
      <w:pStyle w:val="EstherFRAG1"/>
      <w:ind w:firstLine="223"/>
      <w:jc w:val="both"/>
      <w:rPr>
        <w:rFonts w:ascii="Arial" w:hAnsi="Arial"/>
        <w:spacing w:val="4"/>
      </w:rPr>
    </w:pPr>
    <w:r>
      <w:rPr>
        <w:rFonts w:ascii="Arial" w:hAnsi="Arial"/>
        <w:spacing w:val="4"/>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FRAG2"/>
      <w:rPr/>
    </w:pPr>
    <w:r>
      <w:rPr/>
      <w:drawing>
        <wp:anchor behindDoc="1" distT="0" distB="0" distL="0" distR="114300" simplePos="0" locked="0" layoutInCell="0" allowOverlap="1" relativeHeight="5">
          <wp:simplePos x="0" y="0"/>
          <wp:positionH relativeFrom="column">
            <wp:align>left</wp:align>
          </wp:positionH>
          <wp:positionV relativeFrom="paragraph">
            <wp:posOffset>635</wp:posOffset>
          </wp:positionV>
          <wp:extent cx="720090" cy="323850"/>
          <wp:effectExtent l="0" t="0" r="0" b="0"/>
          <wp:wrapSquare wrapText="bothSides"/>
          <wp:docPr id="2" name="Irudi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udia2" descr=""/>
                  <pic:cNvPicPr>
                    <a:picLocks noChangeAspect="1" noChangeArrowheads="1"/>
                  </pic:cNvPicPr>
                </pic:nvPicPr>
                <pic:blipFill>
                  <a:blip r:embed="rId1"/>
                  <a:stretch>
                    <a:fillRect/>
                  </a:stretch>
                </pic:blipFill>
                <pic:spPr bwMode="auto">
                  <a:xfrm>
                    <a:off x="0" y="0"/>
                    <a:ext cx="720090" cy="323850"/>
                  </a:xfrm>
                  <a:prstGeom prst="rect">
                    <a:avLst/>
                  </a:prstGeom>
                </pic:spPr>
              </pic:pic>
            </a:graphicData>
          </a:graphic>
        </wp:anchor>
      </w:drawing>
    </w:r>
  </w:p>
  <w:p>
    <w:pPr>
      <w:pStyle w:val="EstherFRAG2"/>
      <w:tabs>
        <w:tab w:val="clear" w:pos="4252"/>
        <w:tab w:val="clear" w:pos="8504"/>
        <w:tab w:val="center" w:pos="4950" w:leader="none"/>
        <w:tab w:val="right" w:pos="9202" w:leader="none"/>
      </w:tabs>
      <w:ind w:left="698" w:firstLine="203"/>
      <w:jc w:val="both"/>
      <w:rPr>
        <w:rFonts w:ascii="Arial" w:hAnsi="Arial"/>
        <w:spacing w:val="4"/>
        <w:sz w:val="6"/>
        <w:szCs w:val="6"/>
      </w:rPr>
    </w:pPr>
    <w:r>
      <w:rPr>
        <w:rFonts w:ascii="Arial" w:hAnsi="Arial"/>
        <w:spacing w:val="4"/>
        <w:sz w:val="6"/>
        <w:szCs w:val="6"/>
      </w:rPr>
    </w:r>
  </w:p>
  <w:p>
    <w:pPr>
      <w:pStyle w:val="EstherFRAG1"/>
      <w:ind w:firstLine="223"/>
      <w:jc w:val="both"/>
      <w:rPr>
        <w:rFonts w:ascii="Arial" w:hAnsi="Arial"/>
        <w:spacing w:val="4"/>
      </w:rPr>
    </w:pPr>
    <w:r>
      <w:rPr>
        <w:rFonts w:ascii="Arial" w:hAnsi="Arial"/>
        <w:spacing w:val="4"/>
      </w:rPr>
      <w:t xml:space="preserve">      </w:t>
    </w:r>
  </w:p>
</w:hdr>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u-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kern w:val="2"/>
        <w:sz w:val="24"/>
        <w:szCs w:val="24"/>
        <w:lang w:val="eu-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textAlignment w:val="baseline"/>
    </w:pPr>
    <w:rPr>
      <w:rFonts w:ascii="Times New Roman" w:hAnsi="Times New Roman" w:eastAsia="Arial Unicode MS" w:cs="Mangal"/>
      <w:color w:val="auto"/>
      <w:kern w:val="2"/>
      <w:sz w:val="24"/>
      <w:szCs w:val="24"/>
      <w:lang w:val="eu-ES" w:eastAsia="zh-CN" w:bidi="hi-IN"/>
    </w:rPr>
  </w:style>
  <w:style w:type="paragraph" w:styleId="1izenburua">
    <w:name w:val="Heading 1"/>
    <w:basedOn w:val="StandardFRAG2"/>
    <w:next w:val="StandardFRAG2"/>
    <w:uiPriority w:val="9"/>
    <w:qFormat/>
    <w:pPr>
      <w:keepNext w:val="true"/>
      <w:spacing w:before="240" w:after="120"/>
      <w:outlineLvl w:val="0"/>
    </w:pPr>
    <w:rPr>
      <w:b/>
      <w:caps/>
      <w:u w:val="single"/>
    </w:rPr>
  </w:style>
  <w:style w:type="paragraph" w:styleId="2izenburua">
    <w:name w:val="Heading 2"/>
    <w:basedOn w:val="Standard"/>
    <w:next w:val="Standard"/>
    <w:uiPriority w:val="9"/>
    <w:semiHidden/>
    <w:unhideWhenUsed/>
    <w:qFormat/>
    <w:pPr>
      <w:keepNext w:val="true"/>
      <w:spacing w:before="240" w:after="60"/>
      <w:outlineLvl w:val="1"/>
    </w:pPr>
    <w:rPr>
      <w:b/>
    </w:rPr>
  </w:style>
  <w:style w:type="paragraph" w:styleId="3izenburua">
    <w:name w:val="Heading 3"/>
    <w:basedOn w:val="StandardFRAG2"/>
    <w:next w:val="Normal2FRAG2"/>
    <w:uiPriority w:val="9"/>
    <w:semiHidden/>
    <w:unhideWhenUsed/>
    <w:qFormat/>
    <w:pPr>
      <w:keepNext w:val="true"/>
      <w:spacing w:before="240" w:after="60"/>
      <w:ind w:left="851" w:hanging="0"/>
      <w:outlineLvl w:val="2"/>
    </w:pPr>
    <w:rPr>
      <w:b/>
    </w:rPr>
  </w:style>
  <w:style w:type="character" w:styleId="DefaultParagraphFont" w:default="1">
    <w:name w:val="Default Paragraph Font"/>
    <w:uiPriority w:val="1"/>
    <w:semiHidden/>
    <w:unhideWhenUsed/>
    <w:qFormat/>
    <w:rPr/>
  </w:style>
  <w:style w:type="character" w:styleId="CIMMarcador" w:customStyle="1">
    <w:name w:val="CIMMarcador"/>
    <w:qFormat/>
    <w:rPr>
      <w:shd w:fill="B2B2B2" w:val="clear"/>
    </w:rPr>
  </w:style>
  <w:style w:type="character" w:styleId="Internetlink" w:customStyle="1">
    <w:name w:val="Internet link"/>
    <w:qFormat/>
    <w:rPr>
      <w:color w:val="000080"/>
      <w:u w:val="single"/>
    </w:rPr>
  </w:style>
  <w:style w:type="character" w:styleId="VisitedInternetLink" w:customStyle="1">
    <w:name w:val="Visited Internet Link"/>
    <w:qFormat/>
    <w:rPr>
      <w:rFonts w:cs="Times New Roman"/>
      <w:color w:val="800080"/>
      <w:u w:val="single"/>
    </w:rPr>
  </w:style>
  <w:style w:type="character" w:styleId="Highlight" w:customStyle="1">
    <w:name w:val="highlight"/>
    <w:basedOn w:val="DefaultParagraphFont"/>
    <w:qFormat/>
    <w:rPr/>
  </w:style>
  <w:style w:type="character" w:styleId="Markedcontent" w:customStyle="1">
    <w:name w:val="markedcontent"/>
    <w:basedOn w:val="DefaultParagraphFont"/>
    <w:qFormat/>
    <w:rPr/>
  </w:style>
  <w:style w:type="character" w:styleId="Enfasia">
    <w:name w:val="Emphasis"/>
    <w:qFormat/>
    <w:rPr>
      <w:i/>
      <w:iCs/>
    </w:rPr>
  </w:style>
  <w:style w:type="character" w:styleId="Internetesteka">
    <w:name w:val="Hyperlink"/>
    <w:rPr>
      <w:color w:val="000080"/>
      <w:u w:val="single"/>
    </w:rPr>
  </w:style>
  <w:style w:type="paragraph" w:styleId="Izenburua" w:customStyle="1">
    <w:name w:val="Izenburua"/>
    <w:basedOn w:val="Standard"/>
    <w:next w:val="Textbody"/>
    <w:qFormat/>
    <w:pPr>
      <w:keepNext w:val="true"/>
      <w:spacing w:before="240" w:after="120"/>
    </w:pPr>
    <w:rPr>
      <w:rFonts w:eastAsia="Arial Unicode MS" w:cs="Mangal"/>
      <w:sz w:val="28"/>
      <w:szCs w:val="28"/>
    </w:rPr>
  </w:style>
  <w:style w:type="paragraph" w:styleId="Testu-gorputza">
    <w:name w:val="Body Text"/>
    <w:basedOn w:val="Normal"/>
    <w:pPr>
      <w:spacing w:lineRule="auto" w:line="276" w:before="0" w:after="140"/>
    </w:pPr>
    <w:rPr/>
  </w:style>
  <w:style w:type="paragraph" w:styleId="Zerrenda">
    <w:name w:val="List"/>
    <w:basedOn w:val="Textbody"/>
    <w:pPr/>
    <w:rPr>
      <w:rFonts w:cs="Mangal"/>
      <w:sz w:val="24"/>
    </w:rPr>
  </w:style>
  <w:style w:type="paragraph" w:styleId="Epigrafea">
    <w:name w:val="Caption"/>
    <w:basedOn w:val="Normal"/>
    <w:qFormat/>
    <w:pPr>
      <w:suppressLineNumbers/>
      <w:spacing w:before="120" w:after="120"/>
    </w:pPr>
    <w:rPr>
      <w:rFonts w:cs="Arial"/>
      <w:i/>
      <w:iCs/>
      <w:sz w:val="24"/>
      <w:szCs w:val="24"/>
    </w:rPr>
  </w:style>
  <w:style w:type="paragraph" w:styleId="Indizea" w:customStyle="1">
    <w:name w:val="Indizea"/>
    <w:basedOn w:val="Standard"/>
    <w:qFormat/>
    <w:pPr>
      <w:suppressLineNumbers/>
    </w:pPr>
    <w:rPr>
      <w:rFonts w:cs="Mangal"/>
      <w:sz w:val="24"/>
    </w:rPr>
  </w:style>
  <w:style w:type="paragraph" w:styleId="Standard" w:customStyle="1">
    <w:name w:val="Standard"/>
    <w:qFormat/>
    <w:pPr>
      <w:widowControl/>
      <w:suppressAutoHyphens w:val="true"/>
      <w:bidi w:val="0"/>
      <w:spacing w:before="0" w:after="0"/>
      <w:jc w:val="both"/>
      <w:textAlignment w:val="baseline"/>
    </w:pPr>
    <w:rPr>
      <w:rFonts w:ascii="Arial" w:hAnsi="Arial" w:eastAsia="Times New Roman" w:cs="Arial"/>
      <w:color w:val="auto"/>
      <w:kern w:val="2"/>
      <w:sz w:val="20"/>
      <w:szCs w:val="20"/>
      <w:lang w:val="eu-ES" w:eastAsia="zh-CN" w:bidi="hi-IN"/>
    </w:rPr>
  </w:style>
  <w:style w:type="paragraph" w:styleId="Textbody" w:customStyle="1">
    <w:name w:val="Text body"/>
    <w:basedOn w:val="StandardFRAG2"/>
    <w:qFormat/>
    <w:pPr>
      <w:spacing w:before="0" w:after="120"/>
    </w:pPr>
    <w:rPr/>
  </w:style>
  <w:style w:type="paragraph" w:styleId="Caption">
    <w:name w:val="caption"/>
    <w:basedOn w:val="Standard"/>
    <w:qFormat/>
    <w:pPr>
      <w:suppressLineNumbers/>
      <w:spacing w:before="120" w:after="120"/>
    </w:pPr>
    <w:rPr>
      <w:rFonts w:cs="Mangal"/>
      <w:i/>
      <w:iCs/>
      <w:sz w:val="24"/>
      <w:szCs w:val="24"/>
    </w:rPr>
  </w:style>
  <w:style w:type="paragraph" w:styleId="Goiburukoaetaorri-oina" w:customStyle="1">
    <w:name w:val="Goiburukoa eta orri-oina"/>
    <w:basedOn w:val="Standard"/>
    <w:qFormat/>
    <w:pPr>
      <w:suppressLineNumbers/>
      <w:tabs>
        <w:tab w:val="clear" w:pos="720"/>
        <w:tab w:val="center" w:pos="4819" w:leader="none"/>
        <w:tab w:val="right" w:pos="9638" w:leader="none"/>
      </w:tabs>
    </w:pPr>
    <w:rPr/>
  </w:style>
  <w:style w:type="paragraph" w:styleId="Goiburukoa">
    <w:name w:val="Header"/>
    <w:basedOn w:val="Standard"/>
    <w:pPr>
      <w:tabs>
        <w:tab w:val="clear" w:pos="720"/>
        <w:tab w:val="center" w:pos="4252" w:leader="none"/>
        <w:tab w:val="right" w:pos="8504" w:leader="none"/>
      </w:tabs>
    </w:pPr>
    <w:rPr>
      <w:rFonts w:ascii="Times New Roman" w:hAnsi="Times New Roman" w:cs="Times New Roman"/>
      <w:sz w:val="16"/>
    </w:rPr>
  </w:style>
  <w:style w:type="paragraph" w:styleId="Normal2" w:customStyle="1">
    <w:name w:val="normal2"/>
    <w:basedOn w:val="Standard"/>
    <w:qFormat/>
    <w:pPr>
      <w:ind w:left="851" w:hanging="0"/>
    </w:pPr>
    <w:rPr/>
  </w:style>
  <w:style w:type="paragraph" w:styleId="Orri-oina">
    <w:name w:val="Footer"/>
    <w:basedOn w:val="Standard"/>
    <w:pPr>
      <w:tabs>
        <w:tab w:val="clear" w:pos="720"/>
        <w:tab w:val="center" w:pos="4252" w:leader="none"/>
        <w:tab w:val="right" w:pos="8504" w:leader="none"/>
      </w:tabs>
    </w:pPr>
    <w:rPr/>
  </w:style>
  <w:style w:type="paragraph" w:styleId="Textoeuskera" w:customStyle="1">
    <w:name w:val="Texto euskera"/>
    <w:basedOn w:val="Textbody"/>
    <w:qFormat/>
    <w:pPr>
      <w:ind w:right="215" w:hanging="0"/>
    </w:pPr>
    <w:rPr/>
  </w:style>
  <w:style w:type="paragraph" w:styleId="Textocastellano" w:customStyle="1">
    <w:name w:val="Texto castellano"/>
    <w:basedOn w:val="Textbody"/>
    <w:qFormat/>
    <w:pPr>
      <w:ind w:left="215" w:hanging="0"/>
    </w:pPr>
    <w:rPr/>
  </w:style>
  <w:style w:type="paragraph" w:styleId="Aipamenak" w:customStyle="1">
    <w:name w:val="Aipamenak"/>
    <w:basedOn w:val="Standard"/>
    <w:qFormat/>
    <w:pPr>
      <w:spacing w:before="0" w:after="283"/>
      <w:ind w:left="567" w:right="567" w:hanging="0"/>
    </w:pPr>
    <w:rPr/>
  </w:style>
  <w:style w:type="paragraph" w:styleId="Titulua">
    <w:name w:val="Title"/>
    <w:basedOn w:val="Izenburua"/>
    <w:next w:val="Textbody"/>
    <w:uiPriority w:val="10"/>
    <w:qFormat/>
    <w:pPr>
      <w:jc w:val="center"/>
    </w:pPr>
    <w:rPr>
      <w:b/>
      <w:bCs/>
      <w:sz w:val="36"/>
      <w:szCs w:val="36"/>
    </w:rPr>
  </w:style>
  <w:style w:type="paragraph" w:styleId="Azpititulua">
    <w:name w:val="Subtitle"/>
    <w:basedOn w:val="Izenburua"/>
    <w:next w:val="Textbody"/>
    <w:uiPriority w:val="11"/>
    <w:qFormat/>
    <w:pPr>
      <w:jc w:val="center"/>
    </w:pPr>
    <w:rPr>
      <w:i/>
      <w:iCs/>
    </w:rPr>
  </w:style>
  <w:style w:type="paragraph" w:styleId="Textbodyindent" w:customStyle="1">
    <w:name w:val="Text body indent"/>
    <w:basedOn w:val="Textbody"/>
    <w:qFormat/>
    <w:pPr>
      <w:ind w:left="283" w:hanging="0"/>
    </w:pPr>
    <w:rPr/>
  </w:style>
  <w:style w:type="paragraph" w:styleId="Esther" w:customStyle="1">
    <w:name w:val="Esther"/>
    <w:basedOn w:val="Goiburukoa"/>
    <w:qFormat/>
    <w:pPr>
      <w:jc w:val="left"/>
    </w:pPr>
    <w:rPr>
      <w:szCs w:val="16"/>
    </w:rPr>
  </w:style>
  <w:style w:type="paragraph" w:styleId="NormalaWeb" w:customStyle="1">
    <w:name w:val="Normala (Web)"/>
    <w:basedOn w:val="Standard"/>
    <w:qFormat/>
    <w:pPr>
      <w:spacing w:lineRule="atLeast" w:line="100" w:before="280" w:after="280"/>
    </w:pPr>
    <w:rPr>
      <w:sz w:val="24"/>
      <w:szCs w:val="24"/>
    </w:rPr>
  </w:style>
  <w:style w:type="paragraph" w:styleId="NormalWeb">
    <w:name w:val="Normal (Web)"/>
    <w:basedOn w:val="Standard"/>
    <w:qFormat/>
    <w:pPr>
      <w:spacing w:before="280" w:after="280"/>
    </w:pPr>
    <w:rPr>
      <w:rFonts w:ascii="Times New Roman" w:hAnsi="Times New Roman" w:cs="Times New Roman"/>
      <w:sz w:val="24"/>
      <w:szCs w:val="24"/>
      <w:lang w:eastAsia="es-ES"/>
    </w:rPr>
  </w:style>
  <w:style w:type="paragraph" w:styleId="Taularenedukia" w:customStyle="1">
    <w:name w:val="Taularen edukia"/>
    <w:basedOn w:val="Standard"/>
    <w:qFormat/>
    <w:pPr>
      <w:widowControl w:val="false"/>
      <w:suppressLineNumbers/>
    </w:pPr>
    <w:rPr/>
  </w:style>
  <w:style w:type="paragraph" w:styleId="Taularenizenburua" w:customStyle="1">
    <w:name w:val="Taularen izenburua"/>
    <w:basedOn w:val="Taularenedukia"/>
    <w:qFormat/>
    <w:pPr>
      <w:jc w:val="center"/>
    </w:pPr>
    <w:rPr>
      <w:b/>
      <w:bCs/>
    </w:rPr>
  </w:style>
  <w:style w:type="paragraph" w:styleId="StandardFRAG1" w:customStyle="1">
    <w:name w:val="Standard_FRAG_1"/>
    <w:qFormat/>
    <w:pPr>
      <w:widowControl/>
      <w:suppressAutoHyphens w:val="true"/>
      <w:bidi w:val="0"/>
      <w:spacing w:before="0" w:after="0"/>
      <w:jc w:val="both"/>
      <w:textAlignment w:val="baseline"/>
    </w:pPr>
    <w:rPr>
      <w:rFonts w:ascii="Arial" w:hAnsi="Arial" w:eastAsia="Times New Roman" w:cs="Arial"/>
      <w:color w:val="auto"/>
      <w:kern w:val="2"/>
      <w:sz w:val="20"/>
      <w:szCs w:val="20"/>
      <w:lang w:val="eu-ES" w:eastAsia="zh-CN" w:bidi="hi-IN"/>
    </w:rPr>
  </w:style>
  <w:style w:type="paragraph" w:styleId="HeadingFRAG1" w:customStyle="1">
    <w:name w:val="Heading_FRAG_1"/>
    <w:basedOn w:val="StandardFRAG1"/>
    <w:next w:val="Textbody"/>
    <w:qFormat/>
    <w:pPr>
      <w:keepNext w:val="true"/>
      <w:spacing w:before="240" w:after="120"/>
    </w:pPr>
    <w:rPr>
      <w:rFonts w:eastAsia="Arial Unicode MS" w:cs="Mangal"/>
      <w:sz w:val="28"/>
      <w:szCs w:val="28"/>
    </w:rPr>
  </w:style>
  <w:style w:type="paragraph" w:styleId="ListFRAG1" w:customStyle="1">
    <w:name w:val="List_FRAG_1"/>
    <w:basedOn w:val="Textbody"/>
    <w:qFormat/>
    <w:pPr/>
    <w:rPr>
      <w:rFonts w:cs="Mangal"/>
      <w:sz w:val="24"/>
    </w:rPr>
  </w:style>
  <w:style w:type="paragraph" w:styleId="CaptionFRAG1" w:customStyle="1">
    <w:name w:val="Caption_FRAG_1"/>
    <w:basedOn w:val="StandardFRAG1"/>
    <w:qFormat/>
    <w:pPr>
      <w:suppressLineNumbers/>
      <w:spacing w:before="120" w:after="120"/>
    </w:pPr>
    <w:rPr>
      <w:rFonts w:cs="Mangal"/>
      <w:i/>
      <w:iCs/>
      <w:sz w:val="24"/>
      <w:szCs w:val="24"/>
    </w:rPr>
  </w:style>
  <w:style w:type="paragraph" w:styleId="IndexFRAG1" w:customStyle="1">
    <w:name w:val="Index_FRAG_1"/>
    <w:basedOn w:val="StandardFRAG1"/>
    <w:qFormat/>
    <w:pPr>
      <w:suppressLineNumbers/>
    </w:pPr>
    <w:rPr>
      <w:rFonts w:cs="Mangal"/>
      <w:sz w:val="24"/>
    </w:rPr>
  </w:style>
  <w:style w:type="paragraph" w:styleId="HeaderFRAG1" w:customStyle="1">
    <w:name w:val="Header_FRAG_1"/>
    <w:basedOn w:val="StandardFRAG1"/>
    <w:qFormat/>
    <w:pPr>
      <w:tabs>
        <w:tab w:val="clear" w:pos="720"/>
        <w:tab w:val="center" w:pos="4252" w:leader="none"/>
        <w:tab w:val="right" w:pos="8504" w:leader="none"/>
      </w:tabs>
    </w:pPr>
    <w:rPr>
      <w:rFonts w:ascii="Times New Roman" w:hAnsi="Times New Roman" w:cs="Times New Roman"/>
      <w:sz w:val="16"/>
    </w:rPr>
  </w:style>
  <w:style w:type="paragraph" w:styleId="Normal2FRAG1" w:customStyle="1">
    <w:name w:val="normal2_FRAG_1"/>
    <w:basedOn w:val="StandardFRAG1"/>
    <w:qFormat/>
    <w:pPr>
      <w:ind w:left="851" w:hanging="0"/>
    </w:pPr>
    <w:rPr/>
  </w:style>
  <w:style w:type="paragraph" w:styleId="FooterFRAG1" w:customStyle="1">
    <w:name w:val="Footer_FRAG_1"/>
    <w:basedOn w:val="StandardFRAG1"/>
    <w:qFormat/>
    <w:pPr>
      <w:tabs>
        <w:tab w:val="clear" w:pos="720"/>
        <w:tab w:val="center" w:pos="4252" w:leader="none"/>
        <w:tab w:val="right" w:pos="8504" w:leader="none"/>
      </w:tabs>
    </w:pPr>
    <w:rPr/>
  </w:style>
  <w:style w:type="paragraph" w:styleId="QuotationsFRAG1" w:customStyle="1">
    <w:name w:val="Quotations_FRAG_1"/>
    <w:basedOn w:val="StandardFRAG1"/>
    <w:qFormat/>
    <w:pPr>
      <w:spacing w:before="0" w:after="283"/>
      <w:ind w:left="567" w:right="567" w:hanging="0"/>
    </w:pPr>
    <w:rPr/>
  </w:style>
  <w:style w:type="paragraph" w:styleId="TitleFRAG1" w:customStyle="1">
    <w:name w:val="Title_FRAG_1"/>
    <w:basedOn w:val="HeadingFRAG1"/>
    <w:next w:val="Textbody"/>
    <w:qFormat/>
    <w:pPr>
      <w:jc w:val="center"/>
    </w:pPr>
    <w:rPr>
      <w:b/>
      <w:bCs/>
      <w:sz w:val="36"/>
      <w:szCs w:val="36"/>
    </w:rPr>
  </w:style>
  <w:style w:type="paragraph" w:styleId="SubtitleFRAG1" w:customStyle="1">
    <w:name w:val="Subtitle_FRAG_1"/>
    <w:basedOn w:val="HeadingFRAG1"/>
    <w:next w:val="Textbody"/>
    <w:qFormat/>
    <w:pPr>
      <w:jc w:val="center"/>
    </w:pPr>
    <w:rPr>
      <w:i/>
      <w:iCs/>
    </w:rPr>
  </w:style>
  <w:style w:type="paragraph" w:styleId="EstherFRAG1" w:customStyle="1">
    <w:name w:val="Esther_FRAG_1"/>
    <w:basedOn w:val="HeaderFRAG1"/>
    <w:qFormat/>
    <w:pPr>
      <w:jc w:val="left"/>
    </w:pPr>
    <w:rPr>
      <w:szCs w:val="16"/>
    </w:rPr>
  </w:style>
  <w:style w:type="paragraph" w:styleId="StandardFRAG2" w:customStyle="1">
    <w:name w:val="Standard_FRAG_2"/>
    <w:qFormat/>
    <w:pPr>
      <w:widowControl/>
      <w:suppressAutoHyphens w:val="true"/>
      <w:bidi w:val="0"/>
      <w:spacing w:before="0" w:after="0"/>
      <w:jc w:val="both"/>
      <w:textAlignment w:val="baseline"/>
    </w:pPr>
    <w:rPr>
      <w:rFonts w:ascii="Arial" w:hAnsi="Arial" w:eastAsia="Times New Roman" w:cs="Arial"/>
      <w:color w:val="auto"/>
      <w:kern w:val="2"/>
      <w:sz w:val="20"/>
      <w:szCs w:val="20"/>
      <w:lang w:val="eu-ES" w:eastAsia="zh-CN" w:bidi="hi-IN"/>
    </w:rPr>
  </w:style>
  <w:style w:type="paragraph" w:styleId="HeadingFRAG2" w:customStyle="1">
    <w:name w:val="Heading_FRAG_2"/>
    <w:basedOn w:val="StandardFRAG2"/>
    <w:next w:val="Textbody"/>
    <w:qFormat/>
    <w:pPr>
      <w:keepNext w:val="true"/>
      <w:spacing w:before="240" w:after="120"/>
    </w:pPr>
    <w:rPr>
      <w:rFonts w:eastAsia="Arial Unicode MS" w:cs="Mangal"/>
      <w:sz w:val="28"/>
      <w:szCs w:val="28"/>
    </w:rPr>
  </w:style>
  <w:style w:type="paragraph" w:styleId="ListFRAG2" w:customStyle="1">
    <w:name w:val="List_FRAG_2"/>
    <w:basedOn w:val="Textbody"/>
    <w:qFormat/>
    <w:pPr/>
    <w:rPr>
      <w:rFonts w:cs="Mangal"/>
      <w:sz w:val="24"/>
    </w:rPr>
  </w:style>
  <w:style w:type="paragraph" w:styleId="CaptionFRAG2" w:customStyle="1">
    <w:name w:val="Caption_FRAG_2"/>
    <w:basedOn w:val="StandardFRAG2"/>
    <w:qFormat/>
    <w:pPr>
      <w:suppressLineNumbers/>
      <w:spacing w:before="120" w:after="120"/>
    </w:pPr>
    <w:rPr>
      <w:rFonts w:cs="Mangal"/>
      <w:i/>
      <w:iCs/>
      <w:sz w:val="24"/>
      <w:szCs w:val="24"/>
    </w:rPr>
  </w:style>
  <w:style w:type="paragraph" w:styleId="IndexFRAG2" w:customStyle="1">
    <w:name w:val="Index_FRAG_2"/>
    <w:basedOn w:val="StandardFRAG2"/>
    <w:qFormat/>
    <w:pPr>
      <w:suppressLineNumbers/>
    </w:pPr>
    <w:rPr>
      <w:rFonts w:cs="Mangal"/>
      <w:sz w:val="24"/>
    </w:rPr>
  </w:style>
  <w:style w:type="paragraph" w:styleId="HeaderFRAG2" w:customStyle="1">
    <w:name w:val="Header_FRAG_2"/>
    <w:basedOn w:val="StandardFRAG2"/>
    <w:qFormat/>
    <w:pPr>
      <w:tabs>
        <w:tab w:val="clear" w:pos="720"/>
        <w:tab w:val="center" w:pos="4252" w:leader="none"/>
        <w:tab w:val="right" w:pos="8504" w:leader="none"/>
      </w:tabs>
    </w:pPr>
    <w:rPr>
      <w:rFonts w:ascii="Times New Roman" w:hAnsi="Times New Roman" w:cs="Times New Roman"/>
      <w:sz w:val="16"/>
    </w:rPr>
  </w:style>
  <w:style w:type="paragraph" w:styleId="Normal2FRAG2" w:customStyle="1">
    <w:name w:val="normal2_FRAG_2"/>
    <w:basedOn w:val="StandardFRAG2"/>
    <w:qFormat/>
    <w:pPr>
      <w:ind w:left="851" w:hanging="0"/>
    </w:pPr>
    <w:rPr/>
  </w:style>
  <w:style w:type="paragraph" w:styleId="FooterFRAG2" w:customStyle="1">
    <w:name w:val="Footer_FRAG_2"/>
    <w:basedOn w:val="StandardFRAG2"/>
    <w:qFormat/>
    <w:pPr>
      <w:tabs>
        <w:tab w:val="clear" w:pos="720"/>
        <w:tab w:val="center" w:pos="4252" w:leader="none"/>
        <w:tab w:val="right" w:pos="8504" w:leader="none"/>
      </w:tabs>
    </w:pPr>
    <w:rPr/>
  </w:style>
  <w:style w:type="paragraph" w:styleId="QuotationsFRAG2" w:customStyle="1">
    <w:name w:val="Quotations_FRAG_2"/>
    <w:basedOn w:val="StandardFRAG2"/>
    <w:qFormat/>
    <w:pPr>
      <w:spacing w:before="0" w:after="283"/>
      <w:ind w:left="567" w:right="567" w:hanging="0"/>
    </w:pPr>
    <w:rPr/>
  </w:style>
  <w:style w:type="paragraph" w:styleId="TitleFRAG2" w:customStyle="1">
    <w:name w:val="Title_FRAG_2"/>
    <w:basedOn w:val="HeadingFRAG2"/>
    <w:next w:val="Textbody"/>
    <w:qFormat/>
    <w:pPr>
      <w:jc w:val="center"/>
    </w:pPr>
    <w:rPr>
      <w:b/>
      <w:bCs/>
      <w:sz w:val="36"/>
      <w:szCs w:val="36"/>
    </w:rPr>
  </w:style>
  <w:style w:type="paragraph" w:styleId="SubtitleFRAG2" w:customStyle="1">
    <w:name w:val="Subtitle_FRAG_2"/>
    <w:basedOn w:val="HeadingFRAG2"/>
    <w:next w:val="Textbody"/>
    <w:qFormat/>
    <w:pPr>
      <w:jc w:val="center"/>
    </w:pPr>
    <w:rPr>
      <w:i/>
      <w:iCs/>
    </w:rPr>
  </w:style>
  <w:style w:type="paragraph" w:styleId="EstherFRAG2" w:customStyle="1">
    <w:name w:val="Esther_FRAG_2"/>
    <w:basedOn w:val="HeaderFRAG2"/>
    <w:qFormat/>
    <w:pPr>
      <w:jc w:val="left"/>
    </w:pPr>
    <w:rPr>
      <w:szCs w:val="16"/>
    </w:rPr>
  </w:style>
  <w:style w:type="paragraph" w:styleId="ListParagraph">
    <w:name w:val="List Paragraph"/>
    <w:basedOn w:val="Standard"/>
    <w:qFormat/>
    <w:pPr>
      <w:spacing w:before="0" w:after="160"/>
      <w:ind w:left="720" w:hanging="0"/>
      <w:contextualSpacing/>
    </w:pPr>
    <w:rPr/>
  </w:style>
  <w:style w:type="paragraph" w:styleId="Endnote" w:customStyle="1">
    <w:name w:val="Endnote"/>
    <w:basedOn w:val="Standard"/>
    <w:qFormat/>
    <w:pPr/>
    <w:rPr>
      <w:rFonts w:eastAsia="Arial"/>
      <w:color w:val="000000"/>
      <w:lang w:val="es-ES" w:eastAsia="hi-IN"/>
    </w:rPr>
  </w:style>
  <w:style w:type="paragraph" w:styleId="Footnote" w:customStyle="1">
    <w:name w:val="Footnote"/>
    <w:basedOn w:val="Standard"/>
    <w:qFormat/>
    <w:pPr/>
    <w:rPr>
      <w:rFonts w:ascii="Times New Roman" w:hAnsi="Times New Roman" w:cs="Times New Roman"/>
      <w:lang w:eastAsia="es-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alaketakanala@donostia.eus" TargetMode="External"/><Relationship Id="rId3" Type="http://schemas.openxmlformats.org/officeDocument/2006/relationships/hyperlink" Target="mailto:salaketakanala@donostia.eu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E5D8-34A8-40AF-97DD-F2494213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Application>LibreOffice/7.5.7.1$Windows_X86_64 LibreOffice_project/47eb0cf7efbacdee9b19ae25d6752381ede23126</Application>
  <AppVersion>15.0000</AppVersion>
  <Pages>2</Pages>
  <Words>1204</Words>
  <Characters>7830</Characters>
  <CharactersWithSpaces>8970</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2022-05-16T13:17:00Z</dcterms:created>
  <dc:creator/>
  <dc:description/>
  <dc:language>eu-ES</dc:language>
  <cp:lastModifiedBy/>
  <cp:lastPrinted>2023-02-07T08:46:00Z</cp:lastPrinted>
  <dcterms:modified xsi:type="dcterms:W3CDTF">2024-01-23T13:06:17Z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