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footer1.xml.rels" ContentType="application/vnd.openxmlformats-package.relationships+xml"/>
  <Override PartName="/word/_rels/header1.xml.rels" ContentType="application/vnd.openxmlformats-package.relationship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settings.xml" ContentType="application/vnd.openxmlformats-officedocument.wordprocessingml.settings+xml"/>
  <Override PartName="/word/numbering.xml" ContentType="application/vnd.openxmlformats-officedocument.wordprocessingml.numbering+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officedocument/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xmlns:wp="http://schemas.openxmlformats.org/drawingml/2006/wordprocessingDrawing" xmlns:o="urn:schemas-microsoft-com:office:office" xmlns:v="urn:schemas-microsoft-com:vml" xmlns:w="http://schemas.openxmlformats.org/wordprocessingml/2006/main" xmlns:r="http://schemas.openxmlformats.org/officeDocument/2006/relationships" xmlns:mc="http://schemas.openxmlformats.org/markup-compatibility/2006" xmlns:w10="urn:schemas-microsoft-com:office:word" xmlns:wps="http://schemas.microsoft.com/office/word/2010/wordprocessingShape" xmlns:w14="http://schemas.microsoft.com/office/word/2010/wordml" xmlns:wp14="http://schemas.microsoft.com/office/word/2010/wordprocessingDrawing">
      <w:r>
        <w:rPr>
          <w:noProof/>
        </w:rPr>
        <mc:AlternateContent>
          <mc:Choice Requires="wps">
            <w:drawing>
              <wp:anchor distT="0" distB="0" distL="114300" distR="114300" simplePos="0" relativeHeight="251659264" behindDoc="0" locked="0" layoutInCell="1" allowOverlap="1">
                <wp:simplePos x="0" y="0"/>
                <wp:positionH relativeFrom="leftMargin">
                  <wp:align>left</wp:align>
                </wp:positionH>
                <wp:positionV relativeFrom="page">
                  <wp:posOffset>0</wp:posOffset>
                </wp:positionV>
                <wp:extent cx="7765200" cy="219600"/>
                <wp:effectExtent l="0" t="0" r="0" b="9525"/>
                <wp:wrapNone/>
                <wp:docPr id="100010111" name="ODT_ATTR_LBL_SHAPE"/>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65200" cy="219600"/>
                        </a:xfrm>
                        <a:prstGeom prst="rect">
                          <a:avLst/>
                        </a:prstGeom>
                        <a:solidFill>
                          <a:srgbClr val="f2f2f2"/>
                        </a:solidFill>
                        <a:ln w="9525">
                          <a:noFill/>
                          <a:miter lim="800000"/>
                          <a:headEnd/>
                          <a:tailEnd/>
                        </a:ln>
                      </wps:spPr>
                      <wps:txbx>
                        <w:txbxContent>
                          <w:p>
                            <w:pPr>
                              <!--  bidi  -->
                              <w:spacing w:line="240" w:lineRule="auto"/>
                              <w:contextualSpacing/>
                              <w:jc w:val="left"/>
                            </w:pPr>
                            <w:r>
                              <w:rPr>
                                <w:noProof/>
                                <w:position w:val="-6"/>
                                <!-- rtl -->
                              </w:rPr>
                              <w:drawing>
                                <wp:inline distT="0" distB="0" distL="0" distR="0">
                                  <wp:extent cx="316230" cy="179705"/>
                                  <wp:effectExtent l="0" t="0" r="0" b="0"/>
                                  <wp:docPr id="100010001" name="LOGO"/>
                                  <wp:cNvGraphicFramePr/>
                                  <a:graphic xmlns:a="http://schemas.openxmlformats.org/drawingml/2006/main">
                                    <a:graphicData uri="http://schemas.openxmlformats.org/drawingml/2006/picture">
                                      <pic:pic xmlns:pic="http://schemas.openxmlformats.org/drawingml/2006/picture">
                                        <pic:nvPicPr>
                                          <pic:cNvPr id="100010001" name="LOGO"/>
                                          <pic:cNvPicPr/>
                                        </pic:nvPicPr>
                                        <pic:blipFill>
                                          <a:blip r:embed="r_odt_logo" cstate="print">
                                            <a:extLst>
                                              <a:ext uri="{28A0092B-C50C-407E-A947-70E740481C1C}">
                                                <a14:useLocalDpi xmlns:a14="http://schemas.microsoft.com/office/drawing/2010/main" val="0"/>
                                              </a:ext>
                                            </a:extLst>
                                          </a:blip>
                                          <a:stretch>
                                            <a:fillRect/>
                                          </a:stretch>
                                        </pic:blipFill>
                                        <pic:spPr>
                                          <a:xfrm>
                                            <a:off x="0" y="0"/>
                                            <a:ext cx="316230" cy="179705"/>
                                          </a:xfrm>
                                          <a:prstGeom prst="rect">
                                            <a:avLst/>
                                          </a:prstGeom>
                                        </pic:spPr>
                                      </pic:pic>
                                    </a:graphicData>
                                  </a:graphic>
                                </wp:inline>
                              </w:drawing>
                            </w:r>
                            <w:r>
                              <w:rPr>
                                <w:rFonts w:ascii="Roboto" w:hAnsi="Roboto"/>
                                <w:color w:val="0F2B46"/>
                                <w:szCs w:val="18"/>
                              </w:rPr>
                              <w:t xml:space="preserve"> </w:t>
                            </w:r>
                            <w:hyperlink r:id="r_odt_hyperlink" w:history="1" w:tooltip="Doc Translator - www.onlinedoctranslator.com">
                              <w:r>
                                <w:rPr>
                                  <w:rFonts w:ascii="Roboto" w:hAnsi="Roboto"/>
                                  <w:color w:val="0F2B46"/>
                                  <w:sz w:val="18"/>
                                  <w:szCs w:val="18"/>
                                  <!-- rtl -->
                                </w:rPr>
                                <w:t xml:space="preserve">Traducido del catalán al español - </w:t>
                              </w:r>
                              <w:r>
                                <w:rPr>
                                  <w:rFonts w:ascii="Roboto" w:hAnsi="Roboto"/>
                                  <w:color w:val="0F2B46"/>
                                  <w:sz w:val="18"/>
                                  <w:szCs w:val="18"/>
                                  <w:u w:val="single"/>
                                </w:rPr>
                                <w:t>www.onlinedoctranslator.com</w:t>
                              </w:r>
                            </w:hyperlink>
                          </w:p>
                        </w:txbxContent>
                      </wps:txbx>
                      <wps:bodyPr rot="0" vert="horz" wrap="square" lIns="91440" tIns="0" rIns="91440" bIns="0" anchor="t" anchorCtr="0">
                        <a:noAutofit/>
                      </wps:bodyPr>
                    </wps:wsp>
                  </a:graphicData>
                </a:graphic>
                <wp14:sizeRelH relativeFrom="page">
                  <wp14:pctWidth>100000</wp14:pctWidth>
                </wp14:sizeRelH>
                <wp14:sizeRelV relativeFrom="margin">
                  <wp14:pctHeight>0</wp14:pctHeight>
                </wp14:sizeRelV>
              </wp:anchor>
            </w:drawing>
          </mc:Choice>
          <mc:Fallback>
            <w:pict>
              <v:shape id="ODT_ATTR_LBL_SHAPE" type="#_x0000_t202" style="position:absolute;left:0;text-align:left;margin-left:0;margin-top:0;width:611.45pt;height:17.3pt;z-index:251659264;visibility:visible;mso-wrap-style:square;mso-width-percent:1000;mso-height-percent:0;mso-wrap-distance-left:9pt;mso-wrap-distance-top:3.6pt;mso-wrap-distance-right:9pt;mso-wrap-distance-bottom:3.6pt;mso-position-horizontal:absolute;mso-position-horizontal-relative:page;mso-position-vertical:absolute;mso-position-vertical-relative:page;mso-width-percent:1000;mso-height-percent:0;mso-width-relative:page;mso-height-relative:margin;v-text-anchor:top" o:gfxdata="" fillcolor="#f2f2f2" stroked="f">
                <v:textbox inset=",0,,0">
                  <w:txbxContent>
                    <w:p>
                      <w:pPr>
                        <w:bidi/>
                        <w:spacing w:line="240" w:lineRule="auto"/>
                        <w:contextualSpacing/>
                        <w:jc w:val="left"/>
                      </w:pPr>
                      <w:r>
                        <w:rPr>
                          <w:noProof/>
                          <w:position w:val="-6"/>
                        </w:rPr>
                        <w:drawing>
                          <wp:inline distT="0" distB="0" distL="0" distR="0">
                            <wp:extent cx="316230" cy="179705"/>
                            <wp:effectExtent l="0" t="0" r="0" b="0"/>
                            <wp:docPr id="100010001" name="LOGO"/>
                            <wp:cNvGraphicFramePr/>
                            <a:graphic xmlns:a="http://schemas.openxmlformats.org/drawingml/2006/main">
                              <a:graphicData uri="http://schemas.openxmlformats.org/drawingml/2006/picture">
                                <pic:pic xmlns:pic="http://schemas.openxmlformats.org/drawingml/2006/picture">
                                  <pic:nvPicPr>
                                    <pic:cNvPr id="100010001" name="LOGO"/>
                                    <pic:cNvPicPr/>
                                  </pic:nvPicPr>
                                  <pic:blipFill>
                                    <a:blip r:embed="r_odt_logo" cstate="print">
                                      <a:extLst>
                                        <a:ext uri="{28A0092B-C50C-407E-A947-70E740481C1C}">
                                          <a14:useLocalDpi xmlns:a14="http://schemas.microsoft.com/office/drawing/2010/main" val="0"/>
                                        </a:ext>
                                      </a:extLst>
                                    </a:blip>
                                    <a:stretch>
                                      <a:fillRect/>
                                    </a:stretch>
                                  </pic:blipFill>
                                  <pic:spPr>
                                    <a:xfrm>
                                      <a:off x="0" y="0"/>
                                      <a:ext cx="316230" cy="179705"/>
                                    </a:xfrm>
                                    <a:prstGeom prst="rect">
                                      <a:avLst/>
                                    </a:prstGeom>
                                  </pic:spPr>
                                </pic:pic>
                              </a:graphicData>
                            </a:graphic>
                          </wp:inline>
                        </w:drawing>
                      </w:r>
                      <w:r>
                        <w:rPr>
                          <w:rFonts w:ascii="Roboto" w:hAnsi="Roboto"/>
                          <w:color w:val="0F2B46"/>
                          <w:szCs w:val="18"/>
                        </w:rPr>
                        <w:t xml:space="preserve"> </w:t>
                      </w:r>
                      <w:hyperlink r:id="r_odt_hyperlink" w:history="1" w:tooltip="Doc Translator - www.onlinedoctranslator.com">
                        <w:r>
                          <w:rPr>
                            <w:rFonts w:ascii="Roboto" w:hAnsi="Roboto"/>
                            <w:color w:val="0F2B46"/>
                            <w:sz w:val="18"/>
                            <w:szCs w:val="18"/>
                            <!-- rtl -->
                          </w:rPr>
                          <w:t xml:space="preserve">Traducido del catalán al español - </w:t>
                        </w:r>
                        <w:r>
                          <w:rPr>
                            <w:rFonts w:ascii="Roboto" w:hAnsi="Roboto"/>
                            <w:color w:val="0F2B46"/>
                            <w:sz w:val="18"/>
                            <w:szCs w:val="18"/>
                            <w:u w:val="single"/>
                          </w:rPr>
                          <w:t>www.onlinedoctranslator.com</w:t>
                        </w:r>
                      </w:hyperlink>
                    </w:p>
                  </w:txbxContent>
                </v:textbox>
                <w10:wrap anchorx="page" anchory="page"/>
              </v:shape>
            </w:pict>
          </mc:Fallback>
        </mc:AlternateContent>
      </w:r>
    </w:p>
    <w:p>
      <w:pPr>
        <w:pStyle w:val="Normal"/>
        <w:spacing w:lineRule="auto" w:line="276" w:before="240" w:after="0"/>
        <w:jc w:val="both"/>
        <w:rPr>
          <w:rFonts w:ascii="Calibri" w:hAnsi="Calibri" w:cs="Calibri"/>
          <w:b/>
          <w:b/>
          <w:sz w:val="24"/>
          <w:lang w:val="ca-ES"/>
        </w:rPr>
      </w:pPr>
      <w:r>
        <w:rPr>
          <w:rFonts w:eastAsia="Times New Roman" w:cs="Calibri" w:ascii="Calibri" w:hAnsi="Calibri"/>
          <w:b/>
          <w:bCs/>
          <w:sz w:val="24"/>
          <w:lang w:val="ca-ES" w:eastAsia="ar-SA" w:bidi="ar-SA"/>
        </w:rPr>
        <w:t xml:space="preserve">CONVENIO REGULADOR DE LA SUBVENCIÓN NOMINATIVA A</w:t>
      </w:r>
      <w:r>
        <w:rPr>
          <w:rStyle w:val="FontStyle11"/>
          <w:rFonts w:cs="Calibri" w:ascii="Calibri" w:hAnsi="Calibri"/>
          <w:b/>
          <w:bCs/>
          <w:sz w:val="24"/>
          <w:szCs w:val="24"/>
        </w:rPr>
        <w:t>DE LA ASOCIACIÓN DE USUARIOS Y VOLUNTARIOS DEL CASAL DE LA GENTE MAYOR</w:t>
      </w:r>
      <w:r>
        <w:rPr>
          <w:rFonts w:eastAsia="Times New Roman" w:cs="Calibri" w:ascii="Calibri" w:hAnsi="Calibri"/>
          <w:b/>
          <w:bCs/>
          <w:sz w:val="24"/>
          <w:lang w:val="ca-ES" w:eastAsia="ar-SA" w:bidi="ar-SA"/>
        </w:rPr>
        <w:t xml:space="preserve">DE CERVERA POR EL</w:t>
      </w:r>
      <w:r>
        <w:rPr>
          <w:rFonts w:cs="Calibri" w:ascii="Calibri" w:hAnsi="Calibri"/>
          <w:b/>
          <w:sz w:val="24"/>
          <w:lang w:val="ca-ES"/>
        </w:rPr>
        <w:t xml:space="preserve">FOMENTO DE ACTIVIDADES PARA PERSONAS GRANDES</w:t>
      </w:r>
    </w:p>
    <w:p>
      <w:pPr>
        <w:pStyle w:val="Normal"/>
        <w:autoSpaceDE w:val="false"/>
        <w:spacing w:before="0" w:after="120"/>
        <w:jc w:val="both"/>
        <w:rPr>
          <w:rFonts w:ascii="Calibri" w:hAnsi="Calibri" w:eastAsia="Times New Roman" w:cs="Calibri"/>
          <w:b/>
          <w:b/>
          <w:bCs/>
          <w:sz w:val="24"/>
          <w:lang w:val="ca-ES" w:eastAsia="ar-SA" w:bidi="ar-SA"/>
        </w:rPr>
      </w:pPr>
      <w:r>
        <w:rPr>
          <w:rFonts w:eastAsia="Times New Roman" w:cs="Calibri" w:ascii="Calibri" w:hAnsi="Calibri"/>
          <w:b/>
          <w:bCs/>
          <w:sz w:val="24"/>
          <w:lang w:val="ca-ES" w:eastAsia="ar-SA" w:bidi="ar-SA"/>
        </w:rPr>
      </w:r>
    </w:p>
    <w:p>
      <w:pPr>
        <w:pStyle w:val="Normal"/>
        <w:autoSpaceDE w:val="false"/>
        <w:spacing w:before="0" w:after="120"/>
        <w:ind w:start="708" w:hanging="708"/>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t xml:space="preserve">En Cervera,</w:t>
      </w:r>
    </w:p>
    <w:p>
      <w:pPr>
        <w:pStyle w:val="Normal"/>
        <w:autoSpaceDE w:val="false"/>
        <w:spacing w:before="0" w:after="120"/>
        <w:rPr>
          <w:rFonts w:ascii="Calibri" w:hAnsi="Calibri" w:eastAsia="Times New Roman" w:cs="Calibri"/>
          <w:b/>
          <w:b/>
          <w:bCs/>
          <w:sz w:val="24"/>
          <w:lang w:val="ca-ES" w:eastAsia="ar-SA" w:bidi="ar-SA"/>
        </w:rPr>
      </w:pPr>
      <w:r>
        <w:rPr>
          <w:rFonts w:eastAsia="Times New Roman" w:cs="Calibri" w:ascii="Calibri" w:hAnsi="Calibri"/>
          <w:b/>
          <w:bCs/>
          <w:sz w:val="24"/>
          <w:lang w:val="ca-ES" w:eastAsia="ar-SA" w:bidi="ar-SA"/>
        </w:rPr>
      </w:r>
    </w:p>
    <w:p>
      <w:pPr>
        <w:pStyle w:val="Normal"/>
        <w:autoSpaceDE w:val="false"/>
        <w:spacing w:before="0" w:after="120"/>
        <w:jc w:val="center"/>
        <w:rPr>
          <w:rFonts w:ascii="Calibri" w:hAnsi="Calibri" w:eastAsia="Times New Roman" w:cs="Calibri"/>
          <w:b/>
          <w:b/>
          <w:bCs/>
          <w:sz w:val="24"/>
          <w:lang w:val="ca-ES" w:eastAsia="ar-SA" w:bidi="ar-SA"/>
        </w:rPr>
      </w:pPr>
      <w:r>
        <w:rPr>
          <w:rFonts w:eastAsia="Times New Roman" w:cs="Calibri" w:ascii="Calibri" w:hAnsi="Calibri"/>
          <w:b/>
          <w:bCs/>
          <w:sz w:val="24"/>
          <w:lang w:val="ca-ES" w:eastAsia="ar-SA" w:bidi="ar-SA"/>
        </w:rPr>
        <w:t>REUNIDOS</w:t>
      </w:r>
    </w:p>
    <w:p>
      <w:pPr>
        <w:pStyle w:val="Normal"/>
        <w:autoSpaceDE w:val="false"/>
        <w:spacing w:before="0" w:after="120"/>
        <w:rPr>
          <w:rFonts w:ascii="Calibri" w:hAnsi="Calibri" w:eastAsia="Times New Roman" w:cs="Calibri"/>
          <w:b/>
          <w:b/>
          <w:bCs/>
          <w:sz w:val="24"/>
          <w:lang w:val="ca-ES" w:eastAsia="ar-SA" w:bidi="ar-SA"/>
        </w:rPr>
      </w:pPr>
      <w:r>
        <w:rPr>
          <w:rFonts w:eastAsia="Times New Roman" w:cs="Calibri" w:ascii="Calibri" w:hAnsi="Calibri"/>
          <w:b/>
          <w:bCs/>
          <w:sz w:val="24"/>
          <w:lang w:val="ca-ES" w:eastAsia="ar-SA" w:bidi="ar-SA"/>
        </w:rPr>
      </w:r>
    </w:p>
    <w:p>
      <w:pPr>
        <w:pStyle w:val="Normal"/>
        <w:autoSpaceDE w:val="false"/>
        <w:spacing w:before="0" w:after="12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t>De una parte, Jan Pomés y López, Paer/a jefe del Ayuntamiento de Cervera actuando en nombre y representación del mismo, asistido por Antonio Esqué y Rubiol, Secretario,</w:t>
      </w:r>
    </w:p>
    <w:p>
      <w:pPr>
        <w:pStyle w:val="Normal"/>
        <w:autoSpaceDE w:val="false"/>
        <w:spacing w:before="0" w:after="12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t xml:space="preserve">Por otra, Miquel Seroles i Augé, mayor de edad, actuando en nombre y representación como representante de</w:t>
      </w:r>
      <w:r>
        <w:rPr>
          <w:rStyle w:val="FontStyle11"/>
          <w:rFonts w:cs="Calibri" w:ascii="Calibri" w:hAnsi="Calibri"/>
          <w:sz w:val="24"/>
          <w:szCs w:val="24"/>
          <w:lang w:val="ca-ES"/>
        </w:rPr>
        <w:t>la Asociación de usuarios y voluntarios del Casal de las personas mayores</w:t>
      </w:r>
      <w:r>
        <w:rPr>
          <w:rFonts w:eastAsia="Times New Roman" w:cs="Calibri" w:ascii="Calibri" w:hAnsi="Calibri"/>
          <w:sz w:val="24"/>
          <w:lang w:val="ca-ES" w:eastAsia="ar-SA" w:bidi="ar-SA"/>
        </w:rPr>
        <w:t xml:space="preserve">, en adelante beneficiario, con domicilio en Calle</w:t>
      </w:r>
      <w:r>
        <w:rPr>
          <w:rStyle w:val="FontStyle11"/>
          <w:rFonts w:cs="Calibri" w:ascii="Calibri" w:hAnsi="Calibri"/>
          <w:sz w:val="24"/>
          <w:szCs w:val="24"/>
        </w:rPr>
        <w:t xml:space="preserve">Manel Ibarra, s/n</w:t>
      </w:r>
      <w:r>
        <w:rPr>
          <w:rFonts w:eastAsia="Times New Roman" w:cs="Calibri" w:ascii="Calibri" w:hAnsi="Calibri"/>
          <w:sz w:val="24"/>
          <w:lang w:val="ca-ES" w:eastAsia="ar-SA" w:bidi="ar-SA"/>
        </w:rPr>
        <w:t>de Cervera.</w:t>
      </w:r>
    </w:p>
    <w:p>
      <w:pPr>
        <w:pStyle w:val="Normal"/>
        <w:autoSpaceDE w:val="false"/>
        <w:spacing w:before="0" w:after="12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t>Ambas partes se reconocen suficiente capacidad para actuar, una vez verificada la vigencia de los cargos y la habilitación para la suscripción de este convenio (Anexo 1), y en su virtud,</w:t>
      </w:r>
    </w:p>
    <w:p>
      <w:pPr>
        <w:pStyle w:val="Normal"/>
        <w:autoSpaceDE w:val="false"/>
        <w:spacing w:before="0" w:after="12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r>
    </w:p>
    <w:p>
      <w:pPr>
        <w:pStyle w:val="Normal"/>
        <w:autoSpaceDE w:val="false"/>
        <w:spacing w:before="0" w:after="12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r>
    </w:p>
    <w:p>
      <w:pPr>
        <w:pStyle w:val="Normal"/>
        <w:autoSpaceDE w:val="false"/>
        <w:spacing w:before="0" w:after="120"/>
        <w:jc w:val="center"/>
        <w:rPr>
          <w:rFonts w:ascii="Calibri" w:hAnsi="Calibri" w:eastAsia="Times New Roman" w:cs="Calibri"/>
          <w:b/>
          <w:b/>
          <w:bCs/>
          <w:sz w:val="24"/>
          <w:lang w:val="ca-ES" w:eastAsia="ar-SA" w:bidi="ar-SA"/>
        </w:rPr>
      </w:pPr>
      <w:r>
        <w:rPr>
          <w:rFonts w:eastAsia="Times New Roman" w:cs="Calibri" w:ascii="Calibri" w:hAnsi="Calibri"/>
          <w:b/>
          <w:bCs/>
          <w:sz w:val="24"/>
          <w:lang w:val="ca-ES" w:eastAsia="ar-SA" w:bidi="ar-SA"/>
        </w:rPr>
        <w:t>MANIFIESTAN</w:t>
      </w:r>
    </w:p>
    <w:p>
      <w:pPr>
        <w:pStyle w:val="Normal"/>
        <w:autoSpaceDE w:val="false"/>
        <w:spacing w:before="0" w:after="120"/>
        <w:jc w:val="center"/>
        <w:rPr>
          <w:rFonts w:ascii="Calibri" w:hAnsi="Calibri" w:eastAsia="Times New Roman" w:cs="Calibri"/>
          <w:b/>
          <w:b/>
          <w:bCs/>
          <w:sz w:val="24"/>
          <w:lang w:val="ca-ES" w:eastAsia="ar-SA" w:bidi="ar-SA"/>
        </w:rPr>
      </w:pPr>
      <w:r>
        <w:rPr>
          <w:rFonts w:eastAsia="Times New Roman" w:cs="Calibri" w:ascii="Calibri" w:hAnsi="Calibri"/>
          <w:b/>
          <w:bCs/>
          <w:sz w:val="24"/>
          <w:lang w:val="ca-ES" w:eastAsia="ar-SA" w:bidi="ar-SA"/>
        </w:rPr>
      </w:r>
    </w:p>
    <w:p>
      <w:pPr>
        <w:pStyle w:val="Normal"/>
        <w:widowControl/>
        <w:numPr>
          <w:ilvl w:val="0"/>
          <w:numId w:val="3"/>
        </w:numPr>
        <w:autoSpaceDE w:val="false"/>
        <w:spacing w:before="0" w:after="120"/>
        <w:ind w:start="284" w:hanging="371"/>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t>Que el artículo 22.2.a) de la Ley General de Subvenciones 38/2003, de 17 de noviembre, prevé como supuesto de concesión directa de subvenciones previstas nominativamente en los presupuestos municipales, de conformidad con lo establecido en los convenios y en la normativa reguladora de las mismas.</w:t>
      </w:r>
    </w:p>
    <w:p>
      <w:pPr>
        <w:pStyle w:val="Normal"/>
        <w:widowControl/>
        <w:numPr>
          <w:ilvl w:val="0"/>
          <w:numId w:val="3"/>
        </w:numPr>
        <w:autoSpaceDE w:val="false"/>
        <w:spacing w:before="0" w:after="120"/>
        <w:ind w:start="284" w:hanging="371"/>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t xml:space="preserve">Que el Presupuesto Municipal del Ayuntamiento de Cervera para el ejercicio 2023 contiene la previsión del otorgamiento de una subvención a favor de</w:t>
      </w:r>
      <w:r>
        <w:rPr>
          <w:rStyle w:val="FontStyle11"/>
          <w:rFonts w:cs="Calibri" w:ascii="Calibri" w:hAnsi="Calibri"/>
          <w:sz w:val="24"/>
          <w:szCs w:val="24"/>
          <w:lang w:val="ca-ES"/>
        </w:rPr>
        <w:t>la Asociación de usuarios y voluntarios del Casal de las personas mayores</w:t>
      </w:r>
      <w:r>
        <w:rPr>
          <w:rFonts w:eastAsia="Times New Roman" w:cs="Calibri" w:ascii="Calibri" w:hAnsi="Calibri"/>
          <w:sz w:val="24"/>
          <w:lang w:val="ca-ES" w:eastAsia="ar-SA" w:bidi="ar-SA"/>
        </w:rPr>
        <w:t xml:space="preserve">por importe de (900 euros) .</w:t>
      </w:r>
    </w:p>
    <w:p>
      <w:pPr>
        <w:pStyle w:val="Normal"/>
        <w:widowControl/>
        <w:numPr>
          <w:ilvl w:val="0"/>
          <w:numId w:val="3"/>
        </w:numPr>
        <w:autoSpaceDE w:val="false"/>
        <w:spacing w:before="0" w:after="120"/>
        <w:ind w:start="284" w:hanging="371"/>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t>Que entre los objetivos para el año 2023 de este Ayuntamiento se encuentra el f</w:t>
      </w:r>
      <w:r>
        <w:rPr>
          <w:rFonts w:cs="Calibri" w:ascii="Calibri" w:hAnsi="Calibri"/>
          <w:sz w:val="24"/>
          <w:lang w:val="ca-ES"/>
        </w:rPr>
        <w:t xml:space="preserve">omento de actividades sociales, promoción de las entidades y asociaciones de la ciudad.</w:t>
      </w:r>
    </w:p>
    <w:p>
      <w:pPr>
        <w:pStyle w:val="Normal"/>
        <w:widowControl/>
        <w:numPr>
          <w:ilvl w:val="0"/>
          <w:numId w:val="3"/>
        </w:numPr>
        <w:autoSpaceDE w:val="false"/>
        <w:spacing w:before="0" w:after="120"/>
        <w:ind w:start="284" w:hanging="371"/>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t>Que de conformidad con lo establecido, en el artículo 46 de las Bases de Ejecución del Presupuesto del Ayuntamiento de Cervera, y el artículo 22.2.a) y 28 de la Ley General de Subvenciones y normas concordantes, las partes suscriben el presente convenio de colaboración que regula los compromisos de ambas en lo que respecta a esta subvención.</w:t>
      </w:r>
    </w:p>
    <w:p>
      <w:pPr>
        <w:pStyle w:val="Normal"/>
        <w:widowControl/>
        <w:numPr>
          <w:ilvl w:val="0"/>
          <w:numId w:val="3"/>
        </w:numPr>
        <w:autoSpaceDE w:val="false"/>
        <w:spacing w:before="0" w:after="120"/>
        <w:ind w:start="284" w:hanging="371"/>
        <w:jc w:val="both"/>
        <w:rPr/>
      </w:pPr>
      <w:r>
        <w:rPr>
          <w:rFonts w:eastAsia="Times New Roman" w:cs="Calibri" w:ascii="Calibri" w:hAnsi="Calibri"/>
          <w:sz w:val="24"/>
          <w:lang w:val="ca-ES" w:eastAsia="ar-SA" w:bidi="ar-SA"/>
        </w:rPr>
        <w:t xml:space="preserve">Que</w:t>
      </w:r>
      <w:r>
        <w:rPr>
          <w:rStyle w:val="FontStyle11"/>
          <w:rFonts w:cs="Calibri" w:ascii="Calibri" w:hAnsi="Calibri"/>
          <w:sz w:val="24"/>
          <w:szCs w:val="24"/>
          <w:lang w:val="ca-ES"/>
        </w:rPr>
        <w:t>la Asociación de usuarios y voluntarios del Casal de las personas mayores</w:t>
      </w:r>
      <w:r>
        <w:rPr>
          <w:rFonts w:eastAsia="Times New Roman" w:cs="Calibri" w:ascii="Calibri" w:hAnsi="Calibri"/>
          <w:sz w:val="24"/>
          <w:lang w:val="ca-ES" w:eastAsia="ar-SA" w:bidi="ar-SA"/>
        </w:rPr>
        <w:t xml:space="preserve">es una entidad sin ánimo de lucro acreditan tener estatutos y que sus objetos sociales:</w:t>
      </w:r>
    </w:p>
    <w:p>
      <w:pPr>
        <w:pStyle w:val="Normal"/>
        <w:widowControl/>
        <w:numPr>
          <w:ilvl w:val="0"/>
          <w:numId w:val="2"/>
        </w:numPr>
        <w:autoSpaceDE w:val="false"/>
        <w:spacing w:before="0" w:after="12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t>Impulsar y dinamizar todas aquellas actividades que sean susceptibles de estimular a los usuarios del casal de la gente mayor de Cervera.</w:t>
      </w:r>
    </w:p>
    <w:p>
      <w:pPr>
        <w:pStyle w:val="Normal"/>
        <w:widowControl/>
        <w:numPr>
          <w:ilvl w:val="0"/>
          <w:numId w:val="2"/>
        </w:numPr>
        <w:autoSpaceDE w:val="false"/>
        <w:spacing w:before="0" w:after="120"/>
        <w:jc w:val="both"/>
        <w:rPr/>
      </w:pPr>
      <w:r>
        <w:rPr>
          <w:rFonts w:eastAsia="Times New Roman" w:cs="Calibri" w:ascii="Calibri" w:hAnsi="Calibri"/>
          <w:sz w:val="24"/>
          <w:lang w:val="ca-ES" w:eastAsia="ar-SA" w:bidi="ar-SA"/>
        </w:rPr>
        <w:t xml:space="preserve">Iniciar nuevas actividades que impliquen la complicidad voluntaria de los usuarios.</w:t>
      </w:r>
    </w:p>
    <w:p>
      <w:pPr>
        <w:pStyle w:val="Normal"/>
        <w:widowControl/>
        <w:numPr>
          <w:ilvl w:val="0"/>
          <w:numId w:val="2"/>
        </w:numPr>
        <w:autoSpaceDE w:val="false"/>
        <w:spacing w:before="0" w:after="12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t>Potenciar la labor del voluntariado con objeto de poder llevar a cabo proyectos e iniciativas a favor del usuario.</w:t>
      </w:r>
    </w:p>
    <w:p>
      <w:pPr>
        <w:pStyle w:val="Normal"/>
        <w:widowControl/>
        <w:numPr>
          <w:ilvl w:val="0"/>
          <w:numId w:val="2"/>
        </w:numPr>
        <w:autoSpaceDE w:val="false"/>
        <w:spacing w:before="0" w:after="12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t xml:space="preserve">Realizar estudios para comprobar las preferencias generales de los usuarios e intentar potenciarlas.</w:t>
      </w:r>
    </w:p>
    <w:p>
      <w:pPr>
        <w:pStyle w:val="Normal"/>
        <w:widowControl/>
        <w:numPr>
          <w:ilvl w:val="0"/>
          <w:numId w:val="2"/>
        </w:numPr>
        <w:autoSpaceDE w:val="false"/>
        <w:spacing w:before="0" w:after="120"/>
        <w:jc w:val="both"/>
        <w:rPr/>
      </w:pPr>
      <w:r>
        <w:rPr>
          <w:rFonts w:eastAsia="Times New Roman" w:cs="Calibri" w:ascii="Calibri" w:hAnsi="Calibri"/>
          <w:sz w:val="24"/>
          <w:lang w:val="ca-ES" w:eastAsia="ar-SA" w:bidi="ar-SA"/>
        </w:rPr>
        <w:t>Promover la práctica de la actividad deportiva sin ánimo de lucro.</w:t>
      </w:r>
    </w:p>
    <w:p>
      <w:pPr>
        <w:pStyle w:val="Normal"/>
        <w:widowControl/>
        <w:numPr>
          <w:ilvl w:val="0"/>
          <w:numId w:val="2"/>
        </w:numPr>
        <w:autoSpaceDE w:val="false"/>
        <w:spacing w:before="0" w:after="120"/>
        <w:jc w:val="both"/>
        <w:rPr/>
      </w:pPr>
      <w:r>
        <w:rPr>
          <w:rFonts w:eastAsia="Times New Roman" w:cs="Calibri" w:ascii="Calibri" w:hAnsi="Calibri"/>
          <w:sz w:val="24"/>
          <w:lang w:val="ca-ES" w:eastAsia="ar-SA" w:bidi="ar-SA"/>
        </w:rPr>
        <w:t>Crear las condiciones adecuadas para incentivar el interés de los usuarios tanto a nivel lúdico, físico como intelectual.</w:t>
      </w:r>
    </w:p>
    <w:p>
      <w:pPr>
        <w:pStyle w:val="Normal"/>
        <w:widowControl/>
        <w:autoSpaceDE w:val="false"/>
        <w:spacing w:before="0" w:after="120"/>
        <w:ind w:start="284" w:hanging="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t xml:space="preserve">que concuerdan con los objetivos fijados en el Plan estratégico de subvenciones.</w:t>
      </w:r>
    </w:p>
    <w:p>
      <w:pPr>
        <w:pStyle w:val="Normal"/>
        <w:widowControl/>
        <w:autoSpaceDE w:val="false"/>
        <w:spacing w:before="0" w:after="120"/>
        <w:ind w:start="284" w:hanging="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r>
    </w:p>
    <w:p>
      <w:pPr>
        <w:pStyle w:val="Normal"/>
        <w:autoSpaceDE w:val="false"/>
        <w:spacing w:before="0" w:after="120"/>
        <w:jc w:val="center"/>
        <w:rPr>
          <w:rFonts w:ascii="Calibri" w:hAnsi="Calibri" w:eastAsia="Times New Roman" w:cs="Calibri"/>
          <w:b/>
          <w:b/>
          <w:bCs/>
          <w:sz w:val="24"/>
          <w:lang w:val="ca-ES" w:eastAsia="ar-SA" w:bidi="ar-SA"/>
        </w:rPr>
      </w:pPr>
      <w:r>
        <w:rPr>
          <w:rFonts w:eastAsia="Times New Roman" w:cs="Calibri" w:ascii="Calibri" w:hAnsi="Calibri"/>
          <w:b/>
          <w:bCs/>
          <w:sz w:val="24"/>
          <w:lang w:val="ca-ES" w:eastAsia="ar-SA" w:bidi="ar-SA"/>
        </w:rPr>
        <w:t>CL Á USULAS</w:t>
      </w:r>
    </w:p>
    <w:p>
      <w:pPr>
        <w:pStyle w:val="Normal"/>
        <w:autoSpaceDE w:val="false"/>
        <w:spacing w:before="0" w:after="120"/>
        <w:jc w:val="center"/>
        <w:rPr>
          <w:rFonts w:ascii="Calibri" w:hAnsi="Calibri" w:eastAsia="Times New Roman" w:cs="Calibri"/>
          <w:b/>
          <w:b/>
          <w:bCs/>
          <w:sz w:val="24"/>
          <w:lang w:val="ca-ES" w:eastAsia="ar-SA" w:bidi="ar-SA"/>
        </w:rPr>
      </w:pPr>
      <w:r>
        <w:rPr>
          <w:rFonts w:eastAsia="Times New Roman" w:cs="Calibri" w:ascii="Calibri" w:hAnsi="Calibri"/>
          <w:b/>
          <w:bCs/>
          <w:sz w:val="24"/>
          <w:lang w:val="ca-ES" w:eastAsia="ar-SA" w:bidi="ar-SA"/>
        </w:rPr>
      </w:r>
    </w:p>
    <w:p>
      <w:pPr>
        <w:pStyle w:val="Normal"/>
        <w:autoSpaceDE w:val="false"/>
        <w:spacing w:before="0" w:after="120"/>
        <w:jc w:val="both"/>
        <w:rPr>
          <w:rFonts w:ascii="Calibri" w:hAnsi="Calibri" w:eastAsia="Times New Roman" w:cs="Calibri"/>
          <w:sz w:val="24"/>
          <w:lang w:val="ca-ES" w:eastAsia="ar-SA" w:bidi="ar-SA"/>
        </w:rPr>
      </w:pPr>
      <w:r>
        <w:rPr>
          <w:rFonts w:eastAsia="Times New Roman" w:cs="Calibri" w:ascii="Calibri" w:hAnsi="Calibri"/>
          <w:b/>
          <w:bCs/>
          <w:sz w:val="24"/>
          <w:lang w:val="ca-ES" w:eastAsia="ar-SA" w:bidi="ar-SA"/>
        </w:rPr>
        <w:t>PRIMERA</w:t>
      </w:r>
      <w:r>
        <w:rPr>
          <w:rFonts w:eastAsia="Times New Roman" w:cs="Calibri" w:ascii="Calibri" w:hAnsi="Calibri"/>
          <w:sz w:val="24"/>
          <w:lang w:val="ca-ES" w:eastAsia="ar-SA" w:bidi="ar-SA"/>
        </w:rPr>
        <w:t xml:space="preserve">.- Objeto</w:t>
      </w:r>
    </w:p>
    <w:p>
      <w:pPr>
        <w:pStyle w:val="Normal"/>
        <w:autoSpaceDE w:val="false"/>
        <w:spacing w:before="0" w:after="120"/>
        <w:jc w:val="both"/>
        <w:rPr>
          <w:rFonts w:ascii="Calibri" w:hAnsi="Calibri" w:eastAsia="Times New Roman" w:cs="Calibri"/>
          <w:b/>
          <w:b/>
          <w:bCs/>
          <w:sz w:val="24"/>
          <w:lang w:val="ca-ES" w:eastAsia="ar-SA" w:bidi="ar-SA"/>
        </w:rPr>
      </w:pPr>
      <w:r>
        <w:rPr>
          <w:rFonts w:eastAsia="Times New Roman" w:cs="Calibri" w:ascii="Calibri" w:hAnsi="Calibri"/>
          <w:sz w:val="24"/>
          <w:lang w:val="ca-ES" w:eastAsia="ar-SA" w:bidi="ar-SA"/>
        </w:rPr>
        <w:t xml:space="preserve">El objeto del presente convenio es regular la concesión de la subvención nominativa a</w:t>
      </w:r>
      <w:r>
        <w:rPr>
          <w:rStyle w:val="FontStyle11"/>
          <w:rFonts w:cs="Calibri" w:ascii="Calibri" w:hAnsi="Calibri"/>
          <w:sz w:val="24"/>
          <w:szCs w:val="24"/>
          <w:lang w:val="ca-ES"/>
        </w:rPr>
        <w:t>la Asociación de usuarios y voluntarios del Casal de las personas mayores</w:t>
      </w:r>
      <w:r>
        <w:rPr>
          <w:rFonts w:eastAsia="Times New Roman" w:cs="Calibri" w:ascii="Calibri" w:hAnsi="Calibri"/>
          <w:sz w:val="24"/>
          <w:lang w:val="ca-ES" w:eastAsia="ar-SA" w:bidi="ar-SA"/>
        </w:rPr>
        <w:t xml:space="preserve">por la atención a personas con riesgo de exclusión social de Cervera por razones familiares, económicas, educativas y/o laborales.</w:t>
      </w:r>
    </w:p>
    <w:p>
      <w:pPr>
        <w:pStyle w:val="Normal"/>
        <w:autoSpaceDE w:val="false"/>
        <w:spacing w:before="0" w:after="12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t xml:space="preserve">Los fondos recibidos por el beneficiario no podrán ser aplicados a finalidad distinta a la de sufragar los gastos que comporte la realización del objeto de esta subvención.</w:t>
      </w:r>
    </w:p>
    <w:p>
      <w:pPr>
        <w:pStyle w:val="Normal"/>
        <w:widowControl/>
        <w:shd w:fill="FFFFFF" w:val="clear"/>
        <w:spacing w:before="0" w:after="12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t>Las características de la actividad que se subvenciona se detallan en el ANEXO 2.</w:t>
      </w:r>
    </w:p>
    <w:p>
      <w:pPr>
        <w:pStyle w:val="Normal"/>
        <w:autoSpaceDE w:val="false"/>
        <w:spacing w:before="0" w:after="12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r>
    </w:p>
    <w:p>
      <w:pPr>
        <w:pStyle w:val="Normal"/>
        <w:autoSpaceDE w:val="false"/>
        <w:spacing w:before="0" w:after="120"/>
        <w:jc w:val="both"/>
        <w:rPr>
          <w:rFonts w:ascii="Calibri" w:hAnsi="Calibri" w:eastAsia="Times New Roman" w:cs="Calibri"/>
          <w:sz w:val="24"/>
          <w:lang w:val="ca-ES" w:eastAsia="ar-SA" w:bidi="ar-SA"/>
        </w:rPr>
      </w:pPr>
      <w:bookmarkStart w:id="0" w:name="_Hlk109799782"/>
      <w:bookmarkEnd w:id="0"/>
      <w:r>
        <w:rPr>
          <w:rFonts w:eastAsia="Times New Roman" w:cs="Calibri" w:ascii="Calibri" w:hAnsi="Calibri"/>
          <w:b/>
          <w:bCs/>
          <w:sz w:val="24"/>
          <w:lang w:val="ca-ES" w:eastAsia="ar-SA" w:bidi="ar-SA"/>
        </w:rPr>
        <w:t>SEGUNDA.-</w:t>
      </w:r>
      <w:r>
        <w:rPr>
          <w:rFonts w:eastAsia="Times New Roman" w:cs="Calibri" w:ascii="Calibri" w:hAnsi="Calibri"/>
          <w:sz w:val="24"/>
          <w:lang w:val="ca-ES" w:eastAsia="ar-SA" w:bidi="ar-SA"/>
        </w:rPr>
        <w:t xml:space="preserve">Importe y financiación</w:t>
      </w:r>
    </w:p>
    <w:p>
      <w:pPr>
        <w:pStyle w:val="Normal"/>
        <w:autoSpaceDE w:val="false"/>
        <w:spacing w:before="0" w:after="12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t xml:space="preserve">El importe de la subvención asciende a 900 euros, que se aportarán íntegramente por el Ayuntamiento, con cargo a la aplicación presupuestaria 231.48900 del ejercicio 2023. Este importe corresponde al 50% del coste de la actuación.</w:t>
      </w:r>
    </w:p>
    <w:p>
      <w:pPr>
        <w:pStyle w:val="Normal"/>
        <w:widowControl/>
        <w:spacing w:before="0" w:after="120"/>
        <w:jc w:val="both"/>
        <w:rPr>
          <w:rFonts w:ascii="Calibri" w:hAnsi="Calibri" w:eastAsia="Times New Roman" w:cs="Calibri"/>
          <w:b/>
          <w:b/>
          <w:bCs/>
          <w:sz w:val="24"/>
          <w:lang w:val="ca-ES" w:eastAsia="ar-SA" w:bidi="ar-SA"/>
        </w:rPr>
      </w:pPr>
      <w:r>
        <w:rPr>
          <w:rFonts w:eastAsia="Times New Roman" w:cs="Calibri" w:ascii="Calibri" w:hAnsi="Calibri"/>
          <w:b/>
          <w:bCs/>
          <w:sz w:val="24"/>
          <w:lang w:val="ca-ES" w:eastAsia="ar-SA" w:bidi="ar-SA"/>
        </w:rPr>
      </w:r>
      <w:bookmarkStart w:id="1" w:name="_Hlk109799782"/>
      <w:bookmarkStart w:id="2" w:name="_Hlk109799782"/>
      <w:bookmarkEnd w:id="2"/>
    </w:p>
    <w:p>
      <w:pPr>
        <w:pStyle w:val="Normal"/>
        <w:widowControl/>
        <w:spacing w:before="0" w:after="120"/>
        <w:jc w:val="both"/>
        <w:rPr>
          <w:rFonts w:ascii="Calibri" w:hAnsi="Calibri" w:eastAsia="Times New Roman" w:cs="Calibri"/>
          <w:b/>
          <w:b/>
          <w:sz w:val="24"/>
          <w:lang w:val="ca-ES" w:eastAsia="ar-SA" w:bidi="ar-SA"/>
        </w:rPr>
      </w:pPr>
      <w:r>
        <w:rPr>
          <w:rFonts w:eastAsia="Times New Roman" w:cs="Calibri" w:ascii="Calibri" w:hAnsi="Calibri"/>
          <w:b/>
          <w:bCs/>
          <w:sz w:val="24"/>
          <w:lang w:val="ca-ES" w:eastAsia="ar-SA" w:bidi="ar-SA"/>
        </w:rPr>
        <w:t>TERCERA.-</w:t>
      </w:r>
      <w:r>
        <w:rPr>
          <w:rFonts w:eastAsia="Times New Roman" w:cs="Calibri" w:ascii="Calibri" w:hAnsi="Calibri"/>
          <w:sz w:val="24"/>
          <w:lang w:val="ca-ES" w:eastAsia="ar-SA" w:bidi="ar-SA"/>
        </w:rPr>
        <w:t xml:space="preserve">Contabilidad con otras subvenciones</w:t>
      </w:r>
    </w:p>
    <w:p>
      <w:pPr>
        <w:pStyle w:val="Normal"/>
        <w:widowControl/>
        <w:spacing w:before="0" w:after="12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t xml:space="preserve">La presente subvención resulta compatible con otras que pudiera obtener el beneficiario para la realización del objeto de esta subvención. El importe total de las subvenciones recibidas no podrá ser nunca de una cuantía que en concurrencia con otras subvenciones o ayudas recibidas de otras administraciones o entes públicos o privados, supere el coste de la actividad desarrollada por el beneficiario.</w:t>
      </w:r>
    </w:p>
    <w:p>
      <w:pPr>
        <w:pStyle w:val="Normal"/>
        <w:autoSpaceDE w:val="false"/>
        <w:spacing w:before="0" w:after="120"/>
        <w:jc w:val="both"/>
        <w:rPr>
          <w:rFonts w:ascii="Calibri" w:hAnsi="Calibri" w:eastAsia="Times New Roman" w:cs="Calibri"/>
          <w:b/>
          <w:b/>
          <w:bCs/>
          <w:sz w:val="24"/>
          <w:lang w:val="ca-ES" w:eastAsia="ar-SA" w:bidi="ar-SA"/>
        </w:rPr>
      </w:pPr>
      <w:r>
        <w:rPr>
          <w:rFonts w:eastAsia="Times New Roman" w:cs="Calibri" w:ascii="Calibri" w:hAnsi="Calibri"/>
          <w:b/>
          <w:bCs/>
          <w:sz w:val="24"/>
          <w:lang w:val="ca-ES" w:eastAsia="ar-SA" w:bidi="ar-SA"/>
        </w:rPr>
      </w:r>
    </w:p>
    <w:p>
      <w:pPr>
        <w:pStyle w:val="Normal"/>
        <w:autoSpaceDE w:val="false"/>
        <w:spacing w:before="0" w:after="120"/>
        <w:jc w:val="both"/>
        <w:rPr>
          <w:rFonts w:ascii="Calibri" w:hAnsi="Calibri" w:eastAsia="Times New Roman" w:cs="Calibri"/>
          <w:b/>
          <w:b/>
          <w:sz w:val="24"/>
          <w:lang w:val="ca-ES" w:eastAsia="ar-SA" w:bidi="ar-SA"/>
        </w:rPr>
      </w:pPr>
      <w:r>
        <w:rPr>
          <w:rFonts w:eastAsia="Times New Roman" w:cs="Calibri" w:ascii="Calibri" w:hAnsi="Calibri"/>
          <w:b/>
          <w:bCs/>
          <w:sz w:val="24"/>
          <w:lang w:val="ca-ES" w:eastAsia="ar-SA" w:bidi="ar-SA"/>
        </w:rPr>
        <w:t>CUARTA</w:t>
      </w:r>
      <w:r>
        <w:rPr>
          <w:rFonts w:eastAsia="Times New Roman" w:cs="Calibri" w:ascii="Calibri" w:hAnsi="Calibri"/>
          <w:sz w:val="24"/>
          <w:lang w:val="ca-ES" w:eastAsia="ar-SA" w:bidi="ar-SA"/>
        </w:rPr>
        <w:t xml:space="preserve">.- Gastos subvencionables</w:t>
      </w:r>
    </w:p>
    <w:p>
      <w:pPr>
        <w:pStyle w:val="Normal"/>
        <w:autoSpaceDE w:val="false"/>
        <w:spacing w:before="0" w:after="120"/>
        <w:jc w:val="both"/>
        <w:rPr>
          <w:rFonts w:ascii="Calibri" w:hAnsi="Calibri" w:cs="Calibri"/>
          <w:bCs/>
          <w:sz w:val="24"/>
          <w:lang w:val="ca-ES"/>
        </w:rPr>
      </w:pPr>
      <w:r>
        <w:rPr>
          <w:rFonts w:eastAsia="Times New Roman" w:cs="Calibri" w:ascii="Calibri" w:hAnsi="Calibri"/>
          <w:sz w:val="24"/>
          <w:lang w:val="ca-ES" w:eastAsia="ar-SA" w:bidi="ar-SA"/>
        </w:rPr>
        <w:t xml:space="preserve">Serán gastos subvencionables</w:t>
      </w:r>
      <w:r>
        <w:rPr>
          <w:rStyle w:val="FontStyle11"/>
          <w:rFonts w:cs="Calibri" w:ascii="Calibri" w:hAnsi="Calibri"/>
          <w:sz w:val="24"/>
          <w:szCs w:val="24"/>
          <w:lang w:val="ca-ES"/>
        </w:rPr>
        <w:t>las relativas a los gastos de funcionamiento ordinarios de adquisición de material, organización de actividades deportivas, culturales, lúdicas y educativas con el objetivo de mejorar la calidad de vida de las personas mayores que asisten.</w:t>
      </w:r>
    </w:p>
    <w:p>
      <w:pPr>
        <w:pStyle w:val="Normal"/>
        <w:autoSpaceDE w:val="false"/>
        <w:spacing w:before="0" w:after="12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t>No serán subvencionables en ningún caso los gastos que no entren en los conceptos mencionados en el párrafo anterior, al no estar vinculados al objeto de la subvención.</w:t>
      </w:r>
    </w:p>
    <w:p>
      <w:pPr>
        <w:pStyle w:val="Normal"/>
        <w:autoSpaceDE w:val="false"/>
        <w:spacing w:before="0" w:after="120"/>
        <w:jc w:val="both"/>
        <w:rPr>
          <w:rFonts w:ascii="Calibri" w:hAnsi="Calibri" w:eastAsia="Times New Roman" w:cs="Calibri"/>
          <w:b/>
          <w:b/>
          <w:bCs/>
          <w:sz w:val="24"/>
          <w:lang w:val="ca-ES" w:eastAsia="ar-SA" w:bidi="ar-SA"/>
        </w:rPr>
      </w:pPr>
      <w:r>
        <w:rPr>
          <w:rFonts w:eastAsia="Times New Roman" w:cs="Calibri" w:ascii="Calibri" w:hAnsi="Calibri"/>
          <w:b/>
          <w:bCs/>
          <w:sz w:val="24"/>
          <w:lang w:val="ca-ES" w:eastAsia="ar-SA" w:bidi="ar-SA"/>
        </w:rPr>
      </w:r>
    </w:p>
    <w:p>
      <w:pPr>
        <w:pStyle w:val="Normal"/>
        <w:autoSpaceDE w:val="false"/>
        <w:spacing w:before="0" w:after="120"/>
        <w:jc w:val="both"/>
        <w:rPr>
          <w:rFonts w:ascii="Calibri" w:hAnsi="Calibri" w:eastAsia="Times New Roman" w:cs="Calibri"/>
          <w:sz w:val="24"/>
          <w:lang w:val="ca-ES" w:eastAsia="ar-SA" w:bidi="ar-SA"/>
        </w:rPr>
      </w:pPr>
      <w:r>
        <w:rPr>
          <w:rFonts w:eastAsia="Times New Roman" w:cs="Calibri" w:ascii="Calibri" w:hAnsi="Calibri"/>
          <w:b/>
          <w:sz w:val="24"/>
          <w:lang w:val="ca-ES" w:eastAsia="ar-SA" w:bidi="ar-SA"/>
        </w:rPr>
        <w:t>QUINTA</w:t>
      </w:r>
      <w:r>
        <w:rPr>
          <w:rFonts w:eastAsia="Times New Roman" w:cs="Calibri" w:ascii="Calibri" w:hAnsi="Calibri"/>
          <w:sz w:val="24"/>
          <w:lang w:val="ca-ES" w:eastAsia="ar-SA" w:bidi="ar-SA"/>
        </w:rPr>
        <w:t xml:space="preserve">.- Garantías</w:t>
      </w:r>
    </w:p>
    <w:p>
      <w:pPr>
        <w:pStyle w:val="Normal"/>
        <w:autoSpaceDE w:val="false"/>
        <w:spacing w:before="0" w:after="12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t>No se requiere la constitución de ninguna garantía por parte del beneficiario.</w:t>
      </w:r>
    </w:p>
    <w:p>
      <w:pPr>
        <w:pStyle w:val="Normal"/>
        <w:widowControl/>
        <w:spacing w:before="0" w:after="120"/>
        <w:ind w:end="720" w:hanging="0"/>
        <w:jc w:val="both"/>
        <w:rPr>
          <w:rFonts w:ascii="Calibri" w:hAnsi="Calibri" w:eastAsia="Times New Roman" w:cs="Calibri"/>
          <w:b/>
          <w:b/>
          <w:sz w:val="24"/>
          <w:lang w:val="ca-ES" w:eastAsia="ar-SA" w:bidi="ar-SA"/>
        </w:rPr>
      </w:pPr>
      <w:r>
        <w:rPr>
          <w:rFonts w:eastAsia="Times New Roman" w:cs="Calibri" w:ascii="Calibri" w:hAnsi="Calibri"/>
          <w:b/>
          <w:sz w:val="24"/>
          <w:lang w:val="ca-ES" w:eastAsia="ar-SA" w:bidi="ar-SA"/>
        </w:rPr>
      </w:r>
    </w:p>
    <w:p>
      <w:pPr>
        <w:pStyle w:val="Normal"/>
        <w:widowControl/>
        <w:spacing w:before="0" w:after="120"/>
        <w:ind w:end="720" w:hanging="0"/>
        <w:jc w:val="both"/>
        <w:rPr>
          <w:rFonts w:ascii="Calibri" w:hAnsi="Calibri" w:eastAsia="Times New Roman" w:cs="Calibri"/>
          <w:b/>
          <w:b/>
          <w:sz w:val="24"/>
          <w:lang w:val="ca-ES" w:eastAsia="ar-SA" w:bidi="ar-SA"/>
        </w:rPr>
      </w:pPr>
      <w:r>
        <w:rPr>
          <w:rFonts w:eastAsia="Times New Roman" w:cs="Calibri" w:ascii="Calibri" w:hAnsi="Calibri"/>
          <w:b/>
          <w:sz w:val="24"/>
          <w:lang w:val="ca-ES" w:eastAsia="ar-SA" w:bidi="ar-SA"/>
        </w:rPr>
        <w:t>SEXTA.- Obligaciones del beneficiario</w:t>
      </w:r>
    </w:p>
    <w:p>
      <w:pPr>
        <w:pStyle w:val="Normal"/>
        <w:widowControl/>
        <w:spacing w:before="0" w:after="120"/>
        <w:ind w:end="720" w:hanging="0"/>
        <w:jc w:val="both"/>
        <w:rPr>
          <w:rFonts w:ascii="Calibri" w:hAnsi="Calibri" w:eastAsia="Times New Roman" w:cs="Calibri"/>
          <w:bCs/>
          <w:sz w:val="24"/>
          <w:lang w:val="ca-ES" w:eastAsia="ar-SA" w:bidi="ar-SA"/>
        </w:rPr>
      </w:pPr>
      <w:r>
        <w:rPr>
          <w:rFonts w:eastAsia="Times New Roman" w:cs="Calibri" w:ascii="Calibri" w:hAnsi="Calibri"/>
          <w:bCs/>
          <w:sz w:val="24"/>
          <w:lang w:val="ca-ES" w:eastAsia="ar-SA" w:bidi="ar-SA"/>
        </w:rPr>
        <w:t>Son obligaciones del beneficiario:</w:t>
      </w:r>
    </w:p>
    <w:p>
      <w:pPr>
        <w:pStyle w:val="Normal"/>
        <w:widowControl/>
        <w:spacing w:before="0" w:after="120"/>
        <w:ind w:start="708" w:end="720" w:hanging="0"/>
        <w:jc w:val="both"/>
        <w:rPr>
          <w:rFonts w:ascii="Calibri" w:hAnsi="Calibri" w:eastAsia="Times New Roman" w:cs="Calibri"/>
          <w:bCs/>
          <w:sz w:val="24"/>
          <w:lang w:val="ca-ES" w:eastAsia="ar-SA" w:bidi="ar-SA"/>
        </w:rPr>
      </w:pPr>
      <w:r>
        <w:rPr>
          <w:rFonts w:eastAsia="Times New Roman" w:cs="Calibri" w:ascii="Calibri" w:hAnsi="Calibri"/>
          <w:bCs/>
          <w:sz w:val="24"/>
          <w:lang w:val="ca-ES" w:eastAsia="ar-SA" w:bidi="ar-SA"/>
        </w:rPr>
        <w:t>a) Cumplir con el objetivo, ejecutar el proyecto, realizar la actividad que fomenta la concesión de la subvención nominativa en el plazo señalado por este convenio.</w:t>
      </w:r>
    </w:p>
    <w:p>
      <w:pPr>
        <w:pStyle w:val="Normal"/>
        <w:widowControl/>
        <w:tabs>
          <w:tab w:val="clear" w:pos="1134"/>
          <w:tab w:val="center" w:pos="4252" w:leader="none"/>
          <w:tab w:val="right" w:pos="8504" w:leader="none"/>
        </w:tabs>
        <w:spacing w:before="0" w:after="120"/>
        <w:ind w:start="720" w:end="720" w:hanging="0"/>
        <w:jc w:val="both"/>
        <w:rPr>
          <w:rFonts w:ascii="Calibri" w:hAnsi="Calibri" w:eastAsia="Times New Roman" w:cs="Calibri"/>
          <w:sz w:val="24"/>
          <w:lang w:val="ca-ES" w:eastAsia="ar-SA" w:bidi="ar-SA"/>
        </w:rPr>
      </w:pPr>
      <w:r>
        <w:rPr>
          <w:rFonts w:eastAsia="Times New Roman" w:cs="Calibri" w:ascii="Calibri" w:hAnsi="Calibri"/>
          <w:bCs/>
          <w:sz w:val="24"/>
          <w:lang w:val="ca-ES" w:eastAsia="ar-SA" w:bidi="ar-SA"/>
        </w:rPr>
        <w:t xml:space="preserve">b) Justificar ante la Paeria el cumplimiento de los requisitos y condiciones y también la realización de la actividad y el cumplimiento de la finalidad que determine la concesión.</w:t>
      </w:r>
      <w:r>
        <w:rPr>
          <w:rFonts w:eastAsia="Times New Roman" w:cs="Calibri" w:ascii="Calibri" w:hAnsi="Calibri"/>
          <w:sz w:val="24"/>
          <w:lang w:val="ca-ES" w:eastAsia="ar-SA" w:bidi="ar-SA"/>
        </w:rPr>
        <w:t>La ayuda concedida deberá aplicarse de acuerdo con la finalidad prevista, no autorizando cambios de destino.</w:t>
      </w:r>
    </w:p>
    <w:p>
      <w:pPr>
        <w:pStyle w:val="Normal"/>
        <w:widowControl/>
        <w:spacing w:before="0" w:after="120"/>
        <w:ind w:start="720" w:end="720" w:hanging="0"/>
        <w:jc w:val="both"/>
        <w:rPr>
          <w:rFonts w:ascii="Calibri" w:hAnsi="Calibri" w:eastAsia="Times New Roman" w:cs="Calibri"/>
          <w:bCs/>
          <w:sz w:val="24"/>
          <w:lang w:val="ca-ES" w:eastAsia="ar-SA" w:bidi="ar-SA"/>
        </w:rPr>
      </w:pPr>
      <w:r>
        <w:rPr>
          <w:rFonts w:eastAsia="Times New Roman" w:cs="Calibri" w:ascii="Calibri" w:hAnsi="Calibri"/>
          <w:bCs/>
          <w:sz w:val="24"/>
          <w:lang w:val="ca-ES" w:eastAsia="ar-SA" w:bidi="ar-SA"/>
        </w:rPr>
        <w:t>c) Someterse a las actuaciones de comprobación que se establezca por parte de la Paeria, así como cualquier otra comprobación y control financiero que puedan llevar a cabo los órganos de control competentes, y aportar toda la documentación que sea requerida en el ejercicio de las actuaciones anteriores.</w:t>
      </w:r>
    </w:p>
    <w:p>
      <w:pPr>
        <w:pStyle w:val="Normal"/>
        <w:widowControl/>
        <w:spacing w:before="0" w:after="120"/>
        <w:ind w:start="720" w:end="720" w:hanging="0"/>
        <w:jc w:val="both"/>
        <w:rPr>
          <w:rFonts w:ascii="Calibri" w:hAnsi="Calibri" w:eastAsia="Times New Roman" w:cs="Calibri"/>
          <w:bCs/>
          <w:sz w:val="24"/>
          <w:lang w:val="ca-ES" w:eastAsia="ar-SA" w:bidi="ar-SA"/>
        </w:rPr>
      </w:pPr>
      <w:r>
        <w:rPr>
          <w:rFonts w:eastAsia="Times New Roman" w:cs="Calibri" w:ascii="Calibri" w:hAnsi="Calibri"/>
          <w:bCs/>
          <w:sz w:val="24"/>
          <w:lang w:val="ca-ES" w:eastAsia="ar-SA" w:bidi="ar-SA"/>
        </w:rPr>
        <w:t>d) Acreditar, en el momento de la firma del convenio y en el de su justificación, que el beneficiario de la subvención está al corriente del cumplimiento de las obligaciones tributarias y frente a la Seguridad Social y que no tiene deudas con la Paeria de Cervera, mediante la presentación de certificado, o bien autorizar expresamente a la Paeria para obtener la acreditación (anexo 3).</w:t>
      </w:r>
    </w:p>
    <w:p>
      <w:pPr>
        <w:pStyle w:val="Normal"/>
        <w:widowControl/>
        <w:spacing w:before="0" w:after="120"/>
        <w:ind w:start="720" w:end="720" w:hanging="0"/>
        <w:rPr>
          <w:rFonts w:ascii="Calibri" w:hAnsi="Calibri" w:eastAsia="Times New Roman" w:cs="Calibri"/>
          <w:bCs/>
          <w:sz w:val="24"/>
          <w:lang w:val="ca-ES" w:eastAsia="ar-SA" w:bidi="ar-SA"/>
        </w:rPr>
      </w:pPr>
      <w:r>
        <w:rPr>
          <w:rFonts w:eastAsia="Times New Roman" w:cs="Calibri" w:ascii="Calibri" w:hAnsi="Calibri"/>
          <w:bCs/>
          <w:sz w:val="24"/>
          <w:lang w:val="ca-ES" w:eastAsia="ar-SA" w:bidi="ar-SA"/>
        </w:rPr>
        <w:t>e) Acreditar que la entidad no se encuentra incluida en ninguno de los supuestos establecidos en el artículo 13 de la ley 38/2003, de 17 de noviembre, General de subvenciones por tener la condición de beneficiario de subvención (anexo 3).</w:t>
      </w:r>
    </w:p>
    <w:p>
      <w:pPr>
        <w:pStyle w:val="Normal"/>
        <w:widowControl/>
        <w:spacing w:before="0" w:after="120"/>
        <w:ind w:start="720" w:end="720" w:hanging="0"/>
        <w:rPr>
          <w:rFonts w:ascii="Calibri" w:hAnsi="Calibri" w:eastAsia="Times New Roman" w:cs="Calibri"/>
          <w:sz w:val="24"/>
          <w:lang w:val="ca-ES" w:eastAsia="ar-SA" w:bidi="ar-SA"/>
        </w:rPr>
      </w:pPr>
      <w:r>
        <w:rPr>
          <w:rFonts w:eastAsia="Times New Roman" w:cs="Calibri" w:ascii="Calibri" w:hAnsi="Calibri"/>
          <w:sz w:val="24"/>
          <w:lang w:val="ca-ES" w:eastAsia="ar-SA" w:bidi="ar-SA"/>
        </w:rPr>
        <w:t>f) Hacer constar en la documentación y propaganda de las actividades que sean subvencionadas por la Paeria de Cervera, obligatoriamente, el escudo del Ayuntamiento con el título “Paeria de Cervera.”</w:t>
      </w:r>
    </w:p>
    <w:p>
      <w:pPr>
        <w:pStyle w:val="Normal"/>
        <w:widowControl/>
        <w:spacing w:before="0" w:after="120"/>
        <w:ind w:start="720" w:end="720" w:hanging="0"/>
        <w:rPr>
          <w:rFonts w:ascii="Calibri" w:hAnsi="Calibri" w:cs="Calibri"/>
          <w:sz w:val="24"/>
          <w:lang w:val="ca-ES"/>
        </w:rPr>
      </w:pPr>
      <w:r>
        <w:rPr>
          <w:rFonts w:cs="Calibri" w:ascii="Calibri" w:hAnsi="Calibri"/>
          <w:sz w:val="24"/>
          <w:lang w:val="ca-ES"/>
        </w:rPr>
        <w:t xml:space="preserve">g) Comunicar a la Paeria la obtención de otras subvenciones, ayudas, ingresos o recursos que financien las actividades subvencionadas.</w:t>
      </w:r>
    </w:p>
    <w:p>
      <w:pPr>
        <w:pStyle w:val="Normal"/>
        <w:widowControl/>
        <w:spacing w:before="0" w:after="120"/>
        <w:ind w:start="720" w:end="720" w:hanging="0"/>
        <w:rPr>
          <w:rFonts w:ascii="Calibri" w:hAnsi="Calibri" w:eastAsia="Times New Roman" w:cs="Calibri"/>
          <w:sz w:val="24"/>
          <w:lang w:val="ca-ES" w:eastAsia="ar-SA" w:bidi="ar-SA"/>
        </w:rPr>
      </w:pPr>
      <w:r>
        <w:rPr>
          <w:rFonts w:cs="Calibri" w:ascii="Calibri" w:hAnsi="Calibri"/>
          <w:sz w:val="24"/>
          <w:lang w:val="ca-ES"/>
        </w:rPr>
        <w:t>Esta comunicación debe efectuarse tan pronto como se conozca y, en todo caso, antes de la justificación de la aplicación dada a los fondos percibidos</w:t>
      </w:r>
    </w:p>
    <w:p>
      <w:pPr>
        <w:pStyle w:val="Normal"/>
        <w:widowControl/>
        <w:spacing w:before="0" w:after="120"/>
        <w:ind w:start="720" w:end="720" w:hanging="0"/>
        <w:rPr>
          <w:rFonts w:ascii="Calibri" w:hAnsi="Calibri" w:cs="Calibri"/>
          <w:sz w:val="24"/>
          <w:lang w:val="ca-ES"/>
        </w:rPr>
      </w:pPr>
      <w:r>
        <w:rPr>
          <w:rFonts w:cs="Calibri" w:ascii="Calibri" w:hAnsi="Calibri"/>
          <w:sz w:val="24"/>
          <w:lang w:val="ca-ES"/>
        </w:rPr>
        <w:t>h) Disponer de los libros contables, los registros diligenciados y otros documentos debidamente auditados en los términos que exige la legislación mercantil y sectorial aplicable al beneficiario en cada caso, así como todos los estados contables y los registros específicos que sean exigidos por las bases reguladoras de las subvenciones, con la finalidad de garantizar el adecuado ejercicio de las facultades de comprobación y control.</w:t>
      </w:r>
    </w:p>
    <w:p>
      <w:pPr>
        <w:pStyle w:val="Normal"/>
        <w:widowControl/>
        <w:spacing w:before="0" w:after="120"/>
        <w:ind w:start="720" w:end="720" w:hanging="0"/>
        <w:rPr>
          <w:rFonts w:ascii="Calibri" w:hAnsi="Calibri" w:cs="Calibri"/>
          <w:sz w:val="24"/>
          <w:lang w:val="ca-ES"/>
        </w:rPr>
      </w:pPr>
      <w:r>
        <w:rPr>
          <w:rFonts w:cs="Calibri" w:ascii="Calibri" w:hAnsi="Calibri"/>
          <w:sz w:val="24"/>
          <w:lang w:val="ca-ES"/>
        </w:rPr>
        <w:t>i) Conservar los documentos justificativos de la aplicación de los fondos recibidos, incluidos los documentos electrónicos,mientras puedan ser objeto de las actuaciones de comprobación y control.j) Adoptar las medidas de difusión contenidas en el apartado 4 del artículo 18 d esta ley.</w:t>
        <w:br/>
      </w:r>
    </w:p>
    <w:p>
      <w:pPr>
        <w:pStyle w:val="Normal"/>
        <w:widowControl/>
        <w:spacing w:before="0" w:after="120"/>
        <w:ind w:start="720" w:end="720" w:hanging="0"/>
        <w:rPr>
          <w:rFonts w:ascii="Calibri" w:hAnsi="Calibri" w:cs="Calibri"/>
          <w:sz w:val="24"/>
          <w:lang w:val="ca-ES"/>
        </w:rPr>
      </w:pPr>
      <w:r>
        <w:rPr>
          <w:rFonts w:cs="Calibri" w:ascii="Calibri" w:hAnsi="Calibri"/>
          <w:sz w:val="24"/>
          <w:lang w:val="ca-ES"/>
        </w:rPr>
        <w:t xml:space="preserve">k) Proceder al reintegro de los fondos percibidos en los casos previstos en el artículo 37 LGS.</w:t>
      </w:r>
    </w:p>
    <w:p>
      <w:pPr>
        <w:pStyle w:val="Normal"/>
        <w:autoSpaceDE w:val="false"/>
        <w:spacing w:before="0" w:after="120"/>
        <w:jc w:val="both"/>
        <w:rPr>
          <w:rFonts w:ascii="Calibri" w:hAnsi="Calibri" w:eastAsia="Times New Roman" w:cs="Calibri"/>
          <w:b/>
          <w:b/>
          <w:sz w:val="24"/>
          <w:lang w:val="ca-ES" w:eastAsia="ar-SA" w:bidi="ar-SA"/>
        </w:rPr>
      </w:pPr>
      <w:r>
        <w:rPr>
          <w:rFonts w:eastAsia="Times New Roman" w:cs="Calibri" w:ascii="Calibri" w:hAnsi="Calibri"/>
          <w:b/>
          <w:sz w:val="24"/>
          <w:lang w:val="ca-ES" w:eastAsia="ar-SA" w:bidi="ar-SA"/>
        </w:rPr>
      </w:r>
    </w:p>
    <w:p>
      <w:pPr>
        <w:pStyle w:val="Normal"/>
        <w:autoSpaceDE w:val="false"/>
        <w:spacing w:before="0" w:after="120"/>
        <w:jc w:val="both"/>
        <w:rPr>
          <w:rFonts w:ascii="Calibri" w:hAnsi="Calibri" w:eastAsia="Times New Roman" w:cs="Calibri"/>
          <w:b/>
          <w:b/>
          <w:sz w:val="24"/>
          <w:lang w:val="ca-ES" w:eastAsia="ar-SA" w:bidi="ar-SA"/>
        </w:rPr>
      </w:pPr>
      <w:r>
        <w:rPr>
          <w:rFonts w:eastAsia="Times New Roman" w:cs="Calibri" w:ascii="Calibri" w:hAnsi="Calibri"/>
          <w:b/>
          <w:sz w:val="24"/>
          <w:lang w:val="ca-ES" w:eastAsia="ar-SA" w:bidi="ar-SA"/>
        </w:rPr>
      </w:r>
    </w:p>
    <w:p>
      <w:pPr>
        <w:pStyle w:val="Normal"/>
        <w:autoSpaceDE w:val="false"/>
        <w:spacing w:before="0" w:after="120"/>
        <w:jc w:val="both"/>
        <w:rPr>
          <w:rFonts w:ascii="Calibri" w:hAnsi="Calibri" w:eastAsia="Times New Roman" w:cs="Calibri"/>
          <w:b/>
          <w:b/>
          <w:sz w:val="24"/>
          <w:lang w:val="ca-ES" w:eastAsia="ar-SA" w:bidi="ar-SA"/>
        </w:rPr>
      </w:pPr>
      <w:r>
        <w:rPr>
          <w:rFonts w:eastAsia="Times New Roman" w:cs="Calibri" w:ascii="Calibri" w:hAnsi="Calibri"/>
          <w:b/>
          <w:sz w:val="24"/>
          <w:lang w:val="ca-ES" w:eastAsia="ar-SA" w:bidi="ar-SA"/>
        </w:rPr>
      </w:r>
    </w:p>
    <w:p>
      <w:pPr>
        <w:pStyle w:val="Normal"/>
        <w:autoSpaceDE w:val="false"/>
        <w:spacing w:before="0" w:after="120"/>
        <w:jc w:val="both"/>
        <w:rPr>
          <w:rFonts w:ascii="Calibri" w:hAnsi="Calibri" w:eastAsia="Times New Roman" w:cs="Calibri"/>
          <w:sz w:val="24"/>
          <w:lang w:val="ca-ES" w:eastAsia="ar-SA" w:bidi="ar-SA"/>
        </w:rPr>
      </w:pPr>
      <w:r>
        <w:rPr>
          <w:rFonts w:eastAsia="Times New Roman" w:cs="Calibri" w:ascii="Calibri" w:hAnsi="Calibri"/>
          <w:b/>
          <w:sz w:val="24"/>
          <w:lang w:val="ca-ES" w:eastAsia="ar-SA" w:bidi="ar-SA"/>
        </w:rPr>
        <w:t>SÉPTIMA</w:t>
      </w:r>
      <w:r>
        <w:rPr>
          <w:rFonts w:eastAsia="Times New Roman" w:cs="Calibri" w:ascii="Calibri" w:hAnsi="Calibri"/>
          <w:sz w:val="24"/>
          <w:lang w:val="ca-ES" w:eastAsia="ar-SA" w:bidi="ar-SA"/>
        </w:rPr>
        <w:t xml:space="preserve">.- Obligaciones de la Paeria de Cervera</w:t>
      </w:r>
    </w:p>
    <w:p>
      <w:pPr>
        <w:pStyle w:val="Normal"/>
        <w:autoSpaceDE w:val="false"/>
        <w:spacing w:before="0" w:after="12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r>
    </w:p>
    <w:p>
      <w:pPr>
        <w:pStyle w:val="Normal"/>
        <w:numPr>
          <w:ilvl w:val="0"/>
          <w:numId w:val="4"/>
        </w:numPr>
        <w:autoSpaceDE w:val="false"/>
        <w:spacing w:before="0" w:after="12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t>Es obligación de la Paeria abonar la cantidad de 900 € al beneficiario, una vez presentada y aprobada la documentación justificativa.</w:t>
      </w:r>
    </w:p>
    <w:p>
      <w:pPr>
        <w:pStyle w:val="Normal"/>
        <w:numPr>
          <w:ilvl w:val="0"/>
          <w:numId w:val="4"/>
        </w:numPr>
        <w:autoSpaceDE w:val="false"/>
        <w:spacing w:before="0" w:after="12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t>En caso de que no se justifique la totalidad del importe concedido, se pagará hasta el importe justificado.</w:t>
      </w:r>
    </w:p>
    <w:p>
      <w:pPr>
        <w:pStyle w:val="Normal"/>
        <w:autoSpaceDE w:val="false"/>
        <w:spacing w:before="0" w:after="120"/>
        <w:jc w:val="both"/>
        <w:rPr>
          <w:rFonts w:ascii="Calibri" w:hAnsi="Calibri" w:eastAsia="Times New Roman" w:cs="Calibri"/>
          <w:b/>
          <w:b/>
          <w:sz w:val="24"/>
          <w:lang w:val="ca-ES" w:eastAsia="ar-SA" w:bidi="ar-SA"/>
        </w:rPr>
      </w:pPr>
      <w:r>
        <w:rPr>
          <w:rFonts w:eastAsia="Times New Roman" w:cs="Calibri" w:ascii="Calibri" w:hAnsi="Calibri"/>
          <w:b/>
          <w:sz w:val="24"/>
          <w:lang w:val="ca-ES" w:eastAsia="ar-SA" w:bidi="ar-SA"/>
        </w:rPr>
      </w:r>
    </w:p>
    <w:p>
      <w:pPr>
        <w:pStyle w:val="Normal"/>
        <w:autoSpaceDE w:val="false"/>
        <w:spacing w:before="0" w:after="120"/>
        <w:jc w:val="both"/>
        <w:rPr>
          <w:rFonts w:ascii="Calibri" w:hAnsi="Calibri" w:eastAsia="Times New Roman" w:cs="Calibri"/>
          <w:b/>
          <w:b/>
          <w:sz w:val="24"/>
          <w:lang w:val="ca-ES" w:eastAsia="ar-SA" w:bidi="ar-SA"/>
        </w:rPr>
      </w:pPr>
      <w:r>
        <w:rPr>
          <w:rFonts w:eastAsia="Times New Roman" w:cs="Calibri" w:ascii="Calibri" w:hAnsi="Calibri"/>
          <w:b/>
          <w:sz w:val="24"/>
          <w:lang w:val="ca-ES" w:eastAsia="ar-SA" w:bidi="ar-SA"/>
        </w:rPr>
      </w:r>
    </w:p>
    <w:p>
      <w:pPr>
        <w:pStyle w:val="Normal"/>
        <w:autoSpaceDE w:val="false"/>
        <w:spacing w:before="0" w:after="120"/>
        <w:jc w:val="both"/>
        <w:rPr>
          <w:rFonts w:ascii="Calibri" w:hAnsi="Calibri" w:eastAsia="Times New Roman" w:cs="Calibri"/>
          <w:sz w:val="24"/>
          <w:lang w:val="ca-ES" w:eastAsia="ar-SA" w:bidi="ar-SA"/>
        </w:rPr>
      </w:pPr>
      <w:r>
        <w:rPr>
          <w:rFonts w:eastAsia="Times New Roman" w:cs="Calibri" w:ascii="Calibri" w:hAnsi="Calibri"/>
          <w:b/>
          <w:sz w:val="24"/>
          <w:lang w:val="ca-ES" w:eastAsia="ar-SA" w:bidi="ar-SA"/>
        </w:rPr>
        <w:t>OCTAVA</w:t>
      </w:r>
      <w:r>
        <w:rPr>
          <w:rFonts w:eastAsia="Times New Roman" w:cs="Calibri" w:ascii="Calibri" w:hAnsi="Calibri"/>
          <w:sz w:val="24"/>
          <w:lang w:val="ca-ES" w:eastAsia="ar-SA" w:bidi="ar-SA"/>
        </w:rPr>
        <w:t xml:space="preserve">.- Justificación</w:t>
      </w:r>
    </w:p>
    <w:p>
      <w:pPr>
        <w:pStyle w:val="Normal"/>
        <w:autoSpaceDE w:val="false"/>
        <w:spacing w:before="0" w:after="12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t>Para percibir la subvención otorgada, es necesario haber realizado la actividad subvencionada y presentar a la Intervención de los Caudales Municipales de la Paeria la instancia de presentación de la documentación justificativa (MODEL INSTANCIA “JUSTIFICACIÓN”) acompañada de la siguiente documentación:</w:t>
      </w:r>
    </w:p>
    <w:p>
      <w:pPr>
        <w:pStyle w:val="Normal"/>
        <w:autoSpaceDE w:val="false"/>
        <w:spacing w:before="0" w:after="120"/>
        <w:ind w:start="993" w:hanging="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t>a)Memoria y cuenta justificativa de la actuación subvencionada, con el desglose de todos los gastos e ingresos que hayan generado (Anexo 4).</w:t>
      </w:r>
    </w:p>
    <w:p>
      <w:pPr>
        <w:pStyle w:val="Normal"/>
        <w:autoSpaceDE w:val="false"/>
        <w:spacing w:before="0" w:after="120"/>
        <w:ind w:start="992" w:hanging="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t>b) Relación de los gastos de la actuación por importe del gasto subvencionado ( Anexo 5) Esta relación debe tener identificación del acreedor y del documento, el importe, la fecha de emisión.</w:t>
      </w:r>
    </w:p>
    <w:p>
      <w:pPr>
        <w:pStyle w:val="Normal"/>
        <w:autoSpaceDE w:val="false"/>
        <w:spacing w:before="0" w:after="120"/>
        <w:ind w:start="992" w:hanging="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t>c) Facturas originales o documentos equivalentes por importe del doble de la subvención concedida debidamente cumplimentadas o fotocopiadas compulsadas de los mismos de los gastos realizados en el ejercicio de la actividad.</w:t>
      </w:r>
    </w:p>
    <w:p>
      <w:pPr>
        <w:pStyle w:val="Normal"/>
        <w:autoSpaceDE w:val="false"/>
        <w:spacing w:before="0" w:after="120"/>
        <w:ind w:start="993" w:hanging="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t>Las facturas deben reunir los requisitos expresados ​​en el RD 1619/2012, de 30 de noviembre, por el que se aprueba el Reglamento que regula las obligaciones de facturación.</w:t>
      </w:r>
    </w:p>
    <w:p>
      <w:pPr>
        <w:pStyle w:val="Normal"/>
        <w:autoSpaceDE w:val="false"/>
        <w:spacing w:before="0" w:after="12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t>Los justificantes del gasto realizado se tendrán que aportar como máximo el 12 de diciembre de 2023.</w:t>
      </w:r>
    </w:p>
    <w:p>
      <w:pPr>
        <w:pStyle w:val="Normal"/>
        <w:autoSpaceDE w:val="false"/>
        <w:spacing w:before="0" w:after="120"/>
        <w:jc w:val="both"/>
        <w:rPr>
          <w:rFonts w:ascii="Calibri" w:hAnsi="Calibri" w:eastAsia="Times New Roman" w:cs="Calibri"/>
          <w:b/>
          <w:b/>
          <w:sz w:val="24"/>
          <w:lang w:val="ca-ES" w:eastAsia="ar-SA" w:bidi="ar-SA"/>
        </w:rPr>
      </w:pPr>
      <w:r>
        <w:rPr>
          <w:rFonts w:eastAsia="Times New Roman" w:cs="Calibri" w:ascii="Calibri" w:hAnsi="Calibri"/>
          <w:b/>
          <w:sz w:val="24"/>
          <w:lang w:val="ca-ES" w:eastAsia="ar-SA" w:bidi="ar-SA"/>
        </w:rPr>
      </w:r>
    </w:p>
    <w:p>
      <w:pPr>
        <w:pStyle w:val="Normal"/>
        <w:autoSpaceDE w:val="false"/>
        <w:spacing w:before="0" w:after="120"/>
        <w:jc w:val="both"/>
        <w:rPr>
          <w:rFonts w:ascii="Calibri" w:hAnsi="Calibri" w:eastAsia="Times New Roman" w:cs="Calibri"/>
          <w:sz w:val="24"/>
          <w:lang w:val="ca-ES" w:eastAsia="ar-SA" w:bidi="ar-SA"/>
        </w:rPr>
      </w:pPr>
      <w:r>
        <w:rPr>
          <w:rFonts w:eastAsia="Times New Roman" w:cs="Calibri" w:ascii="Calibri" w:hAnsi="Calibri"/>
          <w:b/>
          <w:sz w:val="24"/>
          <w:lang w:val="ca-ES" w:eastAsia="ar-SA" w:bidi="ar-SA"/>
        </w:rPr>
        <w:t>NOVENA</w:t>
      </w:r>
      <w:r>
        <w:rPr>
          <w:rFonts w:eastAsia="Times New Roman" w:cs="Calibri" w:ascii="Calibri" w:hAnsi="Calibri"/>
          <w:sz w:val="24"/>
          <w:lang w:val="ca-ES" w:eastAsia="ar-SA" w:bidi="ar-SA"/>
        </w:rPr>
        <w:t xml:space="preserve">.- Aprobación de la justificación y pago</w:t>
      </w:r>
    </w:p>
    <w:p>
      <w:pPr>
        <w:pStyle w:val="Normal"/>
        <w:autoSpaceDE w:val="false"/>
        <w:spacing w:before="0" w:after="12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t>La aprobación corresponderá a la concejal/a de ciudadanía, acción social y salud, que podrá reducir la subvención en el porcentaje correspondiente a los gastos efectivamente producidos. Presentada la documentación justificativa de la cláusula octava y aprobada, se procederá a la expedición de la orden de pago correspondiente.</w:t>
      </w:r>
    </w:p>
    <w:p>
      <w:pPr>
        <w:pStyle w:val="Normal"/>
        <w:autoSpaceDE w:val="false"/>
        <w:spacing w:before="0" w:after="120"/>
        <w:jc w:val="both"/>
        <w:rPr>
          <w:rFonts w:ascii="Calibri" w:hAnsi="Calibri" w:eastAsia="Times New Roman" w:cs="Calibri"/>
          <w:b/>
          <w:b/>
          <w:bCs/>
          <w:sz w:val="24"/>
          <w:lang w:val="ca-ES" w:eastAsia="ar-SA" w:bidi="ar-SA"/>
        </w:rPr>
      </w:pPr>
      <w:r>
        <w:rPr>
          <w:rFonts w:eastAsia="Times New Roman" w:cs="Calibri" w:ascii="Calibri" w:hAnsi="Calibri"/>
          <w:b/>
          <w:bCs/>
          <w:sz w:val="24"/>
          <w:lang w:val="ca-ES" w:eastAsia="ar-SA" w:bidi="ar-SA"/>
        </w:rPr>
      </w:r>
    </w:p>
    <w:p>
      <w:pPr>
        <w:pStyle w:val="Normal"/>
        <w:autoSpaceDE w:val="false"/>
        <w:spacing w:before="0" w:after="120"/>
        <w:jc w:val="both"/>
        <w:rPr>
          <w:rFonts w:ascii="Calibri" w:hAnsi="Calibri" w:eastAsia="Times New Roman" w:cs="Calibri"/>
          <w:b/>
          <w:b/>
          <w:bCs/>
          <w:sz w:val="24"/>
          <w:lang w:val="ca-ES" w:eastAsia="ar-SA" w:bidi="ar-SA"/>
        </w:rPr>
      </w:pPr>
      <w:r>
        <w:rPr>
          <w:rFonts w:eastAsia="Times New Roman" w:cs="Calibri" w:ascii="Calibri" w:hAnsi="Calibri"/>
          <w:b/>
          <w:bCs/>
          <w:sz w:val="24"/>
          <w:lang w:val="ca-ES" w:eastAsia="ar-SA" w:bidi="ar-SA"/>
        </w:rPr>
        <w:t>DÉCIMA. Seguimiento y control</w:t>
      </w:r>
    </w:p>
    <w:p>
      <w:pPr>
        <w:pStyle w:val="Normal"/>
        <w:autoSpaceDE w:val="false"/>
        <w:spacing w:before="0" w:after="120"/>
        <w:jc w:val="both"/>
        <w:rPr>
          <w:rFonts w:ascii="Calibri" w:hAnsi="Calibri" w:eastAsia="Times New Roman" w:cs="Calibri"/>
          <w:bCs/>
          <w:sz w:val="24"/>
          <w:lang w:val="ca-ES" w:eastAsia="ar-SA" w:bidi="ar-SA"/>
        </w:rPr>
      </w:pPr>
      <w:r>
        <w:rPr>
          <w:rFonts w:eastAsia="Times New Roman" w:cs="Calibri" w:ascii="Calibri" w:hAnsi="Calibri"/>
          <w:bCs/>
          <w:sz w:val="24"/>
          <w:lang w:val="ca-ES" w:eastAsia="ar-SA" w:bidi="ar-SA"/>
        </w:rPr>
        <w:t xml:space="preserve">El seguimiento y control del convenio se realizará por parte de la Concejalía de</w:t>
      </w:r>
      <w:r>
        <w:rPr>
          <w:rFonts w:eastAsia="Times New Roman" w:cs="Calibri" w:ascii="Calibri" w:hAnsi="Calibri"/>
          <w:sz w:val="24"/>
          <w:lang w:val="ca-ES" w:eastAsia="ar-SA" w:bidi="ar-SA"/>
        </w:rPr>
        <w:t>ciudadanía, acción social y salud.</w:t>
      </w:r>
    </w:p>
    <w:p>
      <w:pPr>
        <w:pStyle w:val="Normal"/>
        <w:autoSpaceDE w:val="false"/>
        <w:spacing w:before="0" w:after="120"/>
        <w:jc w:val="both"/>
        <w:rPr>
          <w:rFonts w:ascii="Calibri" w:hAnsi="Calibri" w:eastAsia="Times New Roman" w:cs="Calibri"/>
          <w:b/>
          <w:b/>
          <w:bCs/>
          <w:sz w:val="24"/>
          <w:lang w:val="ca-ES" w:eastAsia="ar-SA" w:bidi="ar-SA"/>
        </w:rPr>
      </w:pPr>
      <w:r>
        <w:rPr>
          <w:rFonts w:eastAsia="Times New Roman" w:cs="Calibri" w:ascii="Calibri" w:hAnsi="Calibri"/>
          <w:b/>
          <w:bCs/>
          <w:sz w:val="24"/>
          <w:lang w:val="ca-ES" w:eastAsia="ar-SA" w:bidi="ar-SA"/>
        </w:rPr>
      </w:r>
    </w:p>
    <w:p>
      <w:pPr>
        <w:pStyle w:val="Normal"/>
        <w:autoSpaceDE w:val="false"/>
        <w:spacing w:before="0" w:after="120"/>
        <w:jc w:val="both"/>
        <w:rPr>
          <w:rFonts w:ascii="Calibri" w:hAnsi="Calibri" w:eastAsia="Times New Roman" w:cs="Calibri"/>
          <w:b/>
          <w:b/>
          <w:sz w:val="24"/>
          <w:lang w:val="ca-ES" w:eastAsia="ar-SA" w:bidi="ar-SA"/>
        </w:rPr>
      </w:pPr>
      <w:r>
        <w:rPr>
          <w:rFonts w:eastAsia="Times New Roman" w:cs="Calibri" w:ascii="Calibri" w:hAnsi="Calibri"/>
          <w:b/>
          <w:bCs/>
          <w:sz w:val="24"/>
          <w:lang w:val="ca-ES" w:eastAsia="ar-SA" w:bidi="ar-SA"/>
        </w:rPr>
        <w:t>UNDÉCIMA.-</w:t>
      </w:r>
      <w:r>
        <w:rPr>
          <w:rFonts w:eastAsia="Times New Roman" w:cs="Calibri" w:ascii="Calibri" w:hAnsi="Calibri"/>
          <w:sz w:val="24"/>
          <w:lang w:val="ca-ES" w:eastAsia="ar-SA" w:bidi="ar-SA"/>
        </w:rPr>
        <w:t xml:space="preserve">Vigencia y causas de resolución</w:t>
      </w:r>
    </w:p>
    <w:p>
      <w:pPr>
        <w:pStyle w:val="Normal"/>
        <w:autoSpaceDE w:val="false"/>
        <w:spacing w:before="0" w:after="12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t xml:space="preserve">Dado que el objeto del convenio es regular la subvención nominativa, éste tiene vigencia del 1 de enero hasta el 31 de diciembre de 2023 y no se establece la posibilidad de prórroga.</w:t>
      </w:r>
    </w:p>
    <w:p>
      <w:pPr>
        <w:pStyle w:val="Normal"/>
        <w:autoSpaceDE w:val="false"/>
        <w:spacing w:before="0" w:after="12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t>Será causa de resolución del presente convenio el transcurso del plazo de vigencia del convenio, el mutuo acuerdo entre las partes, así como la denuncia de incumplimiento de cualquiera de las cláusulas mediante preaviso comunicado de forma fehaciente en el plazo de un mes desde que aquél hubiera sido detectado.</w:t>
      </w:r>
    </w:p>
    <w:p>
      <w:pPr>
        <w:pStyle w:val="Normal"/>
        <w:autoSpaceDE w:val="false"/>
        <w:spacing w:before="0" w:after="120"/>
        <w:jc w:val="both"/>
        <w:rPr>
          <w:rFonts w:ascii="Calibri" w:hAnsi="Calibri" w:eastAsia="Times New Roman" w:cs="Calibri"/>
          <w:b/>
          <w:b/>
          <w:bCs/>
          <w:sz w:val="24"/>
          <w:lang w:val="ca-ES" w:eastAsia="ar-SA" w:bidi="ar-SA"/>
        </w:rPr>
      </w:pPr>
      <w:r>
        <w:rPr>
          <w:rFonts w:eastAsia="Times New Roman" w:cs="Calibri" w:ascii="Calibri" w:hAnsi="Calibri"/>
          <w:b/>
          <w:bCs/>
          <w:sz w:val="24"/>
          <w:lang w:val="ca-ES" w:eastAsia="ar-SA" w:bidi="ar-SA"/>
        </w:rPr>
      </w:r>
    </w:p>
    <w:p>
      <w:pPr>
        <w:pStyle w:val="Normal"/>
        <w:autoSpaceDE w:val="false"/>
        <w:spacing w:before="0" w:after="120"/>
        <w:jc w:val="both"/>
        <w:rPr>
          <w:rFonts w:ascii="Calibri" w:hAnsi="Calibri" w:eastAsia="Times New Roman" w:cs="Calibri"/>
          <w:sz w:val="24"/>
          <w:lang w:val="ca-ES" w:eastAsia="ar-SA" w:bidi="ar-SA"/>
        </w:rPr>
      </w:pPr>
      <w:r>
        <w:rPr>
          <w:rFonts w:eastAsia="Times New Roman" w:cs="Calibri" w:ascii="Calibri" w:hAnsi="Calibri"/>
          <w:b/>
          <w:bCs/>
          <w:sz w:val="24"/>
          <w:lang w:val="ca-ES" w:eastAsia="ar-SA" w:bidi="ar-SA"/>
        </w:rPr>
        <w:t>DUODÉCIMA</w:t>
      </w:r>
      <w:r>
        <w:rPr>
          <w:rFonts w:eastAsia="Times New Roman" w:cs="Calibri" w:ascii="Calibri" w:hAnsi="Calibri"/>
          <w:sz w:val="24"/>
          <w:lang w:val="ca-ES" w:eastAsia="ar-SA" w:bidi="ar-SA"/>
        </w:rPr>
        <w:t xml:space="preserve">.- Incumplimiento y reintegro</w:t>
      </w:r>
    </w:p>
    <w:p>
      <w:pPr>
        <w:pStyle w:val="Normal"/>
        <w:autoSpaceDE w:val="false"/>
        <w:spacing w:before="0" w:after="12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t>El incumplimiento por causas imputables al beneficiario de las obligaciones impuestas como consecuencia del convenio, así como el falseamiento, inexactitud u omisión de los datos suministrados que hayan servido para la concesión de las subvenciones, comportará la pérdida total o parcial de éstas, y si procede, el reintegro con el abono de los intereses de demora, según lo establecido en la legislación vigente.</w:t>
      </w:r>
    </w:p>
    <w:p>
      <w:pPr>
        <w:pStyle w:val="Normal"/>
        <w:autoSpaceDE w:val="false"/>
        <w:spacing w:before="0" w:after="120"/>
        <w:jc w:val="both"/>
        <w:rPr>
          <w:rFonts w:ascii="Calibri" w:hAnsi="Calibri" w:eastAsia="Times New Roman" w:cs="Calibri"/>
          <w:b/>
          <w:b/>
          <w:sz w:val="24"/>
          <w:lang w:val="ca-ES" w:eastAsia="ar-SA" w:bidi="ar-SA"/>
        </w:rPr>
      </w:pPr>
      <w:r>
        <w:rPr>
          <w:rFonts w:eastAsia="Times New Roman" w:cs="Calibri" w:ascii="Calibri" w:hAnsi="Calibri"/>
          <w:b/>
          <w:sz w:val="24"/>
          <w:lang w:val="ca-ES" w:eastAsia="ar-SA" w:bidi="ar-SA"/>
        </w:rPr>
      </w:r>
    </w:p>
    <w:p>
      <w:pPr>
        <w:pStyle w:val="Normal"/>
        <w:autoSpaceDE w:val="false"/>
        <w:spacing w:before="0" w:after="120"/>
        <w:jc w:val="both"/>
        <w:rPr>
          <w:rFonts w:ascii="Calibri" w:hAnsi="Calibri" w:eastAsia="Times New Roman" w:cs="Calibri"/>
          <w:sz w:val="24"/>
          <w:lang w:val="ca-ES" w:eastAsia="ar-SA" w:bidi="ar-SA"/>
        </w:rPr>
      </w:pPr>
      <w:r>
        <w:rPr>
          <w:rFonts w:eastAsia="Times New Roman" w:cs="Calibri" w:ascii="Calibri" w:hAnsi="Calibri"/>
          <w:b/>
          <w:sz w:val="24"/>
          <w:lang w:val="ca-ES" w:eastAsia="ar-SA" w:bidi="ar-SA"/>
        </w:rPr>
        <w:t>DECIMOTERCERA</w:t>
      </w:r>
      <w:r>
        <w:rPr>
          <w:rFonts w:eastAsia="Times New Roman" w:cs="Calibri" w:ascii="Calibri" w:hAnsi="Calibri"/>
          <w:sz w:val="24"/>
          <w:lang w:val="ca-ES" w:eastAsia="ar-SA" w:bidi="ar-SA"/>
        </w:rPr>
        <w:t xml:space="preserve">.- Aspectos no previstos y cuestiones litigiosas</w:t>
      </w:r>
    </w:p>
    <w:p>
      <w:pPr>
        <w:pStyle w:val="Normal"/>
        <w:autoSpaceDE w:val="false"/>
        <w:spacing w:before="0" w:after="12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t>En todo lo que no esté previsto en este convenio, se aplicará la Ley 38/2003, de 17 de noviembre, general de subvenciones, el Real Decreto 887/2006, de 21 de julio, por el que se aprueba el reglamento de la Ley General de Subvenciones. Las cuestiones litigiosas que puedan suscitarse se someterán a los Tribunales del orden jurisdiccional contencioso administrativo.</w:t>
      </w:r>
    </w:p>
    <w:p>
      <w:pPr>
        <w:pStyle w:val="Normal"/>
        <w:autoSpaceDE w:val="false"/>
        <w:spacing w:before="0" w:after="12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r>
    </w:p>
    <w:p>
      <w:pPr>
        <w:pStyle w:val="Normal"/>
        <w:autoSpaceDE w:val="false"/>
        <w:spacing w:before="0" w:after="12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t>Y para que así conste y surta los efectos oportunos, se formaliza el presente convenio por duplicado, en el lugar y fecha indicados en el encabezamiento.</w:t>
      </w:r>
    </w:p>
    <w:p>
      <w:pPr>
        <w:pStyle w:val="Normal"/>
        <w:widowControl/>
        <w:pBdr>
          <w:bottom w:val="double" w:sz="6" w:space="1" w:color="000000"/>
        </w:pBdr>
        <w:spacing w:before="0" w:after="12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r>
    </w:p>
    <w:p>
      <w:pPr>
        <w:pStyle w:val="Normal"/>
        <w:widowControl/>
        <w:spacing w:before="0" w:after="120"/>
        <w:jc w:val="both"/>
        <w:rPr>
          <w:rFonts w:ascii="Calibri" w:hAnsi="Calibri" w:eastAsia="Times New Roman" w:cs="Calibri"/>
          <w:sz w:val="24"/>
          <w:lang w:val="ca-ES" w:eastAsia="ar-SA" w:bidi="ar-SA"/>
        </w:rPr>
      </w:pPr>
      <w:r>
        <w:rPr>
          <w:rFonts w:eastAsia="Times New Roman" w:cs="Calibri" w:ascii="Calibri" w:hAnsi="Calibri"/>
          <w:sz w:val="24"/>
          <w:lang w:val="ca-ES" w:eastAsia="ar-SA" w:bidi="ar-SA"/>
        </w:rPr>
      </w:r>
    </w:p>
    <w:p>
      <w:pPr>
        <w:pStyle w:val="TextBody"/>
        <w:rPr>
          <w:rFonts w:ascii="Calibri" w:hAnsi="Calibri" w:cs="Calibri"/>
          <w:sz w:val="24"/>
          <w:lang w:val="ca-ES"/>
        </w:rPr>
      </w:pPr>
      <w:r>
        <w:rPr>
          <w:rFonts w:cs="Calibri" w:ascii="Calibri" w:hAnsi="Calibri"/>
          <w:sz w:val="24"/>
          <w:lang w:val="ca-ES"/>
        </w:rPr>
        <w:t>ANEXO 1.- Certificado de vigencia de cargos de la entidad y que la suscripción del convenio ha sido acordada por el órgano competente.</w:t>
      </w:r>
    </w:p>
    <w:p>
      <w:pPr>
        <w:pStyle w:val="TextBody"/>
        <w:rPr>
          <w:rFonts w:ascii="Calibri" w:hAnsi="Calibri" w:cs="Calibri"/>
          <w:sz w:val="24"/>
          <w:lang w:val="ca-ES"/>
        </w:rPr>
      </w:pPr>
      <w:r>
        <w:rPr>
          <w:rFonts w:cs="Calibri" w:ascii="Calibri" w:hAnsi="Calibri"/>
          <w:sz w:val="24"/>
          <w:lang w:val="ca-ES"/>
        </w:rPr>
        <w:t>ANEXO 2.- Características de la actividad que es objeto de subvención ( ficha descriptiva)</w:t>
      </w:r>
    </w:p>
    <w:p>
      <w:pPr>
        <w:pStyle w:val="TextBody"/>
        <w:rPr>
          <w:rFonts w:ascii="Calibri" w:hAnsi="Calibri" w:cs="Calibri"/>
          <w:sz w:val="24"/>
          <w:lang w:val="ca-ES"/>
        </w:rPr>
      </w:pPr>
      <w:r>
        <w:rPr>
          <w:rFonts w:cs="Calibri" w:ascii="Calibri" w:hAnsi="Calibri"/>
          <w:sz w:val="24"/>
          <w:lang w:val="ca-ES"/>
        </w:rPr>
        <w:t>ANEXO 3.- Certificación de estar al corriente de las obligaciones tributarias con la Hacienda estatal, autonómica y local, con la Seguridad Social, y de cumplir los requisitos para obtener la condición de beneficiario art.13 LGS.</w:t>
      </w:r>
    </w:p>
    <w:p>
      <w:pPr>
        <w:pStyle w:val="TextBody"/>
        <w:rPr/>
      </w:pPr>
      <w:r>
        <w:rPr>
          <w:rFonts w:cs="Calibri" w:ascii="Calibri" w:hAnsi="Calibri"/>
          <w:sz w:val="24"/>
          <w:lang w:val="ca-ES"/>
        </w:rPr>
        <w:t>ANEXO 4.- Memoria y cuenta justificativa</w:t>
      </w:r>
    </w:p>
    <w:p>
      <w:pPr>
        <w:pStyle w:val="TextBody"/>
        <w:rPr/>
      </w:pPr>
      <w:r>
        <w:rPr>
          <w:rFonts w:cs="Calibri" w:ascii="Calibri" w:hAnsi="Calibri"/>
          <w:sz w:val="24"/>
          <w:lang w:val="ca-ES"/>
        </w:rPr>
        <w:t>ANEXO 5.- Relación de gastos</w:t>
      </w:r>
    </w:p>
    <w:p>
      <w:pPr>
        <w:pStyle w:val="TextBody"/>
        <w:spacing w:before="0" w:after="120"/>
        <w:rPr>
          <w:rFonts w:ascii="Calibri" w:hAnsi="Calibri" w:cs="Calibri"/>
          <w:sz w:val="24"/>
          <w:lang w:val="ca-ES"/>
        </w:rPr>
      </w:pPr>
      <w:r>
        <w:rPr>
          <w:rFonts w:cs="Calibri" w:ascii="Calibri" w:hAnsi="Calibri"/>
          <w:sz w:val="24"/>
          <w:lang w:val="ca-ES"/>
        </w:rPr>
      </w:r>
    </w:p>
    <w:sectPr>
      <w:headerReference w:type="default" r:id="rId2"/>
      <w:footerReference w:type="default" r:id="rId3"/>
      <w:type w:val="nextPage"/>
      <w:pgSz w:w="11906" w:h="16838"/>
      <w:pgMar w:left="1134" w:right="1133" w:header="720" w:top="1814" w:footer="232" w:bottom="851"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01" w:characterSet="utf-8"/>
    <w:family w:val="roman"/>
    <w:pitch w:val="variable"/>
  </w:font>
  <w:font w:name="Liberation Sans Unicode MS">
    <w:altName w:val="Arial"/>
    <w:charset w:val="01"/>
    <w:family w:val="auto"/>
    <w:pitch w:val="variable"/>
  </w:font>
  <w:font w:name="Calibri">
    <w:charset w:val="00" w:characterSet="windows-1252"/>
    <w:family w:val="swiss"/>
    <w:pitch w:val="variable"/>
  </w:font>
  <w:font w:name="Liberation Sans">
    <w:altName w:val="Arial"/>
    <w:charset w:val="00" w:characterSet="windows-1252"/>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rPr/>
    </w:pPr>
    <w:r>
      <w:rPr/>
      <w:drawing>
        <wp:inline distT="0" distB="0" distL="0" distR="0">
          <wp:extent cx="5394960" cy="269240"/>
          <wp:effectExtent l="0" t="0" r="0" b="0"/>
          <wp:docPr id="2" name="Image1"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descr="" title=""/>
                  <pic:cNvPicPr>
                    <a:picLocks noChangeAspect="1" noChangeArrowheads="1"/>
                  </pic:cNvPicPr>
                </pic:nvPicPr>
                <pic:blipFill>
                  <a:blip r:embed="rId1"/>
                  <a:srcRect l="-9" t="-189" r="-9" b="-189"/>
                  <a:stretch>
                    <a:fillRect/>
                  </a:stretch>
                </pic:blipFill>
                <pic:spPr bwMode="auto">
                  <a:xfrm>
                    <a:off x="0" y="0"/>
                    <a:ext cx="5394960" cy="269240"/>
                  </a:xfrm>
                  <a:prstGeom prst="rect">
                    <a:avLst/>
                  </a:prstGeom>
                </pic:spPr>
              </pic:pic>
            </a:graphicData>
          </a:graphic>
        </wp:inline>
      </w:drawing>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rPr/>
    </w:pPr>
    <w:r>
      <w:rPr/>
      <w:drawing>
        <wp:inline distT="0" distB="0" distL="0" distR="0">
          <wp:extent cx="697865" cy="697865"/>
          <wp:effectExtent l="0" t="0" r="0" b="0"/>
          <wp:docPr id="1" name="Image2"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2" descr="" title=""/>
                  <pic:cNvPicPr>
                    <a:picLocks noChangeAspect="1" noChangeArrowheads="1"/>
                  </pic:cNvPicPr>
                </pic:nvPicPr>
                <pic:blipFill>
                  <a:blip r:embed="rId1"/>
                  <a:srcRect l="-155" t="-155" r="-155" b="-155"/>
                  <a:stretch>
                    <a:fillRect/>
                  </a:stretch>
                </pic:blipFill>
                <pic:spPr bwMode="auto">
                  <a:xfrm>
                    <a:off x="0" y="0"/>
                    <a:ext cx="697865" cy="697865"/>
                  </a:xfrm>
                  <a:prstGeom prst="rect">
                    <a:avLst/>
                  </a:prstGeom>
                </pic:spPr>
              </pic:pic>
            </a:graphicData>
          </a:graphic>
        </wp:inline>
      </w:drawing>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Heading1"/>
      <w:numFmt w:val="none"/>
      <w:suff w:val="nothing"/>
      <w:lvlText w:val=""/>
      <w:lvlJc w:val="start"/>
      <w:pPr>
        <w:tabs>
          <w:tab w:val="num" w:pos="0"/>
        </w:tabs>
        <w:ind w:start="0" w:hanging="0"/>
      </w:pPr>
    </w:lvl>
    <w:lvl w:ilvl="1">
      <w:start w:val="1"/>
      <w:numFmt w:val="none"/>
      <w:suff w:val="nothing"/>
      <w:lvlText w:val=""/>
      <w:lvlJc w:val="start"/>
      <w:pPr>
        <w:tabs>
          <w:tab w:val="num" w:pos="0"/>
        </w:tabs>
        <w:ind w:start="0" w:hanging="0"/>
      </w:pPr>
    </w:lvl>
    <w:lvl w:ilvl="2">
      <w:start w:val="1"/>
      <w:numFmt w:val="none"/>
      <w:suff w:val="nothing"/>
      <w:lvlText w:val=""/>
      <w:lvlJc w:val="start"/>
      <w:pPr>
        <w:tabs>
          <w:tab w:val="num" w:pos="0"/>
        </w:tabs>
        <w:ind w:start="0" w:hanging="0"/>
      </w:pPr>
    </w:lvl>
    <w:lvl w:ilvl="3">
      <w:start w:val="1"/>
      <w:numFmt w:val="none"/>
      <w:suff w:val="nothing"/>
      <w:lvlText w:val=""/>
      <w:lvlJc w:val="start"/>
      <w:pPr>
        <w:tabs>
          <w:tab w:val="num" w:pos="0"/>
        </w:tabs>
        <w:ind w:start="0" w:hanging="0"/>
      </w:pPr>
    </w:lvl>
    <w:lvl w:ilvl="4">
      <w:start w:val="1"/>
      <w:numFmt w:val="none"/>
      <w:suff w:val="nothing"/>
      <w:lvlText w:val=""/>
      <w:lvlJc w:val="start"/>
      <w:pPr>
        <w:tabs>
          <w:tab w:val="num" w:pos="0"/>
        </w:tabs>
        <w:ind w:start="0" w:hanging="0"/>
      </w:pPr>
    </w:lvl>
    <w:lvl w:ilvl="5">
      <w:start w:val="1"/>
      <w:numFmt w:val="none"/>
      <w:suff w:val="nothing"/>
      <w:lvlText w:val=""/>
      <w:lvlJc w:val="start"/>
      <w:pPr>
        <w:tabs>
          <w:tab w:val="num" w:pos="0"/>
        </w:tabs>
        <w:ind w:start="0" w:hanging="0"/>
      </w:pPr>
    </w:lvl>
    <w:lvl w:ilvl="6">
      <w:start w:val="1"/>
      <w:numFmt w:val="none"/>
      <w:suff w:val="nothing"/>
      <w:lvlText w:val=""/>
      <w:lvlJc w:val="start"/>
      <w:pPr>
        <w:tabs>
          <w:tab w:val="num" w:pos="0"/>
        </w:tabs>
        <w:ind w:start="0" w:hanging="0"/>
      </w:pPr>
    </w:lvl>
    <w:lvl w:ilvl="7">
      <w:start w:val="1"/>
      <w:numFmt w:val="none"/>
      <w:suff w:val="nothing"/>
      <w:lvlText w:val=""/>
      <w:lvlJc w:val="start"/>
      <w:pPr>
        <w:tabs>
          <w:tab w:val="num" w:pos="0"/>
        </w:tabs>
        <w:ind w:start="0" w:hanging="0"/>
      </w:pPr>
    </w:lvl>
    <w:lvl w:ilvl="8">
      <w:start w:val="1"/>
      <w:numFmt w:val="none"/>
      <w:suff w:val="nothing"/>
      <w:lvlText w:val=""/>
      <w:lvlJc w:val="start"/>
      <w:pPr>
        <w:tabs>
          <w:tab w:val="num" w:pos="0"/>
        </w:tabs>
        <w:ind w:start="0" w:hanging="0"/>
      </w:pPr>
    </w:lvl>
  </w:abstractNum>
  <w:abstractNum w:abstractNumId="2">
    <w:lvl w:ilvl="0">
      <w:start w:val="1"/>
      <w:numFmt w:val="lowerLetter"/>
      <w:lvlText w:val="%1)"/>
      <w:lvlJc w:val="start"/>
      <w:pPr>
        <w:tabs>
          <w:tab w:val="num" w:pos="0"/>
        </w:tabs>
        <w:ind w:start="644" w:hanging="360"/>
      </w:pPr>
      <w:rPr>
        <w:sz w:val="24"/>
        <w:rFonts w:ascii="Calibri" w:hAnsi="Calibri" w:eastAsia="Times New Roman" w:cs="Calibri"/>
        <w:lang w:val="ca-ES" w:eastAsia="ar-SA" w:bidi="ar-SA"/>
      </w:rPr>
    </w:lvl>
  </w:abstractNum>
  <w:abstractNum w:abstractNumId="3">
    <w:lvl w:ilvl="0">
      <w:start w:val="1"/>
      <w:numFmt w:val="upperRoman"/>
      <w:lvlText w:val="%1."/>
      <w:lvlJc w:val="start"/>
      <w:pPr>
        <w:tabs>
          <w:tab w:val="num" w:pos="0"/>
        </w:tabs>
        <w:ind w:start="1080" w:hanging="720"/>
      </w:pPr>
      <w:rPr>
        <w:sz w:val="24"/>
        <w:rFonts w:ascii="Calibri" w:hAnsi="Calibri" w:eastAsia="Times New Roman" w:cs="Calibri"/>
        <w:lang w:val="ca-ES" w:eastAsia="ar-SA" w:bidi="ar-SA"/>
      </w:rPr>
    </w:lvl>
  </w:abstractNum>
  <w:abstractNum w:abstractNumId="4">
    <w:lvl w:ilvl="0">
      <w:start w:val="1"/>
      <w:numFmt w:val="lowerLetter"/>
      <w:lvlText w:val="%1)"/>
      <w:lvlJc w:val="start"/>
      <w:pPr>
        <w:tabs>
          <w:tab w:val="num" w:pos="0"/>
        </w:tabs>
        <w:ind w:start="720" w:hanging="360"/>
      </w:pPr>
      <w:rPr>
        <w:rFonts w:cs="Calibri"/>
        <w:lang w:val="ca-ES"/>
      </w:r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100"/>
  <w:displayBackgroundShape/>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oto Serif CJK SC" w:cs="Lohit Devanagari"/>
        <w:sz w:val="24"/>
        <w:szCs w:val="24"/>
        <w:lang w:val="en-US" w:eastAsia="zh-CN" w:bidi="hi-IN"/>
      </w:rPr>
    </w:rPrDefault>
    <w:pPrDefault>
      <w:pPr>
        <w:suppressAutoHyphens w:val="true"/>
      </w:pPr>
    </w:pPrDefault>
  </w:docDefaults>
  <w:style w:type="paragraph" w:styleId="Normal">
    <w:name w:val="Normal"/>
    <w:qFormat/>
    <w:pPr>
      <w:widowControl w:val="false"/>
      <w:suppressAutoHyphens w:val="true"/>
      <w:bidi w:val="0"/>
    </w:pPr>
    <w:rPr>
      <w:rFonts w:ascii="Arial" w:hAnsi="Arial" w:eastAsia="DejaVu Sans" w:cs="DejaVu Sans"/>
      <w:color w:val="auto"/>
      <w:sz w:val="22"/>
      <w:szCs w:val="24"/>
      <w:lang w:val="es-ES" w:eastAsia="zh-CN" w:bidi="hi-IN"/>
    </w:rPr>
  </w:style>
  <w:style w:type="paragraph" w:styleId="Heading1">
    <w:name w:val="Heading 1"/>
    <w:basedOn w:val="Heading"/>
    <w:next w:val="TextBody"/>
    <w:qFormat/>
    <w:pPr>
      <w:numPr>
        <w:ilvl w:val="0"/>
        <w:numId w:val="1"/>
      </w:numPr>
      <w:shd w:fill="EEEEEE" w:val="clear"/>
      <w:outlineLvl w:val="0"/>
    </w:pPr>
    <w:rPr>
      <w:rFonts w:ascii="Liberation Sans Unicode MS;Arial" w:hAnsi="Liberation Sans Unicode MS;Arial" w:cs="Liberation Sans Unicode MS;Arial"/>
      <w:b/>
      <w:bCs/>
      <w:sz w:val="28"/>
      <w:szCs w:val="44"/>
    </w:rPr>
  </w:style>
  <w:style w:type="character" w:styleId="WW8Num1z0">
    <w:name w:val="WW8Num1z0"/>
    <w:qFormat/>
    <w:rPr>
      <w:rFonts w:ascii="Calibri" w:hAnsi="Calibri" w:eastAsia="Times New Roman" w:cs="Calibri"/>
      <w:sz w:val="24"/>
      <w:lang w:val="ca-ES" w:eastAsia="ar-SA" w:bidi="ar-SA"/>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rFonts w:ascii="Calibri" w:hAnsi="Calibri" w:eastAsia="Times New Roman" w:cs="Calibri"/>
      <w:sz w:val="24"/>
      <w:lang w:val="ca-ES" w:eastAsia="ar-SA" w:bidi="ar-SA"/>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rFonts w:cs="Calibri"/>
      <w:lang w:val="ca-ES"/>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WW8Num4z0">
    <w:name w:val="WW8Num4z0"/>
    <w:qFormat/>
    <w:rPr/>
  </w:style>
  <w:style w:type="character" w:styleId="WW8Num4z1">
    <w:name w:val="WW8Num4z1"/>
    <w:qFormat/>
    <w:rPr/>
  </w:style>
  <w:style w:type="character" w:styleId="WW8Num4z2">
    <w:name w:val="WW8Num4z2"/>
    <w:qFormat/>
    <w:rPr/>
  </w:style>
  <w:style w:type="character" w:styleId="WW8Num4z3">
    <w:name w:val="WW8Num4z3"/>
    <w:qFormat/>
    <w:rPr/>
  </w:style>
  <w:style w:type="character" w:styleId="WW8Num4z4">
    <w:name w:val="WW8Num4z4"/>
    <w:qFormat/>
    <w:rPr/>
  </w:style>
  <w:style w:type="character" w:styleId="WW8Num4z5">
    <w:name w:val="WW8Num4z5"/>
    <w:qFormat/>
    <w:rPr/>
  </w:style>
  <w:style w:type="character" w:styleId="WW8Num4z6">
    <w:name w:val="WW8Num4z6"/>
    <w:qFormat/>
    <w:rPr/>
  </w:style>
  <w:style w:type="character" w:styleId="WW8Num4z7">
    <w:name w:val="WW8Num4z7"/>
    <w:qFormat/>
    <w:rPr/>
  </w:style>
  <w:style w:type="character" w:styleId="WW8Num4z8">
    <w:name w:val="WW8Num4z8"/>
    <w:qFormat/>
    <w:rPr/>
  </w:style>
  <w:style w:type="character" w:styleId="WW8Num5z0">
    <w:name w:val="WW8Num5z0"/>
    <w:qFormat/>
    <w:rPr/>
  </w:style>
  <w:style w:type="character" w:styleId="WW8Num5z1">
    <w:name w:val="WW8Num5z1"/>
    <w:qFormat/>
    <w:rPr/>
  </w:style>
  <w:style w:type="character" w:styleId="WW8Num5z2">
    <w:name w:val="WW8Num5z2"/>
    <w:qFormat/>
    <w:rPr/>
  </w:style>
  <w:style w:type="character" w:styleId="WW8Num5z3">
    <w:name w:val="WW8Num5z3"/>
    <w:qFormat/>
    <w:rPr/>
  </w:style>
  <w:style w:type="character" w:styleId="WW8Num5z4">
    <w:name w:val="WW8Num5z4"/>
    <w:qFormat/>
    <w:rPr/>
  </w:style>
  <w:style w:type="character" w:styleId="WW8Num5z5">
    <w:name w:val="WW8Num5z5"/>
    <w:qFormat/>
    <w:rPr/>
  </w:style>
  <w:style w:type="character" w:styleId="WW8Num5z6">
    <w:name w:val="WW8Num5z6"/>
    <w:qFormat/>
    <w:rPr/>
  </w:style>
  <w:style w:type="character" w:styleId="WW8Num5z7">
    <w:name w:val="WW8Num5z7"/>
    <w:qFormat/>
    <w:rPr/>
  </w:style>
  <w:style w:type="character" w:styleId="WW8Num5z8">
    <w:name w:val="WW8Num5z8"/>
    <w:qFormat/>
    <w:rPr/>
  </w:style>
  <w:style w:type="character" w:styleId="Lletraperdefectedelpargraf">
    <w:name w:val="Lletra per defecte del paràgraf"/>
    <w:qFormat/>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FontStyle11">
    <w:name w:val="Font Style11"/>
    <w:qFormat/>
    <w:rPr>
      <w:rFonts w:ascii="Arial" w:hAnsi="Arial" w:cs="Arial"/>
      <w:color w:val="000000"/>
      <w:sz w:val="20"/>
      <w:szCs w:val="20"/>
    </w:rPr>
  </w:style>
  <w:style w:type="paragraph" w:styleId="Heading">
    <w:name w:val="Heading"/>
    <w:basedOn w:val="Normal"/>
    <w:next w:val="TextBody"/>
    <w:qFormat/>
    <w:pPr>
      <w:keepNext w:val="true"/>
      <w:spacing w:before="240" w:after="283"/>
    </w:pPr>
    <w:rPr>
      <w:rFonts w:ascii="Liberation Sans" w:hAnsi="Liberation Sans" w:cs="Liberation Sans"/>
      <w:sz w:val="28"/>
      <w:szCs w:val="28"/>
    </w:rPr>
  </w:style>
  <w:style w:type="paragraph" w:styleId="TextBody">
    <w:name w:val="Body Text"/>
    <w:basedOn w:val="Normal"/>
    <w:pPr>
      <w:spacing w:before="0" w:after="120"/>
    </w:pPr>
    <w:rPr/>
  </w:style>
  <w:style w:type="paragraph" w:styleId="List">
    <w:name w:val="List"/>
    <w:basedOn w:val="TextBody"/>
    <w:pPr/>
    <w:rPr>
      <w:rFonts w:cs="Lohit Devanagari"/>
    </w:rPr>
  </w:style>
  <w:style w:type="paragraph" w:styleId="Caption">
    <w:name w:val="Caption"/>
    <w:basedOn w:val="Normal"/>
    <w:qFormat/>
    <w:pPr>
      <w:suppressLineNumbers/>
      <w:spacing w:before="120" w:after="120"/>
    </w:pPr>
    <w:rPr>
      <w:rFonts w:cs="Lohit Devanagari"/>
      <w:i/>
      <w:iCs/>
      <w:sz w:val="24"/>
      <w:szCs w:val="24"/>
    </w:rPr>
  </w:style>
  <w:style w:type="paragraph" w:styleId="Index">
    <w:name w:val="Index"/>
    <w:basedOn w:val="Normal"/>
    <w:qFormat/>
    <w:pPr>
      <w:suppressLineNumbers/>
    </w:pPr>
    <w:rPr>
      <w:rFonts w:cs="Lohit Devanagari"/>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Sender">
    <w:name w:val="Envelope Return"/>
    <w:basedOn w:val="Normal"/>
    <w:pPr/>
    <w:rPr>
      <w:i/>
    </w:rPr>
  </w:style>
  <w:style w:type="paragraph" w:styleId="TableContents">
    <w:name w:val="Table Contents"/>
    <w:basedOn w:val="TextBody"/>
    <w:qFormat/>
    <w:pPr>
      <w:spacing w:before="0" w:after="0"/>
    </w:pPr>
    <w:rPr/>
  </w:style>
  <w:style w:type="paragraph" w:styleId="HeaderandFooter">
    <w:name w:val="Header and Footer"/>
    <w:basedOn w:val="Normal"/>
    <w:qFormat/>
    <w:pPr>
      <w:suppressLineNumbers/>
      <w:tabs>
        <w:tab w:val="clear" w:pos="1134"/>
        <w:tab w:val="center" w:pos="5386" w:leader="none"/>
        <w:tab w:val="right" w:pos="10772" w:leader="none"/>
      </w:tabs>
    </w:pPr>
    <w:rPr/>
  </w:style>
  <w:style w:type="paragraph" w:styleId="Header">
    <w:name w:val="Header"/>
    <w:basedOn w:val="HeaderandFooter"/>
    <w:pPr>
      <w:suppressLineNumbers/>
    </w:pPr>
    <w:rPr/>
  </w:style>
  <w:style w:type="paragraph" w:styleId="Footer">
    <w:name w:val="Footer"/>
    <w:basedOn w:val="HeaderandFooter"/>
    <w:pPr>
      <w:suppressLineNumbers/>
    </w:pPr>
    <w:rPr/>
  </w:style>
  <w:style w:type="paragraph" w:styleId="Pargrafdellista">
    <w:name w:val="Paràgraf de llista"/>
    <w:basedOn w:val="Normal"/>
    <w:qFormat/>
    <w:pPr>
      <w:ind w:start="708" w:hanging="0"/>
    </w:pPr>
    <w:rPr>
      <w:rFonts w:cs="Mangal"/>
    </w:rPr>
  </w:style>
  <w:style w:type="numbering" w:styleId="WW8Num1">
    <w:name w:val="WW8Num1"/>
    <w:qFormat/>
  </w:style>
  <w:style w:type="numbering" w:styleId="WW8Num2">
    <w:name w:val="WW8Num2"/>
    <w:qFormat/>
  </w:style>
  <w:style w:type="numbering" w:styleId="WW8Num3">
    <w:name w:val="WW8Num3"/>
    <w:qFormat/>
  </w:style>
  <w:style w:type="numbering" w:styleId="WW8Num4">
    <w:name w:val="WW8Num4"/>
    <w:qFormat/>
  </w:style>
  <w:style w:type="numbering" w:styleId="WW8Num5">
    <w:name w:val="WW8Num5"/>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 Id="r_odt_hyperlink" Type="http://schemas.openxmlformats.org/officeDocument/2006/relationships/hyperlink" Target="https://www.onlinedoctranslator.com/es/?utm_source=onlinedoctranslator&amp;utm_medium=doc&amp;utm_campaign=attribution" TargetMode="External"/><Relationship Id="r_odt_logo" Type="http://schemas.openxmlformats.org/officeDocument/2006/relationships/image" Target="media/odt_attribution_logo.png"/></Relationships>
</file>

<file path=word/_rels/footer1.xml.rels><?xml version="1.0" encoding="UTF-8"?>
<Relationships xmlns="http://schemas.openxmlformats.org/package/2006/relationships"><Relationship Id="rId1" Type="http://schemas.openxmlformats.org/officeDocument/2006/relationships/image" Target="media/image2.jpeg"/>
</Relationships>
</file>

<file path=word/_rels/header1.xml.rels><?xml version="1.0" encoding="UTF-8"?>
<Relationships xmlns="http://schemas.openxmlformats.org/package/2006/relationships"><Relationship Id="rId1" Type="http://schemas.openxmlformats.org/officeDocument/2006/relationships/image" Target="media/image1.jpeg"/>
</Relationships>
</file>

<file path=docProps/app.xml><?xml version="1.0" encoding="utf-8"?>
<Properties xmlns="http://schemas.openxmlformats.org/officeDocument/2006/extended-properties" xmlns:vt="http://schemas.openxmlformats.org/officeDocument/2006/docPropsVTypes">
  <Template>Normal</Template>
  <TotalTime>21</TotalTime>
  <Application>LibreOffice/7.0.6.2$Linux_X86_64 LibreOffice_project/00$Build-2</Application>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2022-07-27T11:41:00Z</dcterms:created>
  <dc:creator>Antoni Esqué Rubiol</dc:creator>
  <dc:description/>
  <cp:keywords> </cp:keywords>
  <dc:language>en-US</dc:language>
  <cp:lastModifiedBy>Paeria Cervera3</cp:lastModifiedBy>
  <cp:lastPrinted>2022-08-02T12:58:00Z</cp:lastPrinted>
  <dcterms:modified xsi:type="dcterms:W3CDTF">2023-06-16T09:38:00Z</dcterms:modified>
  <cp:revision>11</cp:revision>
  <dc:subject/>
  <dc:title/>
</cp:coreProperties>
</file>