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footer1.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 xml:space="preserve">CONVENIO REGULADOR DE LA SUBVENCIÓN NOMINATIVA A CÁRITAS INTERPARROQUIAL DE CERVERA POR LA ATENCIÓN A PERSONAS CON RIESGO DE EXCLUSIÓN SOCIAL DE CERVERA POR RAZONES FAMILIARES, ECONÓMICAS, EDUCATIVAS Y/O LABORALES</w:t>
        <w:br/>
      </w:r>
    </w:p>
    <w:p>
      <w:pPr>
        <w:pStyle w:val="Normal"/>
        <w:autoSpaceDE w:val="false"/>
        <w:spacing w:before="0" w:after="120"/>
        <w:ind w:start="708" w:hanging="708"/>
        <w:jc w:val="both"/>
        <w:rPr>
          <w:rFonts w:ascii="Calibri" w:hAnsi="Calibri" w:eastAsia="Times New Roman" w:cs="Calibri"/>
          <w:sz w:val="24"/>
          <w:u w:val="single"/>
          <w:lang w:val="ca-ES" w:eastAsia="ar-SA" w:bidi="ar-SA"/>
        </w:rPr>
      </w:pPr>
      <w:r>
        <w:rPr>
          <w:rFonts w:eastAsia="Times New Roman" w:cs="Calibri" w:ascii="Calibri" w:hAnsi="Calibri"/>
          <w:sz w:val="24"/>
          <w:lang w:val="ca-ES" w:eastAsia="ar-SA" w:bidi="ar-SA"/>
        </w:rPr>
        <w:t>En Cervera,</w:t>
      </w:r>
    </w:p>
    <w:p>
      <w:pPr>
        <w:pStyle w:val="Normal"/>
        <w:autoSpaceDE w:val="false"/>
        <w:spacing w:before="0" w:after="120"/>
        <w:rPr>
          <w:rFonts w:ascii="Calibri" w:hAnsi="Calibri" w:eastAsia="Times New Roman" w:cs="Calibri"/>
          <w:b/>
          <w:b/>
          <w:bCs/>
          <w:sz w:val="24"/>
          <w:u w:val="single"/>
          <w:lang w:val="ca-ES" w:eastAsia="ar-SA" w:bidi="ar-SA"/>
        </w:rPr>
      </w:pPr>
      <w:r>
        <w:rPr>
          <w:rFonts w:eastAsia="Times New Roman" w:cs="Calibri" w:ascii="Calibri" w:hAnsi="Calibri"/>
          <w:b/>
          <w:bCs/>
          <w:sz w:val="24"/>
          <w:u w:val="single"/>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REUNIDOS</w:t>
      </w:r>
    </w:p>
    <w:p>
      <w:pPr>
        <w:pStyle w:val="Normal"/>
        <w:autoSpaceDE w:val="false"/>
        <w:spacing w:before="0" w:after="120"/>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De una parte, Jan Pomés y López, Paer/a jefe del Ayuntamiento de Cervera actuando en nombre y representación del mismo, asistido por Antonio Esqué y Rubiol, Secretario,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Por otra, Montse López y Canela, mayor de edad, actuando en nombre y representación como representante de Cáritas Interparroquial de Cervera, en lo sucesivo beneficiario, con domicilio en Plaza de los Mártires, 7 de Cervera.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Ambas partes se reconocen suficiente capacidad para actuar, una vez verificada la vigencia de los cargos y la habilitación para la suscripción de este convenio (Anexo 1), y en su virtud,</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MANIFIESTAN</w: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el artículo 22.2.a) de la Ley General de Subvenciones 38/2003, de 17 de noviembre, prevé como supuesto de concesión directa de subvenciones previstas nominativamente en los presupuestos municipales, de conformidad con lo establecido en los convenios y en la normativa reguladora de las mismas.</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el Presupuesto Municipal del Ayuntamiento de Cervera para el ejercicio 2023 contiene la previsión del otorgamiento de una subvención a favor de Cáritas Interparroquial de Cervera por importe de (4.000 euros).</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entre los objetivos para el año 2023 de este Ayuntamiento se encuentra el f</w:t>
      </w:r>
      <w:r>
        <w:rPr>
          <w:rFonts w:cs="Calibri" w:ascii="Calibri" w:hAnsi="Calibri"/>
          <w:sz w:val="24"/>
          <w:lang w:val="ca-ES"/>
        </w:rPr>
        <w:t xml:space="preserve">omento de actividades sociales, promoción de las entidades y asociaciones de la ciudad.</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de conformidad con lo establecido, en el artículo 46 de las Bases de Ejecución del Presupuesto del Ayuntamiento de Cervera, y el artículo 22.2.a) y 28 de la Ley General de Subvenciones y normas concordantes, las partes suscriben el presente convenio de colaboración que regula los compromisos de ambas en lo que respecta a esta subvención.</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Que Cáritas Interparroquial de Cervera es una entidad sin ánimo de lucro acreditan tener estatutos y que su objeto social de coordinar, orientar, promover y potenciar la acción caritativa y social, que concuerda con los objetivos fijados en el Plan estratégico de subvenciones.</w:t>
      </w:r>
    </w:p>
    <w:p>
      <w:pPr>
        <w:pStyle w:val="Pargrafdellista"/>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autoSpaceDE w:val="false"/>
        <w:spacing w:before="0" w:after="120"/>
        <w:ind w:start="284"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CL Á USULAS</w: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bCs/>
          <w:sz w:val="24"/>
          <w:lang w:val="ca-ES" w:eastAsia="ar-SA" w:bidi="ar-SA"/>
        </w:rPr>
        <w:t>PRIMERA</w:t>
      </w:r>
      <w:r>
        <w:rPr>
          <w:rFonts w:eastAsia="Times New Roman" w:cs="Calibri" w:ascii="Calibri" w:hAnsi="Calibri"/>
          <w:sz w:val="24"/>
          <w:lang w:val="ca-ES" w:eastAsia="ar-SA" w:bidi="ar-SA"/>
        </w:rPr>
        <w:t xml:space="preserve">.- Objeto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sz w:val="24"/>
          <w:lang w:val="ca-ES" w:eastAsia="ar-SA" w:bidi="ar-SA"/>
        </w:rPr>
        <w:t>El objeto del presente convenio es regular la concesión de la subvención nominativa a Cáritas Interparroquial de Cervera por la atención a personas con riesgo de exclusión social de Cervera por razones familiares, económicas, educativas y/o laborales.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Los fondos recibidos por el beneficiario no podrán ser aplicados a finalidad distinta a la de sufragar los gastos que comporte la realización del objeto de esta subvención.</w:t>
      </w:r>
    </w:p>
    <w:p>
      <w:pPr>
        <w:pStyle w:val="Normal"/>
        <w:widowControl/>
        <w:shd w:fill="FFFFFF" w:val="clear"/>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Las características de la actividad que se subvenciona se detallan en el ANEXO 2.</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bookmarkStart w:id="0" w:name="_Hlk109799782"/>
      <w:bookmarkEnd w:id="0"/>
      <w:r>
        <w:rPr>
          <w:rFonts w:eastAsia="Times New Roman" w:cs="Calibri" w:ascii="Calibri" w:hAnsi="Calibri"/>
          <w:b/>
          <w:bCs/>
          <w:sz w:val="24"/>
          <w:lang w:val="ca-ES" w:eastAsia="ar-SA" w:bidi="ar-SA"/>
        </w:rPr>
        <w:t>SEGUNDA.-</w:t>
      </w:r>
      <w:r>
        <w:rPr>
          <w:rFonts w:eastAsia="Times New Roman" w:cs="Calibri" w:ascii="Calibri" w:hAnsi="Calibri"/>
          <w:sz w:val="24"/>
          <w:lang w:val="ca-ES" w:eastAsia="ar-SA" w:bidi="ar-SA"/>
        </w:rPr>
        <w:t xml:space="preserve">Importe y financiación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El importe de la subvención asciende a 4.000 euros, que se aportarán íntegramente por el Ayuntamiento, con cargo a la aplicación presupuestaria 231.48901 del ejercicio 2023. Este importe corresponde al 50% del coste de la actuación.</w:t>
      </w:r>
    </w:p>
    <w:p>
      <w:pPr>
        <w:pStyle w:val="Normal"/>
        <w:widowControl/>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bookmarkStart w:id="1" w:name="_Hlk109799782"/>
      <w:bookmarkStart w:id="2" w:name="_Hlk109799782"/>
      <w:bookmarkEnd w:id="2"/>
    </w:p>
    <w:p>
      <w:pPr>
        <w:pStyle w:val="Normal"/>
        <w:widowControl/>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TERCERA.-</w:t>
      </w:r>
      <w:r>
        <w:rPr>
          <w:rFonts w:eastAsia="Times New Roman" w:cs="Calibri" w:ascii="Calibri" w:hAnsi="Calibri"/>
          <w:sz w:val="24"/>
          <w:lang w:val="ca-ES" w:eastAsia="ar-SA" w:bidi="ar-SA"/>
        </w:rPr>
        <w:t xml:space="preserve">Contabilidad con otras subvenciones</w:t>
      </w:r>
    </w:p>
    <w:p>
      <w:pPr>
        <w:pStyle w:val="Normal"/>
        <w:widowControl/>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La presente subvención resulta compatible con otras que pudiera obtener el beneficiario para la realización del objeto de esta subvención. El importe total de las subvenciones recibidas no podrá ser nunca de una cuantía que en concurrencia con otras subvenciones o ayudas recibidas de otras administraciones o entes públicos o privados, supere el coste de la actividad desarrollada por el beneficiario.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CUARTA</w:t>
      </w:r>
      <w:r>
        <w:rPr>
          <w:rFonts w:eastAsia="Times New Roman" w:cs="Calibri" w:ascii="Calibri" w:hAnsi="Calibri"/>
          <w:sz w:val="24"/>
          <w:lang w:val="ca-ES" w:eastAsia="ar-SA" w:bidi="ar-SA"/>
        </w:rPr>
        <w:t xml:space="preserve">.- Gastos subvencionables</w:t>
      </w:r>
    </w:p>
    <w:p>
      <w:pPr>
        <w:pStyle w:val="Normal"/>
        <w:autoSpaceDE w:val="false"/>
        <w:spacing w:before="0" w:after="120"/>
        <w:jc w:val="both"/>
        <w:rPr>
          <w:rFonts w:ascii="Calibri" w:hAnsi="Calibri" w:cs="Calibri"/>
          <w:bCs/>
          <w:sz w:val="24"/>
          <w:lang w:val="ca-ES"/>
        </w:rPr>
      </w:pPr>
      <w:r>
        <w:rPr>
          <w:rFonts w:eastAsia="Times New Roman" w:cs="Calibri" w:ascii="Calibri" w:hAnsi="Calibri"/>
          <w:sz w:val="24"/>
          <w:lang w:val="ca-ES" w:eastAsia="ar-SA" w:bidi="ar-SA"/>
        </w:rPr>
        <w:t xml:space="preserve">Serán gastos subvencionables</w:t>
      </w:r>
      <w:r>
        <w:rPr>
          <w:rFonts w:cs="Calibri" w:ascii="Calibri" w:hAnsi="Calibri"/>
          <w:color w:val="000000"/>
          <w:sz w:val="24"/>
          <w:lang w:val="ca-ES"/>
        </w:rPr>
        <w:t>de personal (sueldos y salarios y seguridad social) y todas aquellas que se deriven de la propia gestión (material de oficina, de limpieza y de higiene, útiles necesarios para llevar a cabo las diferentes actividades) y los gastos provenientes de las ayudas a las personas en riesgo de exclusión social.</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No serán subvencionables en ningún caso los gastos que no entren en los conceptos mencionados en el párrafo anterior, al no estar vinculados al objeto de la subvención.</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QUINTA</w:t>
      </w:r>
      <w:r>
        <w:rPr>
          <w:rFonts w:eastAsia="Times New Roman" w:cs="Calibri" w:ascii="Calibri" w:hAnsi="Calibri"/>
          <w:sz w:val="24"/>
          <w:lang w:val="ca-ES" w:eastAsia="ar-SA" w:bidi="ar-SA"/>
        </w:rPr>
        <w:t xml:space="preserve">.- Garantías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No se requiere la constitución de ninguna garantía por parte del beneficiario.</w:t>
      </w:r>
    </w:p>
    <w:p>
      <w:pPr>
        <w:pStyle w:val="Normal"/>
        <w:widowControl/>
        <w:spacing w:before="0" w:after="120"/>
        <w:ind w:end="720" w:hanging="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widowControl/>
        <w:spacing w:before="0" w:after="120"/>
        <w:ind w:end="720" w:hanging="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t>SEXTA.- Obligaciones del beneficiario</w:t>
      </w:r>
    </w:p>
    <w:p>
      <w:pPr>
        <w:pStyle w:val="Normal"/>
        <w:widowControl/>
        <w:spacing w:before="0" w:after="120"/>
        <w:ind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Son obligaciones del beneficiario:</w:t>
      </w:r>
    </w:p>
    <w:p>
      <w:pPr>
        <w:pStyle w:val="Normal"/>
        <w:widowControl/>
        <w:spacing w:before="0" w:after="120"/>
        <w:ind w:start="708"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a) Cumplir con el objetivo, ejecutar el proyecto, realizar la actividad que fomenta la concesión de la subvención nominativa en el plazo señalado por este convenio.</w:t>
      </w:r>
    </w:p>
    <w:p>
      <w:pPr>
        <w:pStyle w:val="Normal"/>
        <w:widowControl/>
        <w:tabs>
          <w:tab w:val="clear" w:pos="1134"/>
          <w:tab w:val="center" w:pos="4252" w:leader="none"/>
          <w:tab w:val="right" w:pos="8504" w:leader="none"/>
        </w:tabs>
        <w:spacing w:before="0" w:after="120"/>
        <w:ind w:start="720" w:end="720" w:hanging="0"/>
        <w:jc w:val="both"/>
        <w:rPr>
          <w:rFonts w:ascii="Calibri" w:hAnsi="Calibri" w:eastAsia="Times New Roman" w:cs="Calibri"/>
          <w:sz w:val="24"/>
          <w:lang w:val="ca-ES" w:eastAsia="ar-SA" w:bidi="ar-SA"/>
        </w:rPr>
      </w:pPr>
      <w:r>
        <w:rPr>
          <w:rFonts w:eastAsia="Times New Roman" w:cs="Calibri" w:ascii="Calibri" w:hAnsi="Calibri"/>
          <w:bCs/>
          <w:sz w:val="24"/>
          <w:lang w:val="ca-ES" w:eastAsia="ar-SA" w:bidi="ar-SA"/>
        </w:rPr>
        <w:t xml:space="preserve">b) Justificar ante la Paeria el cumplimiento de los requisitos y condiciones y también la realización de la actividad y el cumplimiento de la finalidad que determine la concesión.</w:t>
      </w:r>
      <w:r>
        <w:rPr>
          <w:rFonts w:eastAsia="Times New Roman" w:cs="Calibri" w:ascii="Calibri" w:hAnsi="Calibri"/>
          <w:sz w:val="24"/>
          <w:lang w:val="ca-ES" w:eastAsia="ar-SA" w:bidi="ar-SA"/>
        </w:rPr>
        <w:t>La ayuda concedida deberá aplicarse de acuerdo con la finalidad prevista, no autorizando cambios de destino.</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c) Someterse a las actuaciones de comprobación que se establezca por parte de la Paeria, así como cualquier otra comprobación y control financiero que puedan llevar a cabo los órganos de control competentes, y aportar toda la documentación que sea requerida en el ejercicio de las actuaciones anteriores.</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d) Acreditar, en el momento de la firma del convenio y en el de su justificación, que el beneficiario de la subvención está al corriente del cumplimiento de las obligaciones tributarias y frente a la Seguridad Social y que no tiene deudas con la Paeria de Cervera, mediante la presentación de certificado, o bien autorizar expresamente a la Paeria para obtener la acreditación (anexo 3).</w:t>
      </w:r>
    </w:p>
    <w:p>
      <w:pPr>
        <w:pStyle w:val="Normal"/>
        <w:widowControl/>
        <w:spacing w:before="0" w:after="120"/>
        <w:ind w:start="720" w:end="720" w:hanging="0"/>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e) Acreditar que la entidad no se encuentra incluida en ninguno de los supuestos establecidos en el artículo 13 de la ley 38/2003, de 17 de noviembre, General de subvenciones por tener la condición de beneficiario de subvención (anexo 3).</w:t>
      </w:r>
    </w:p>
    <w:p>
      <w:pPr>
        <w:pStyle w:val="Normal"/>
        <w:widowControl/>
        <w:spacing w:before="0" w:after="120"/>
        <w:ind w:start="720" w:end="720" w:hanging="0"/>
        <w:rPr>
          <w:rFonts w:ascii="Calibri" w:hAnsi="Calibri" w:eastAsia="Times New Roman" w:cs="Calibri"/>
          <w:sz w:val="24"/>
          <w:lang w:val="ca-ES" w:eastAsia="ar-SA" w:bidi="ar-SA"/>
        </w:rPr>
      </w:pPr>
      <w:r>
        <w:rPr>
          <w:rFonts w:eastAsia="Times New Roman" w:cs="Calibri" w:ascii="Calibri" w:hAnsi="Calibri"/>
          <w:sz w:val="24"/>
          <w:lang w:val="ca-ES" w:eastAsia="ar-SA" w:bidi="ar-SA"/>
        </w:rPr>
        <w:t>f) Hacer constar en la documentación y propaganda de las actividades que sean subvencionadas por la Paeria de Cervera, obligatoriamente, el escudo del Ayuntamiento con el título “Paeria de Cervera.”</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 xml:space="preserve">g) Comunicar a la Paeria la obtención de otras subvenciones, ayudas, ingresos o recursos que financien las actividades subvencionadas.</w:t>
      </w:r>
    </w:p>
    <w:p>
      <w:pPr>
        <w:pStyle w:val="Normal"/>
        <w:widowControl/>
        <w:spacing w:before="0" w:after="120"/>
        <w:ind w:start="720" w:end="720" w:hanging="0"/>
        <w:rPr>
          <w:rFonts w:ascii="Calibri" w:hAnsi="Calibri" w:eastAsia="Times New Roman" w:cs="Calibri"/>
          <w:sz w:val="24"/>
          <w:lang w:val="ca-ES" w:eastAsia="ar-SA" w:bidi="ar-SA"/>
        </w:rPr>
      </w:pPr>
      <w:r>
        <w:rPr>
          <w:rFonts w:cs="Calibri" w:ascii="Calibri" w:hAnsi="Calibri"/>
          <w:sz w:val="24"/>
          <w:lang w:val="ca-ES"/>
        </w:rPr>
        <w:t>Esta comunicación debe efectuarse tan pronto como se conozca y, en todo caso, antes de la justificación de la aplicación dada a los fondos percibidos</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h) Disponer de los libros contables, los registros diligenciados y otros documentos debidamente auditados en los términos que exige la legislación mercantil y sectorial aplicable al beneficiario en cada caso, así como todos los estados contables y los registros específicos que sean exigidos por las bases reguladoras de las subvenciones, con la finalidad de garantizar el adecuado ejercicio de las facultades de comprobación y control.</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i) Conservar los documentos justificativos de la aplicación de los fondos recibidos, incluidos los documentos electrónicos,mientras puedan ser objeto de las actuaciones de comprobación y control.j) Adoptar las medidas de difusión contenidas en el apartado 4 del artículo 18 d esta ley.</w:t>
        <w:br/>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 xml:space="preserve">k) Proceder al reintegro de los fondos percibidos en los casos previstos en el artículo 37 LGS.</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SÉPTIMA</w:t>
      </w:r>
      <w:r>
        <w:rPr>
          <w:rFonts w:eastAsia="Times New Roman" w:cs="Calibri" w:ascii="Calibri" w:hAnsi="Calibri"/>
          <w:sz w:val="24"/>
          <w:lang w:val="ca-ES" w:eastAsia="ar-SA" w:bidi="ar-SA"/>
        </w:rPr>
        <w:t xml:space="preserve">.- Obligaciones de la Paeria de Cervera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numPr>
          <w:ilvl w:val="0"/>
          <w:numId w:val="3"/>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Es obligación de la Paeria abonar la cantidad de 4.000 € al beneficiario, una vez presentada y aprobada la documentación justificativa.</w:t>
      </w:r>
    </w:p>
    <w:p>
      <w:pPr>
        <w:pStyle w:val="Normal"/>
        <w:numPr>
          <w:ilvl w:val="0"/>
          <w:numId w:val="3"/>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caso de que no se justifique la totalidad del importe concedido, se pagará hasta el importe justificado.</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OCTAVA</w:t>
      </w:r>
      <w:r>
        <w:rPr>
          <w:rFonts w:eastAsia="Times New Roman" w:cs="Calibri" w:ascii="Calibri" w:hAnsi="Calibri"/>
          <w:sz w:val="24"/>
          <w:lang w:val="ca-ES" w:eastAsia="ar-SA" w:bidi="ar-SA"/>
        </w:rPr>
        <w:t xml:space="preserve">.- Justificación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Para percibir la subvención otorgada, es necesario haber realizado la actividad subvencionada y presentar a la Intervención de los Caudales Municipales de la Paeria la instancia de presentación de la documentación justificativa (MODEL INSTANCIA “JUSTIFICACIÓN”) acompañada de la siguiente documentación:</w:t>
      </w:r>
    </w:p>
    <w:p>
      <w:pPr>
        <w:pStyle w:val="Normal"/>
        <w:autoSpaceDE w:val="false"/>
        <w:spacing w:before="0" w:after="120"/>
        <w:ind w:start="993"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a)Memoria y cuenta justificativa de la actuación subvencionada, con el desglose de todos los gastos e ingresos que hayan generado (Anexo 4).</w:t>
      </w:r>
    </w:p>
    <w:p>
      <w:pPr>
        <w:pStyle w:val="Normal"/>
        <w:autoSpaceDE w:val="false"/>
        <w:spacing w:before="0" w:after="120"/>
        <w:ind w:start="992"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b) Relación de los gastos de la actuación por importe del gasto subvencionado ( Anexo 5) Esta relación debe tener identificación del acreedor y del documento, el importe, la fecha de emisión.</w:t>
      </w:r>
    </w:p>
    <w:p>
      <w:pPr>
        <w:pStyle w:val="Normal"/>
        <w:autoSpaceDE w:val="false"/>
        <w:spacing w:before="0" w:after="120"/>
        <w:ind w:start="992"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c) Facturas originales o documentos equivalentes por importe del doble de la subvención concedida debidamente cumplimentadas o fotocopiadas compulsadas de los mismos de los gastos realizados en el ejercicio de la actividad.</w:t>
      </w:r>
    </w:p>
    <w:p>
      <w:pPr>
        <w:pStyle w:val="Normal"/>
        <w:autoSpaceDE w:val="false"/>
        <w:spacing w:before="0" w:after="120"/>
        <w:ind w:start="993"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Las facturas deben reunir los requisitos expresados ​​en el RD 1619/2012, de 30 de noviembre, por el que se aprueba el Reglamento que regula las obligaciones de facturación.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Los justificantes del gasto realizado se tendrán que aportar como máximo el 12 de diciembre de 2023.</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NOVENA</w:t>
      </w:r>
      <w:r>
        <w:rPr>
          <w:rFonts w:eastAsia="Times New Roman" w:cs="Calibri" w:ascii="Calibri" w:hAnsi="Calibri"/>
          <w:sz w:val="24"/>
          <w:lang w:val="ca-ES" w:eastAsia="ar-SA" w:bidi="ar-SA"/>
        </w:rPr>
        <w:t xml:space="preserve">.- Aprobación de la justificación y pago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 aprobación corresponderá a la concejal/a de ciudadanía, acción social y salud, que podrá reducir la subvención en el porcentaje correspondiente a los gastos efectivamente producidos. Presentada la documentación justificativa de la cláusula octava y aprobada, se procederá a la expedición de la orden de pago correspondiente.</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DÉCIMA. Seguimiento y control</w:t>
      </w:r>
    </w:p>
    <w:p>
      <w:pPr>
        <w:pStyle w:val="Normal"/>
        <w:autoSpaceDE w:val="false"/>
        <w:spacing w:before="0" w:after="12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 xml:space="preserve">El seguimiento y control del convenio se realizará por parte de la Concejalía de</w:t>
      </w:r>
      <w:r>
        <w:rPr>
          <w:rFonts w:eastAsia="Times New Roman" w:cs="Calibri" w:ascii="Calibri" w:hAnsi="Calibri"/>
          <w:sz w:val="24"/>
          <w:lang w:val="ca-ES" w:eastAsia="ar-SA" w:bidi="ar-SA"/>
        </w:rPr>
        <w:t>ciudadanía, acción social y salud.</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UNDÉCIMA.-</w:t>
      </w:r>
      <w:r>
        <w:rPr>
          <w:rFonts w:eastAsia="Times New Roman" w:cs="Calibri" w:ascii="Calibri" w:hAnsi="Calibri"/>
          <w:sz w:val="24"/>
          <w:lang w:val="ca-ES" w:eastAsia="ar-SA" w:bidi="ar-SA"/>
        </w:rPr>
        <w:t xml:space="preserve">Vigencia y causas de resolución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Dado que el objeto del convenio es regular la subvención nominativa, éste tiene vigencia del 1 de enero hasta el 31 de diciembre de 2023 y no se establece la posibilidad de prórroga.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Será causa de resolución del presente convenio el transcurso del plazo de vigencia del convenio, el mutuo acuerdo entre las partes, así como la denuncia de incumplimiento de cualquiera de las cláusulas mediante preaviso comunicado de forma fehaciente en el plazo de un mes desde que aquél hubiera sido detectado.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bCs/>
          <w:sz w:val="24"/>
          <w:lang w:val="ca-ES" w:eastAsia="ar-SA" w:bidi="ar-SA"/>
        </w:rPr>
        <w:t>DUODÉCIMA</w:t>
      </w:r>
      <w:r>
        <w:rPr>
          <w:rFonts w:eastAsia="Times New Roman" w:cs="Calibri" w:ascii="Calibri" w:hAnsi="Calibri"/>
          <w:sz w:val="24"/>
          <w:lang w:val="ca-ES" w:eastAsia="ar-SA" w:bidi="ar-SA"/>
        </w:rPr>
        <w:t xml:space="preserve">.- Incumplimiento y reintegro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El incumplimiento por causas imputables al beneficiario de las obligaciones impuestas como consecuencia del convenio, así como el falseamiento, inexactitud u omisión de los datos suministrados que hayan servido para la concesión de las subvenciones, comportará la pérdida total o parcial de éstas, y si procede, el reintegro con el abono de los intereses de demora, según lo establecido en la legislación vigente.</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DECIMOTERCERA</w:t>
      </w:r>
      <w:r>
        <w:rPr>
          <w:rFonts w:eastAsia="Times New Roman" w:cs="Calibri" w:ascii="Calibri" w:hAnsi="Calibri"/>
          <w:sz w:val="24"/>
          <w:lang w:val="ca-ES" w:eastAsia="ar-SA" w:bidi="ar-SA"/>
        </w:rPr>
        <w:t xml:space="preserve">.- Aspectos no previstos y cuestiones litigiosas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todo lo que no esté previsto en este convenio, se aplicará la Ley 38/2003, de 17 de noviembre, general de subvenciones, el Real Decreto 887/2006, de 21 de julio, por el que se aprueba el reglamento de la Ley General de Subvenciones. Las cuestiones litigiosas que puedan suscitarse se someterán a los Tribunales del orden jurisdiccional contencioso administrativo.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Y para que así conste y surta los efectos oportunos, se formaliza el presente convenio por duplicado, en el lugar y fecha indicados en el encabezamiento.</w:t>
      </w:r>
    </w:p>
    <w:p>
      <w:pPr>
        <w:pStyle w:val="Normal"/>
        <w:widowControl/>
        <w:pBdr>
          <w:bottom w:val="double" w:sz="6" w:space="1" w:color="000000"/>
        </w:pBdr>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TextBody"/>
        <w:rPr>
          <w:rFonts w:ascii="Calibri" w:hAnsi="Calibri" w:cs="Calibri"/>
          <w:sz w:val="24"/>
          <w:lang w:val="ca-ES"/>
        </w:rPr>
      </w:pPr>
      <w:r>
        <w:rPr>
          <w:rFonts w:cs="Calibri" w:ascii="Calibri" w:hAnsi="Calibri"/>
          <w:sz w:val="24"/>
          <w:lang w:val="ca-ES"/>
        </w:rPr>
        <w:t>ANEXO 1.- Certificado de vigencia de cargos de la entidad y que la suscripción del convenio ha sido acordada por el órgano competente.</w:t>
      </w:r>
    </w:p>
    <w:p>
      <w:pPr>
        <w:pStyle w:val="TextBody"/>
        <w:rPr>
          <w:rFonts w:ascii="Calibri" w:hAnsi="Calibri" w:cs="Calibri"/>
          <w:sz w:val="24"/>
          <w:lang w:val="ca-ES"/>
        </w:rPr>
      </w:pPr>
      <w:r>
        <w:rPr>
          <w:rFonts w:cs="Calibri" w:ascii="Calibri" w:hAnsi="Calibri"/>
          <w:sz w:val="24"/>
          <w:lang w:val="ca-ES"/>
        </w:rPr>
        <w:t>ANEXO 2.- Características de la actividad que es objeto de subvención ( ficha descriptiva)</w:t>
      </w:r>
    </w:p>
    <w:p>
      <w:pPr>
        <w:pStyle w:val="TextBody"/>
        <w:rPr>
          <w:rFonts w:ascii="Calibri" w:hAnsi="Calibri" w:cs="Calibri"/>
          <w:sz w:val="24"/>
          <w:lang w:val="ca-ES"/>
        </w:rPr>
      </w:pPr>
      <w:r>
        <w:rPr>
          <w:rFonts w:cs="Calibri" w:ascii="Calibri" w:hAnsi="Calibri"/>
          <w:sz w:val="24"/>
          <w:lang w:val="ca-ES"/>
        </w:rPr>
        <w:t>ANEXO 3.- Certificación de estar al corriente de las obligaciones tributarias con la Hacienda estatal, autonómica y local, con la Seguridad Social, y de cumplir los requisitos para obtener la condición de beneficiario art.13 LGS.</w:t>
      </w:r>
    </w:p>
    <w:p>
      <w:pPr>
        <w:pStyle w:val="TextBody"/>
        <w:rPr/>
      </w:pPr>
      <w:r>
        <w:rPr>
          <w:rFonts w:cs="Calibri" w:ascii="Calibri" w:hAnsi="Calibri"/>
          <w:sz w:val="24"/>
          <w:lang w:val="ca-ES"/>
        </w:rPr>
        <w:t>ANEXO 4.- Memoria y cuenta justificativa</w:t>
      </w:r>
    </w:p>
    <w:p>
      <w:pPr>
        <w:pStyle w:val="TextBody"/>
        <w:rPr/>
      </w:pPr>
      <w:r>
        <w:rPr>
          <w:rFonts w:cs="Calibri" w:ascii="Calibri" w:hAnsi="Calibri"/>
          <w:sz w:val="24"/>
          <w:lang w:val="ca-ES"/>
        </w:rPr>
        <w:t>ANEXO 5.- Relación de gastos</w:t>
      </w:r>
    </w:p>
    <w:p>
      <w:pPr>
        <w:pStyle w:val="TextBody"/>
        <w:spacing w:before="0" w:after="120"/>
        <w:rPr>
          <w:rFonts w:ascii="Calibri" w:hAnsi="Calibri" w:cs="Calibri"/>
          <w:sz w:val="24"/>
          <w:lang w:val="ca-ES"/>
        </w:rPr>
      </w:pPr>
      <w:r>
        <w:rPr>
          <w:rFonts w:cs="Calibri" w:ascii="Calibri" w:hAnsi="Calibri"/>
          <w:sz w:val="24"/>
          <w:lang w:val="ca-ES"/>
        </w:rPr>
      </w:r>
    </w:p>
    <w:sectPr>
      <w:headerReference w:type="default" r:id="rId2"/>
      <w:footerReference w:type="default" r:id="rId3"/>
      <w:type w:val="nextPage"/>
      <w:pgSz w:w="11906" w:h="16838"/>
      <w:pgMar w:left="1134" w:right="1133" w:header="720" w:top="1814" w:footer="232"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Unicode MS">
    <w:altName w:val="Arial"/>
    <w:charset w:val="01"/>
    <w:family w:val="auto"/>
    <w:pitch w:val="variable"/>
  </w:font>
  <w:font w:name="Liberation Sans">
    <w:altName w:val="Arial"/>
    <w:charset w:val="00" w:characterSet="windows-1252"/>
    <w:family w:val="swiss"/>
    <w:pitch w:val="variable"/>
  </w:font>
  <w:font w:name="Calibri">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drawing>
        <wp:inline distT="0" distB="0" distL="0" distR="0">
          <wp:extent cx="5394960" cy="269240"/>
          <wp:effectExtent l="0" t="0" r="0" b="0"/>
          <wp:docPr id="2"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title=""/>
                  <pic:cNvPicPr>
                    <a:picLocks noChangeAspect="1" noChangeArrowheads="1"/>
                  </pic:cNvPicPr>
                </pic:nvPicPr>
                <pic:blipFill>
                  <a:blip r:embed="rId1"/>
                  <a:srcRect l="-9" t="-189" r="-9" b="-189"/>
                  <a:stretch>
                    <a:fillRect/>
                  </a:stretch>
                </pic:blipFill>
                <pic:spPr bwMode="auto">
                  <a:xfrm>
                    <a:off x="0" y="0"/>
                    <a:ext cx="5394960" cy="26924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drawing>
        <wp:inline distT="0" distB="0" distL="0" distR="0">
          <wp:extent cx="697865" cy="697865"/>
          <wp:effectExtent l="0" t="0" r="0" b="0"/>
          <wp:docPr id="1"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title=""/>
                  <pic:cNvPicPr>
                    <a:picLocks noChangeAspect="1" noChangeArrowheads="1"/>
                  </pic:cNvPicPr>
                </pic:nvPicPr>
                <pic:blipFill>
                  <a:blip r:embed="rId1"/>
                  <a:srcRect l="-155" t="-155" r="-155" b="-155"/>
                  <a:stretch>
                    <a:fillRect/>
                  </a:stretch>
                </pic:blipFill>
                <pic:spPr bwMode="auto">
                  <a:xfrm>
                    <a:off x="0" y="0"/>
                    <a:ext cx="697865" cy="69786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upperRoman"/>
      <w:lvlText w:val="%1."/>
      <w:lvlJc w:val="start"/>
      <w:pPr>
        <w:tabs>
          <w:tab w:val="num" w:pos="0"/>
        </w:tabs>
        <w:ind w:start="1080" w:hanging="720"/>
      </w:pPr>
      <w:rPr>
        <w:rFonts w:cs="Calibri"/>
        <w:lang w:val="ca-ES"/>
      </w:rPr>
    </w:lvl>
  </w:abstractNum>
  <w:abstractNum w:abstractNumId="3">
    <w:lvl w:ilvl="0">
      <w:start w:val="1"/>
      <w:numFmt w:val="lowerLetter"/>
      <w:lvlText w:val="%1)"/>
      <w:lvlJc w:val="start"/>
      <w:pPr>
        <w:tabs>
          <w:tab w:val="num" w:pos="0"/>
        </w:tabs>
        <w:ind w:start="720" w:hanging="360"/>
      </w:pPr>
      <w:rPr>
        <w:rFonts w:cs="Calibri"/>
        <w:lang w:val="ca-ES"/>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val="false"/>
      <w:suppressAutoHyphens w:val="true"/>
      <w:bidi w:val="0"/>
    </w:pPr>
    <w:rPr>
      <w:rFonts w:ascii="Arial" w:hAnsi="Arial" w:eastAsia="DejaVu Sans" w:cs="DejaVu Sans"/>
      <w:color w:val="auto"/>
      <w:sz w:val="22"/>
      <w:szCs w:val="24"/>
      <w:lang w:val="es-ES" w:eastAsia="zh-CN" w:bidi="hi-IN"/>
    </w:rPr>
  </w:style>
  <w:style w:type="paragraph" w:styleId="Heading1">
    <w:name w:val="Heading 1"/>
    <w:basedOn w:val="Heading"/>
    <w:next w:val="TextBody"/>
    <w:qFormat/>
    <w:pPr>
      <w:numPr>
        <w:ilvl w:val="0"/>
        <w:numId w:val="1"/>
      </w:numPr>
      <w:shd w:fill="EEEEEE" w:val="clear"/>
      <w:outlineLvl w:val="0"/>
    </w:pPr>
    <w:rPr>
      <w:rFonts w:ascii="Liberation Sans Unicode MS;Arial" w:hAnsi="Liberation Sans Unicode MS;Arial" w:cs="Liberation Sans Unicode MS;Arial"/>
      <w:b/>
      <w:bCs/>
      <w:sz w:val="28"/>
      <w:szCs w:val="44"/>
    </w:rPr>
  </w:style>
  <w:style w:type="character" w:styleId="WW8Num1z0">
    <w:name w:val="WW8Num1z0"/>
    <w:qFormat/>
    <w:rPr>
      <w:rFonts w:cs="Calibri"/>
      <w:lang w:val="ca-ES"/>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Calibri"/>
      <w:lang w:val="ca-ES"/>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Lletraperdefectedelpargraf">
    <w:name w:val="Lletra per defecte del paràgraf"/>
    <w:qFormat/>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eading">
    <w:name w:val="Heading"/>
    <w:basedOn w:val="Normal"/>
    <w:next w:val="TextBody"/>
    <w:qFormat/>
    <w:pPr>
      <w:keepNext w:val="true"/>
      <w:spacing w:before="240" w:after="283"/>
    </w:pPr>
    <w:rPr>
      <w:rFonts w:ascii="Liberation Sans" w:hAnsi="Liberation Sans" w:cs="Liberation Sans"/>
      <w:sz w:val="28"/>
      <w:szCs w:val="28"/>
    </w:rPr>
  </w:style>
  <w:style w:type="paragraph" w:styleId="TextBody">
    <w:name w:val="Body Text"/>
    <w:basedOn w:val="Normal"/>
    <w:pPr>
      <w:spacing w:before="0" w:after="12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Sender">
    <w:name w:val="Envelope Return"/>
    <w:basedOn w:val="Normal"/>
    <w:pPr/>
    <w:rPr>
      <w:i/>
    </w:rPr>
  </w:style>
  <w:style w:type="paragraph" w:styleId="TableContents">
    <w:name w:val="Table Contents"/>
    <w:basedOn w:val="TextBody"/>
    <w:qFormat/>
    <w:pPr>
      <w:spacing w:before="0" w:after="0"/>
    </w:pPr>
    <w:rPr/>
  </w:style>
  <w:style w:type="paragraph" w:styleId="HeaderandFooter">
    <w:name w:val="Header and Footer"/>
    <w:basedOn w:val="Normal"/>
    <w:qFormat/>
    <w:pPr>
      <w:suppressLineNumbers/>
      <w:tabs>
        <w:tab w:val="clear" w:pos="1134"/>
        <w:tab w:val="center" w:pos="5386" w:leader="none"/>
        <w:tab w:val="right" w:pos="10772" w:leader="none"/>
      </w:tabs>
    </w:pPr>
    <w:rPr/>
  </w:style>
  <w:style w:type="paragraph" w:styleId="Header">
    <w:name w:val="Header"/>
    <w:basedOn w:val="HeaderandFooter"/>
    <w:pPr>
      <w:suppressLineNumbers/>
    </w:pPr>
    <w:rPr/>
  </w:style>
  <w:style w:type="paragraph" w:styleId="Footer">
    <w:name w:val="Footer"/>
    <w:basedOn w:val="HeaderandFooter"/>
    <w:pPr>
      <w:suppressLineNumbers/>
    </w:pPr>
    <w:rPr/>
  </w:style>
  <w:style w:type="paragraph" w:styleId="Pargrafdellista">
    <w:name w:val="Paràgraf de llista"/>
    <w:basedOn w:val="Normal"/>
    <w:qFormat/>
    <w:pPr>
      <w:ind w:start="708" w:hanging="0"/>
    </w:pPr>
    <w:rPr>
      <w:rFonts w:cs="Mangal"/>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 Id="r_odt_hyperlink" Type="http://schemas.openxmlformats.org/officeDocument/2006/relationships/hyperlink" Target="https://www.onlinedoctranslator.com/es/?utm_source=onlinedoctranslator&amp;utm_medium=doc&amp;utm_campaign=attribution" TargetMode="External"/><Relationship Id="r_odt_logo" Type="http://schemas.openxmlformats.org/officeDocument/2006/relationships/image" Target="media/odt_attribution_logo.png"/></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Template>
  <TotalTime>3</TotalTime>
  <Application>LibreOffice/7.0.6.2$Linux_X86_64 LibreOffice_project/00$Build-2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2022-08-04T05:16:00Z</dcterms:created>
  <dc:creator>Antoni Esqué Rubiol</dc:creator>
  <dc:description/>
  <cp:keywords> </cp:keywords>
  <dc:language>en-US</dc:language>
  <cp:lastModifiedBy>Paeria Cervera3</cp:lastModifiedBy>
  <cp:lastPrinted>2022-08-04T07:16:00Z</cp:lastPrinted>
  <dcterms:modified xsi:type="dcterms:W3CDTF">2023-06-16T09:10:00Z</dcterms:modified>
  <cp:revision>4</cp:revision>
  <dc:subject/>
  <dc:title/>
</cp:coreProperties>
</file>