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footer1.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 xml:space="preserve">CONVENIO REGULADOR DE LA SUBVENCIÓN NOMINATIVA A CÁRITAS INTERPARROQUIAL DE CERVERA POR LA GESTIÓN DE LA DISTRIBUCIÓN Y ADQUISICIÓN DE ALIMENTOS SOLIDARIOS PARA PERSONAS CON SITUACIÓN DE RIESGO.</w:t>
        <w:br/>
      </w:r>
    </w:p>
    <w:p>
      <w:pPr>
        <w:pStyle w:val="Normal"/>
        <w:autoSpaceDE w:val="false"/>
        <w:spacing w:before="0" w:after="120"/>
        <w:ind w:start="708" w:hanging="708"/>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Cervera,</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REUNIDOS</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De una parte, Jan Pomés y López, Paer/a jefe del Ayuntamiento de Cervera actuando en nombre y representación del mismo, asistido por Antonio Esqué y Rubiol, Secretario,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Por otra, Montse López y Canela, mayor de edad, actuando en nombre y representación como representante de Cáritas Interparroquial de Cervera, en lo sucesivo beneficiario, con domicilio en Plaza de los Mártires, 7 de Cervera.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Ambas partes se reconocen suficiente capacidad para actuar, una vez verificada la vigencia de los cargos y la habilitación para la suscripción de este convenio (Anexo 1), y en su virtud,</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MANIFIESTAN</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el artículo 22.2.a) de la Ley General de Subvenciones 38/2003, de 17 de noviembre, prevé como supuesto de concesión directa de subvenciones previstas nominativamente en los presupuestos municipales, de conformidad con lo establecido en los convenios y en la normativa reguladora de las mismas.</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el Presupuesto Municipal del Ayuntamiento de Cervera para el ejercicio 2023 contiene la previsión del otorgamiento de una subvención a favor de Cáritas Interparroquial de Cervera por importe de (8.000 euros).</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entre los objetivos para el año 2023 de este Ayuntamiento se encuentra el f</w:t>
      </w:r>
      <w:r>
        <w:rPr>
          <w:rFonts w:cs="Calibri" w:ascii="Calibri" w:hAnsi="Calibri"/>
          <w:sz w:val="24"/>
          <w:lang w:val="ca-ES"/>
        </w:rPr>
        <w:t xml:space="preserve">omento de actividades sociales, promoción de las entidades y asociaciones de la ciudad.</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de conformidad con lo establecido, en el artículo 46 de las Bases de Ejecución del Presupuesto del Ayuntamiento de Cervera, y el artículo 22.2.a) y 28 de la Ley General de Subvenciones y normas concordantes, las partes suscriben el presente convenio de colaboración que regula los compromisos de ambas en lo que respecta a esta subvención.</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Que Cáritas Interparroquial de Cervera es una entidad sin ánimo de lucro acreditan tener estatutos y que su objeto social de coordinar, orientar, promover y potenciar la acción caritativa y social, que concuerda con los objetivos fijados en el Plan estratégico de subvenciones.</w:t>
      </w:r>
    </w:p>
    <w:p>
      <w:pPr>
        <w:pStyle w:val="Pargrafdellista"/>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CL Á USULAS</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bCs/>
          <w:sz w:val="24"/>
          <w:lang w:val="ca-ES" w:eastAsia="ar-SA" w:bidi="ar-SA"/>
        </w:rPr>
        <w:t>PRIMERA</w:t>
      </w:r>
      <w:r>
        <w:rPr>
          <w:rFonts w:eastAsia="Times New Roman" w:cs="Calibri" w:ascii="Calibri" w:hAnsi="Calibri"/>
          <w:sz w:val="24"/>
          <w:lang w:val="ca-ES" w:eastAsia="ar-SA" w:bidi="ar-SA"/>
        </w:rPr>
        <w:t xml:space="preserve">.- Objeto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El objeto del presente convenio es regular la concesión de la subvención nominativa a Cáritas Interparroquial de Cervera para por la gestión de la distribución y adquisición de alimentos solidarios para personas con situación de riesgo.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Los fondos recibidos por el beneficiario no podrán ser aplicados a finalidad distinta a la de sufragar los gastos que comporte la realización del objeto de esta subvención.</w:t>
      </w:r>
    </w:p>
    <w:p>
      <w:pPr>
        <w:pStyle w:val="Normal"/>
        <w:widowControl/>
        <w:shd w:fill="FFFFFF" w:val="clear"/>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características de la actividad que se subvenciona se detallan en el ANEXO 2.</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bookmarkStart w:id="0" w:name="_Hlk109799782"/>
      <w:bookmarkEnd w:id="0"/>
      <w:r>
        <w:rPr>
          <w:rFonts w:eastAsia="Times New Roman" w:cs="Calibri" w:ascii="Calibri" w:hAnsi="Calibri"/>
          <w:b/>
          <w:bCs/>
          <w:sz w:val="24"/>
          <w:lang w:val="ca-ES" w:eastAsia="ar-SA" w:bidi="ar-SA"/>
        </w:rPr>
        <w:t>SEGUNDA.-</w:t>
      </w:r>
      <w:r>
        <w:rPr>
          <w:rFonts w:eastAsia="Times New Roman" w:cs="Calibri" w:ascii="Calibri" w:hAnsi="Calibri"/>
          <w:sz w:val="24"/>
          <w:lang w:val="ca-ES" w:eastAsia="ar-SA" w:bidi="ar-SA"/>
        </w:rPr>
        <w:t xml:space="preserve">Importe y financiación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El importe de la subvención asciende a 8.000 euros, que se aportarán íntegramente por el Ayuntamiento, con cargo a la aplicación presupuestaria 231.48954 del ejercicio 2023. Este importe corresponde al 100% del coste de la actuación.</w:t>
      </w:r>
    </w:p>
    <w:p>
      <w:pPr>
        <w:pStyle w:val="Normal"/>
        <w:jc w:val="both"/>
        <w:rPr>
          <w:rFonts w:ascii="Calibri" w:hAnsi="Calibri" w:cs="Calibri"/>
          <w:sz w:val="24"/>
          <w:lang w:val="ca-ES"/>
        </w:rPr>
      </w:pPr>
      <w:bookmarkStart w:id="1" w:name="_Hlk109799782"/>
      <w:bookmarkEnd w:id="1"/>
      <w:r>
        <w:rPr>
          <w:rFonts w:cs="Calibri" w:ascii="Calibri" w:hAnsi="Calibri"/>
          <w:sz w:val="24"/>
          <w:lang w:val="ca-ES"/>
        </w:rPr>
        <w:t>El ayuntamiento no dispone de los mecanismos para poder gestionar todos los proyectos que pretende impulsar en la ciudad y debe recurrir a las entidades.</w:t>
      </w:r>
    </w:p>
    <w:p>
      <w:pPr>
        <w:pStyle w:val="Normal"/>
        <w:jc w:val="both"/>
        <w:rPr>
          <w:rFonts w:ascii="Calibri" w:hAnsi="Calibri" w:cs="Calibri"/>
          <w:sz w:val="24"/>
          <w:lang w:val="ca-ES"/>
        </w:rPr>
      </w:pPr>
      <w:r>
        <w:rPr>
          <w:rFonts w:cs="Calibri" w:ascii="Calibri" w:hAnsi="Calibri"/>
          <w:sz w:val="24"/>
          <w:lang w:val="ca-ES"/>
        </w:rPr>
      </w:r>
    </w:p>
    <w:p>
      <w:pPr>
        <w:pStyle w:val="Normal"/>
        <w:jc w:val="both"/>
        <w:rPr/>
      </w:pPr>
      <w:r>
        <w:rPr>
          <w:rFonts w:cs="Calibri" w:ascii="Calibri" w:hAnsi="Calibri"/>
          <w:sz w:val="24"/>
          <w:lang w:val="ca-ES"/>
        </w:rPr>
        <w:t xml:space="preserve">En este sentido, la entidad Cáritas Interparroquial de Cervera manifiesta que puede gestionar el proyecto "Banco de alimentos" con la aportación del 100% del gasto por parte del ayuntamiento, ya que no dispone de otras ayudas para financiar el proyecto. Que los donativos y subvenciones que reciben por alimentos son finalistas y que sólo pueden destinarse a compras de los mismos u otras campañas para este proyecto que también se beneficia a través de alimentos.</w:t>
      </w:r>
    </w:p>
    <w:p>
      <w:pPr>
        <w:pStyle w:val="Normal"/>
        <w:jc w:val="both"/>
        <w:rPr>
          <w:rFonts w:ascii="Calibri" w:hAnsi="Calibri" w:cs="Calibri"/>
          <w:sz w:val="24"/>
          <w:lang w:val="ca-ES"/>
        </w:rPr>
      </w:pPr>
      <w:r>
        <w:rPr>
          <w:rFonts w:cs="Calibri" w:ascii="Calibri" w:hAnsi="Calibri"/>
          <w:sz w:val="24"/>
          <w:lang w:val="ca-ES"/>
        </w:rPr>
      </w:r>
    </w:p>
    <w:p>
      <w:pPr>
        <w:pStyle w:val="Normal"/>
        <w:jc w:val="both"/>
        <w:rPr/>
      </w:pPr>
      <w:r>
        <w:rPr>
          <w:rFonts w:cs="Calibri" w:ascii="Calibri" w:hAnsi="Calibri"/>
          <w:sz w:val="24"/>
          <w:lang w:val="ca-ES"/>
        </w:rPr>
        <w:t>Cabe decir, pues, que la entidad dispone de recursos muy limitados y manifiesta las dificultades para justificar el doble del dinero que les concede el ayuntamiento, ya que a menudo dispone de pocos recursos económicos o partidas de dinero finalista con los que no pueden justificar el doble tal y como establece la Ley de subvenciones.</w:t>
      </w:r>
    </w:p>
    <w:p>
      <w:pPr>
        <w:pStyle w:val="Normal"/>
        <w:widowControl/>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widowControl/>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TERCERA.-</w:t>
      </w:r>
      <w:r>
        <w:rPr>
          <w:rFonts w:eastAsia="Times New Roman" w:cs="Calibri" w:ascii="Calibri" w:hAnsi="Calibri"/>
          <w:sz w:val="24"/>
          <w:lang w:val="ca-ES" w:eastAsia="ar-SA" w:bidi="ar-SA"/>
        </w:rPr>
        <w:t xml:space="preserve">Contabilidad con otras subvenciones</w:t>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La presente subvención resulta compatible con otras que pudiera obtener el beneficiario para la realización del objeto de esta subvención. El importe total de las subvenciones recibidas no podrá ser nunca de una cuantía que en concurrencia con otras subvenciones o ayudas recibidas de otras administraciones o entes públicos o privados, supere el coste de la actividad desarrollada por el beneficiario.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CUARTA</w:t>
      </w:r>
      <w:r>
        <w:rPr>
          <w:rFonts w:eastAsia="Times New Roman" w:cs="Calibri" w:ascii="Calibri" w:hAnsi="Calibri"/>
          <w:sz w:val="24"/>
          <w:lang w:val="ca-ES" w:eastAsia="ar-SA" w:bidi="ar-SA"/>
        </w:rPr>
        <w:t xml:space="preserve">.- Gastos subvencionables</w:t>
      </w:r>
    </w:p>
    <w:p>
      <w:pPr>
        <w:pStyle w:val="Normal"/>
        <w:autoSpaceDE w:val="false"/>
        <w:spacing w:before="0" w:after="120"/>
        <w:jc w:val="both"/>
        <w:rPr>
          <w:rFonts w:ascii="Calibri" w:hAnsi="Calibri" w:cs="Calibri"/>
          <w:bCs/>
          <w:sz w:val="24"/>
          <w:lang w:val="ca-ES"/>
        </w:rPr>
      </w:pPr>
      <w:r>
        <w:rPr>
          <w:rFonts w:eastAsia="Times New Roman" w:cs="Calibri" w:ascii="Calibri" w:hAnsi="Calibri"/>
          <w:sz w:val="24"/>
          <w:lang w:val="ca-ES" w:eastAsia="ar-SA" w:bidi="ar-SA"/>
        </w:rPr>
        <w:t xml:space="preserve">Serán gastos subvencionables</w:t>
      </w:r>
      <w:r>
        <w:rPr>
          <w:rFonts w:cs="Calibri" w:ascii="Calibri" w:hAnsi="Calibri"/>
          <w:color w:val="000000"/>
          <w:sz w:val="24"/>
          <w:lang w:val="ca-ES"/>
        </w:rPr>
        <w:t>todas aquellas que se deriven de</w:t>
      </w:r>
      <w:r>
        <w:rPr>
          <w:rFonts w:cs="Calibri" w:ascii="Calibri" w:hAnsi="Calibri"/>
          <w:sz w:val="24"/>
          <w:lang w:val="ca-ES"/>
        </w:rPr>
        <w:t xml:space="preserve">la propia gestión de la distribución y adquisición de alimentos (sueldos y salarios de trabajadores/as, contratación de seguro del personal, transporte de alimentos, material de limpieza y de higiene personal para el almacén y voluntarios/as, y compra alimentos y productos básicos) y que esté directamente relacionadas con la distribución de alimentos.</w:t>
      </w:r>
    </w:p>
    <w:p>
      <w:pPr>
        <w:pStyle w:val="Normal"/>
        <w:autoSpaceDE w:val="false"/>
        <w:spacing w:before="0" w:after="120"/>
        <w:jc w:val="both"/>
        <w:rPr>
          <w:rFonts w:ascii="Arial Narrow" w:hAnsi="Arial Narrow" w:cs="Arial"/>
          <w:bCs/>
          <w:sz w:val="24"/>
          <w:szCs w:val="22"/>
          <w:lang w:val="ca-ES"/>
        </w:rPr>
      </w:pPr>
      <w:r>
        <w:rPr>
          <w:rFonts w:cs="Arial" w:ascii="Arial Narrow" w:hAnsi="Arial Narrow"/>
          <w:bCs/>
          <w:sz w:val="24"/>
          <w:szCs w:val="22"/>
          <w:lang w:val="ca-ES"/>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serán subvencionables en ningún caso los gastos que no entren en los conceptos mencionados en el párrafo anterior, al no estar vinculados al objeto de la subvención.</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QUINTA</w:t>
      </w:r>
      <w:r>
        <w:rPr>
          <w:rFonts w:eastAsia="Times New Roman" w:cs="Calibri" w:ascii="Calibri" w:hAnsi="Calibri"/>
          <w:sz w:val="24"/>
          <w:lang w:val="ca-ES" w:eastAsia="ar-SA" w:bidi="ar-SA"/>
        </w:rPr>
        <w:t xml:space="preserve">.- Garantías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 requiere la constitución de ninguna garantía por parte del beneficiario.</w:t>
      </w:r>
    </w:p>
    <w:p>
      <w:pPr>
        <w:pStyle w:val="Normal"/>
        <w:widowControl/>
        <w:spacing w:before="0" w:after="120"/>
        <w:ind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widowControl/>
        <w:spacing w:before="0" w:after="120"/>
        <w:ind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t>SEXTA.- Obligaciones del beneficiario</w:t>
      </w:r>
    </w:p>
    <w:p>
      <w:pPr>
        <w:pStyle w:val="Normal"/>
        <w:widowControl/>
        <w:spacing w:before="0" w:after="120"/>
        <w:ind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Son obligaciones del beneficiario:</w:t>
      </w:r>
    </w:p>
    <w:p>
      <w:pPr>
        <w:pStyle w:val="Normal"/>
        <w:widowControl/>
        <w:spacing w:before="0" w:after="120"/>
        <w:ind w:start="708"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a) Cumplir con el objetivo, ejecutar el proyecto, realizar la actividad que fomenta la concesión de la subvención nominativa en el plazo señalado por este convenio.</w:t>
      </w:r>
    </w:p>
    <w:p>
      <w:pPr>
        <w:pStyle w:val="Normal"/>
        <w:widowControl/>
        <w:tabs>
          <w:tab w:val="clear" w:pos="1134"/>
          <w:tab w:val="center" w:pos="4252" w:leader="none"/>
          <w:tab w:val="right" w:pos="8504" w:leader="none"/>
        </w:tabs>
        <w:spacing w:before="0" w:after="120"/>
        <w:ind w:start="720" w:end="720" w:hanging="0"/>
        <w:jc w:val="both"/>
        <w:rPr>
          <w:rFonts w:ascii="Calibri" w:hAnsi="Calibri" w:eastAsia="Times New Roman" w:cs="Calibri"/>
          <w:sz w:val="24"/>
          <w:lang w:val="ca-ES" w:eastAsia="ar-SA" w:bidi="ar-SA"/>
        </w:rPr>
      </w:pPr>
      <w:r>
        <w:rPr>
          <w:rFonts w:eastAsia="Times New Roman" w:cs="Calibri" w:ascii="Calibri" w:hAnsi="Calibri"/>
          <w:bCs/>
          <w:sz w:val="24"/>
          <w:lang w:val="ca-ES" w:eastAsia="ar-SA" w:bidi="ar-SA"/>
        </w:rPr>
        <w:t xml:space="preserve">b) Justificar ante la Paeria el cumplimiento de los requisitos y condiciones y también la realización de la actividad y el cumplimiento de la finalidad que determine la concesión.</w:t>
      </w:r>
      <w:r>
        <w:rPr>
          <w:rFonts w:eastAsia="Times New Roman" w:cs="Calibri" w:ascii="Calibri" w:hAnsi="Calibri"/>
          <w:sz w:val="24"/>
          <w:lang w:val="ca-ES" w:eastAsia="ar-SA" w:bidi="ar-SA"/>
        </w:rPr>
        <w:t>La ayuda concedida deberá aplicarse de acuerdo con la finalidad prevista, no autorizando cambios de destino.</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c) Someterse a las actuaciones de comprobación que se establezca por parte de la Paeria, así como cualquier otra comprobación y control financiero que puedan llevar a cabo los órganos de control competentes, y aportar toda la documentación que sea requerida en el ejercicio de las actuaciones anteriores.</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d) Acreditar, en el momento de la firma del convenio y en el de su justificación, que el beneficiario de la subvención está al corriente del cumplimiento de las obligaciones tributarias y frente a la Seguridad Social y que no tiene deudas con la Paeria de Cervera, mediante la presentación de certificado, o bien autorizar expresamente a la Paeria para obtener la acreditación (anexo 3).</w:t>
      </w:r>
    </w:p>
    <w:p>
      <w:pPr>
        <w:pStyle w:val="Normal"/>
        <w:widowControl/>
        <w:spacing w:before="0" w:after="120"/>
        <w:ind w:start="720" w:end="720" w:hanging="0"/>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e) Acreditar que la entidad no se encuentra incluida en ninguno de los supuestos establecidos en el artículo 13 de la ley 38/2003, de 17 de noviembre, General de subvenciones por tener la condición de beneficiario de subvención (anexo 3).</w:t>
      </w:r>
    </w:p>
    <w:p>
      <w:pPr>
        <w:pStyle w:val="Normal"/>
        <w:widowControl/>
        <w:spacing w:before="0" w:after="120"/>
        <w:ind w:start="720" w:end="720" w:hanging="0"/>
        <w:rPr>
          <w:rFonts w:ascii="Calibri" w:hAnsi="Calibri" w:eastAsia="Times New Roman" w:cs="Calibri"/>
          <w:sz w:val="24"/>
          <w:lang w:val="ca-ES" w:eastAsia="ar-SA" w:bidi="ar-SA"/>
        </w:rPr>
      </w:pPr>
      <w:r>
        <w:rPr>
          <w:rFonts w:eastAsia="Times New Roman" w:cs="Calibri" w:ascii="Calibri" w:hAnsi="Calibri"/>
          <w:sz w:val="24"/>
          <w:lang w:val="ca-ES" w:eastAsia="ar-SA" w:bidi="ar-SA"/>
        </w:rPr>
        <w:t>f) Hacer constar en la documentación y propaganda de las actividades que sean subvencionadas por la Paeria de Cervera, obligatoriamente, el escudo del Ayuntamiento con el título “Paeria de Cervera.”</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 xml:space="preserve">g) Comunicar a la Paeria la obtención de otras subvenciones, ayudas, ingresos o recursos que financien las actividades subvencionadas.</w:t>
      </w:r>
    </w:p>
    <w:p>
      <w:pPr>
        <w:pStyle w:val="Normal"/>
        <w:widowControl/>
        <w:spacing w:before="0" w:after="120"/>
        <w:ind w:start="720" w:end="720" w:hanging="0"/>
        <w:rPr>
          <w:rFonts w:ascii="Calibri" w:hAnsi="Calibri" w:eastAsia="Times New Roman" w:cs="Calibri"/>
          <w:sz w:val="24"/>
          <w:lang w:val="ca-ES" w:eastAsia="ar-SA" w:bidi="ar-SA"/>
        </w:rPr>
      </w:pPr>
      <w:r>
        <w:rPr>
          <w:rFonts w:cs="Calibri" w:ascii="Calibri" w:hAnsi="Calibri"/>
          <w:sz w:val="24"/>
          <w:lang w:val="ca-ES"/>
        </w:rPr>
        <w:t>Esta comunicación debe efectuarse tan pronto como se conozca y, en todo caso, antes de la justificación de la aplicación dada a los fondos percibidos</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h) Disponer de los libros contables, los registros diligenciados y otros documentos debidamente auditados en los términos que exige la legislación mercantil y sectorial aplicable al beneficiario en cada caso, así como todos los estados contables y los registros específicos que sean exigidos por las bases reguladoras de las subvenciones, con la finalidad de garantizar el adecuado ejercicio de las facultades de comprobación y control.</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i) Conservar los documentos justificativos de la aplicación de los fondos recibidos, incluidos los documentos electrónicos,mientras puedan ser objeto de las actuaciones de comprobación y control.j) Adoptar las medidas de difusión contenidas en el apartado 4 del artículo 18 d esta ley.</w:t>
        <w:br/>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 xml:space="preserve">k) Proceder al reintegro de los fondos percibidos en los casos previstos en el artículo 37 LGS.</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SÉPTIMA</w:t>
      </w:r>
      <w:r>
        <w:rPr>
          <w:rFonts w:eastAsia="Times New Roman" w:cs="Calibri" w:ascii="Calibri" w:hAnsi="Calibri"/>
          <w:sz w:val="24"/>
          <w:lang w:val="ca-ES" w:eastAsia="ar-SA" w:bidi="ar-SA"/>
        </w:rPr>
        <w:t xml:space="preserve">.- Obligaciones de la Paeria de Cervera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Es obligación de la Paeria abonar la cantidad de 8.000 € al beneficiario, una vez presentada y aprobada la documentación justificativa.</w:t>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caso de que no se justifique la totalidad del importe concedido, se pagará hasta el importe justificado.</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OCTAVA</w:t>
      </w:r>
      <w:r>
        <w:rPr>
          <w:rFonts w:eastAsia="Times New Roman" w:cs="Calibri" w:ascii="Calibri" w:hAnsi="Calibri"/>
          <w:sz w:val="24"/>
          <w:lang w:val="ca-ES" w:eastAsia="ar-SA" w:bidi="ar-SA"/>
        </w:rPr>
        <w:t xml:space="preserve">.- Justificación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Para percibir la subvención otorgada, es necesario haber realizado la actividad subvencionada y presentar a la Intervención de los Caudales Municipales de la Paeria la instancia de presentación de la documentación justificativa (MODEL INSTANCIA “JUSTIFICACIÓN”) acompañada de la siguiente documentación:</w:t>
      </w:r>
    </w:p>
    <w:p>
      <w:pPr>
        <w:pStyle w:val="Normal"/>
        <w:autoSpaceDE w:val="false"/>
        <w:spacing w:before="0" w:after="120"/>
        <w:ind w:start="993"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a)Memoria y cuenta justificativa de la actuación subvencionada, con el desglose de todos los gastos e ingresos que hayan generado (Anexo 4).</w:t>
      </w:r>
    </w:p>
    <w:p>
      <w:pPr>
        <w:pStyle w:val="Normal"/>
        <w:autoSpaceDE w:val="false"/>
        <w:spacing w:before="0" w:after="120"/>
        <w:ind w:start="992"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b) Relación de los gastos de la actuación por importe del gasto subvencionado ( Anexo 5) Esta relación debe tener identificación del acreedor y del documento, el importe, la fecha de emisión.</w:t>
      </w:r>
    </w:p>
    <w:p>
      <w:pPr>
        <w:pStyle w:val="Normal"/>
        <w:autoSpaceDE w:val="false"/>
        <w:spacing w:before="0" w:after="120"/>
        <w:ind w:start="992"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c) Facturas originales o documentos equivalentes por importe del doble de la subvención concedida debidamente cumplimentadas o fotocopiadas compulsadas de los mismos de los gastos realizados en el ejercicio de la actividad.</w:t>
      </w:r>
    </w:p>
    <w:p>
      <w:pPr>
        <w:pStyle w:val="Normal"/>
        <w:autoSpaceDE w:val="false"/>
        <w:spacing w:before="0" w:after="120"/>
        <w:ind w:start="993"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facturas deben reunir los requisitos expresados ​​en el RD 1619/2012, de 30 de noviembre, por el que se aprueba el Reglamento que regula las obligaciones de facturación.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Los justificantes del gasto realizado se tendrán que aportar como máximo el 12 de diciembre de 2023.</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NOVENA</w:t>
      </w:r>
      <w:r>
        <w:rPr>
          <w:rFonts w:eastAsia="Times New Roman" w:cs="Calibri" w:ascii="Calibri" w:hAnsi="Calibri"/>
          <w:sz w:val="24"/>
          <w:lang w:val="ca-ES" w:eastAsia="ar-SA" w:bidi="ar-SA"/>
        </w:rPr>
        <w:t xml:space="preserve">.- Aprobación de la justificación y pago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 aprobación corresponderá a la concejal/a de ciudadanía, acción social y salud, que podrá reducir la subvención en el porcentaje correspondiente a los gastos efectivamente producidos. Presentada la documentación justificativa de la cláusula octava y aprobada, se procederá a la expedición de la orden de pago correspondiente.</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DÉCIMA. Seguimiento y control</w:t>
      </w:r>
    </w:p>
    <w:p>
      <w:pPr>
        <w:pStyle w:val="Normal"/>
        <w:autoSpaceDE w:val="false"/>
        <w:spacing w:before="0" w:after="12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 xml:space="preserve">El seguimiento y control del convenio se realizará por parte de la Concejalía de</w:t>
      </w:r>
      <w:r>
        <w:rPr>
          <w:rFonts w:eastAsia="Times New Roman" w:cs="Calibri" w:ascii="Calibri" w:hAnsi="Calibri"/>
          <w:sz w:val="24"/>
          <w:lang w:val="ca-ES" w:eastAsia="ar-SA" w:bidi="ar-SA"/>
        </w:rPr>
        <w:t>ciudadanía, acción social y salud.</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UNDÉCIMA.-</w:t>
      </w:r>
      <w:r>
        <w:rPr>
          <w:rFonts w:eastAsia="Times New Roman" w:cs="Calibri" w:ascii="Calibri" w:hAnsi="Calibri"/>
          <w:sz w:val="24"/>
          <w:lang w:val="ca-ES" w:eastAsia="ar-SA" w:bidi="ar-SA"/>
        </w:rPr>
        <w:t xml:space="preserve">Vigencia y causas de resolución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Dado que el objeto del convenio es regular la subvención nominativa, éste tiene vigencia del 1 de enero hasta el 31 de diciembre de 2023 y no se establece la posibilidad de prórroga.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Será causa de resolución del presente convenio el transcurso del plazo de vigencia del convenio, el mutuo acuerdo entre las partes, así como la denuncia de incumplimiento de cualquiera de las cláusulas mediante preaviso comunicado de forma fehaciente en el plazo de un mes desde que aquél hubiera sido detectado.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bCs/>
          <w:sz w:val="24"/>
          <w:lang w:val="ca-ES" w:eastAsia="ar-SA" w:bidi="ar-SA"/>
        </w:rPr>
        <w:t>DUODÉCIMA</w:t>
      </w:r>
      <w:r>
        <w:rPr>
          <w:rFonts w:eastAsia="Times New Roman" w:cs="Calibri" w:ascii="Calibri" w:hAnsi="Calibri"/>
          <w:sz w:val="24"/>
          <w:lang w:val="ca-ES" w:eastAsia="ar-SA" w:bidi="ar-SA"/>
        </w:rPr>
        <w:t xml:space="preserve">.- Incumplimiento y reintegro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El incumplimiento por causas imputables al beneficiario de las obligaciones impuestas como consecuencia del convenio, así como el falseamiento, inexactitud u omisión de los datos suministrados que hayan servido para la concesión de las subvenciones, comportará la pérdida total o parcial de éstas, y si procede, el reintegro con el abono de los intereses de demora, según lo establecido en la legislación vigente.</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DECIMOTERCERA</w:t>
      </w:r>
      <w:r>
        <w:rPr>
          <w:rFonts w:eastAsia="Times New Roman" w:cs="Calibri" w:ascii="Calibri" w:hAnsi="Calibri"/>
          <w:sz w:val="24"/>
          <w:lang w:val="ca-ES" w:eastAsia="ar-SA" w:bidi="ar-SA"/>
        </w:rPr>
        <w:t xml:space="preserve">.- Aspectos no previstos y cuestiones litigiosas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todo lo que no esté previsto en este convenio, se aplicará la Ley 38/2003, de 17 de noviembre, general de subvenciones, el Real Decreto 887/2006, de 21 de julio, por el que se aprueba el reglamento de la Ley General de Subvenciones. Las cuestiones litigiosas que puedan suscitarse se someterán a los Tribunales del orden jurisdiccional contencioso administrativo.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Y para que así conste y surta los efectos oportunos, se formaliza el presente convenio por duplicado, en el lugar y fecha indicados en el encabezamiento.</w:t>
      </w:r>
    </w:p>
    <w:p>
      <w:pPr>
        <w:pStyle w:val="Normal"/>
        <w:widowControl/>
        <w:pBdr>
          <w:bottom w:val="double" w:sz="6" w:space="1" w:color="000000"/>
        </w:pBdr>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TextBody"/>
        <w:rPr>
          <w:rFonts w:ascii="Calibri" w:hAnsi="Calibri" w:cs="Calibri"/>
          <w:sz w:val="24"/>
          <w:lang w:val="ca-ES"/>
        </w:rPr>
      </w:pPr>
      <w:r>
        <w:rPr>
          <w:rFonts w:cs="Calibri" w:ascii="Calibri" w:hAnsi="Calibri"/>
          <w:sz w:val="24"/>
          <w:lang w:val="ca-ES"/>
        </w:rPr>
        <w:t>ANEXO 1.- Certificado de vigencia de cargos de la entidad y que la suscripción del convenio ha sido acordada por el órgano competente.</w:t>
      </w:r>
    </w:p>
    <w:p>
      <w:pPr>
        <w:pStyle w:val="TextBody"/>
        <w:rPr>
          <w:rFonts w:ascii="Calibri" w:hAnsi="Calibri" w:cs="Calibri"/>
          <w:sz w:val="24"/>
          <w:lang w:val="ca-ES"/>
        </w:rPr>
      </w:pPr>
      <w:r>
        <w:rPr>
          <w:rFonts w:cs="Calibri" w:ascii="Calibri" w:hAnsi="Calibri"/>
          <w:sz w:val="24"/>
          <w:lang w:val="ca-ES"/>
        </w:rPr>
        <w:t>ANEXO 2.- Características de la actividad que es objeto de subvención ( ficha descriptiva)</w:t>
      </w:r>
    </w:p>
    <w:p>
      <w:pPr>
        <w:pStyle w:val="TextBody"/>
        <w:rPr>
          <w:rFonts w:ascii="Calibri" w:hAnsi="Calibri" w:cs="Calibri"/>
          <w:sz w:val="24"/>
          <w:lang w:val="ca-ES"/>
        </w:rPr>
      </w:pPr>
      <w:r>
        <w:rPr>
          <w:rFonts w:cs="Calibri" w:ascii="Calibri" w:hAnsi="Calibri"/>
          <w:sz w:val="24"/>
          <w:lang w:val="ca-ES"/>
        </w:rPr>
        <w:t>ANEXO 3.- Certificación de estar al corriente de las obligaciones tributarias con la Hacienda estatal, autonómica y local, con la Seguridad Social, y de cumplir los requisitos para obtener la condición de beneficiario art.13 LGS.</w:t>
      </w:r>
    </w:p>
    <w:p>
      <w:pPr>
        <w:pStyle w:val="TextBody"/>
        <w:rPr/>
      </w:pPr>
      <w:r>
        <w:rPr>
          <w:rFonts w:cs="Calibri" w:ascii="Calibri" w:hAnsi="Calibri"/>
          <w:sz w:val="24"/>
          <w:lang w:val="ca-ES"/>
        </w:rPr>
        <w:t>ANEXO 4.- Memoria y cuenta justificativa</w:t>
      </w:r>
    </w:p>
    <w:p>
      <w:pPr>
        <w:pStyle w:val="TextBody"/>
        <w:rPr/>
      </w:pPr>
      <w:r>
        <w:rPr>
          <w:rFonts w:cs="Calibri" w:ascii="Calibri" w:hAnsi="Calibri"/>
          <w:sz w:val="24"/>
          <w:lang w:val="ca-ES"/>
        </w:rPr>
        <w:t>ANEXO 5.- Relación de gastos</w:t>
      </w:r>
    </w:p>
    <w:p>
      <w:pPr>
        <w:pStyle w:val="TextBody"/>
        <w:spacing w:before="0" w:after="120"/>
        <w:rPr>
          <w:rFonts w:ascii="Calibri" w:hAnsi="Calibri" w:cs="Calibri"/>
          <w:sz w:val="24"/>
          <w:lang w:val="ca-ES"/>
        </w:rPr>
      </w:pPr>
      <w:r>
        <w:rPr>
          <w:rFonts w:cs="Calibri" w:ascii="Calibri" w:hAnsi="Calibri"/>
          <w:sz w:val="24"/>
          <w:lang w:val="ca-ES"/>
        </w:rPr>
      </w:r>
    </w:p>
    <w:sectPr>
      <w:headerReference w:type="default" r:id="rId2"/>
      <w:footerReference w:type="default" r:id="rId3"/>
      <w:type w:val="nextPage"/>
      <w:pgSz w:w="11906" w:h="16838"/>
      <w:pgMar w:left="1134" w:right="1133" w:header="720" w:top="1814" w:footer="232"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Unicode MS">
    <w:altName w:val="Arial"/>
    <w:charset w:val="01"/>
    <w:family w:val="auto"/>
    <w:pitch w:val="variable"/>
  </w:font>
  <w:font w:name="Liberation Sans">
    <w:altName w:val="Arial"/>
    <w:charset w:val="00" w:characterSet="windows-1252"/>
    <w:family w:val="swiss"/>
    <w:pitch w:val="variable"/>
  </w:font>
  <w:font w:name="Calibri">
    <w:charset w:val="00" w:characterSet="windows-1252"/>
    <w:family w:val="swiss"/>
    <w:pitch w:val="variable"/>
  </w:font>
  <w:font w:name="Arial Narrow">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drawing>
        <wp:inline distT="0" distB="0" distL="0" distR="0">
          <wp:extent cx="5394960" cy="269240"/>
          <wp:effectExtent l="0" t="0" r="0" b="0"/>
          <wp:docPr id="2"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title=""/>
                  <pic:cNvPicPr>
                    <a:picLocks noChangeAspect="1" noChangeArrowheads="1"/>
                  </pic:cNvPicPr>
                </pic:nvPicPr>
                <pic:blipFill>
                  <a:blip r:embed="rId1"/>
                  <a:srcRect l="-9" t="-189" r="-9" b="-189"/>
                  <a:stretch>
                    <a:fillRect/>
                  </a:stretch>
                </pic:blipFill>
                <pic:spPr bwMode="auto">
                  <a:xfrm>
                    <a:off x="0" y="0"/>
                    <a:ext cx="5394960" cy="26924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drawing>
        <wp:inline distT="0" distB="0" distL="0" distR="0">
          <wp:extent cx="697865" cy="697865"/>
          <wp:effectExtent l="0" t="0" r="0" b="0"/>
          <wp:docPr id="1"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title=""/>
                  <pic:cNvPicPr>
                    <a:picLocks noChangeAspect="1" noChangeArrowheads="1"/>
                  </pic:cNvPicPr>
                </pic:nvPicPr>
                <pic:blipFill>
                  <a:blip r:embed="rId1"/>
                  <a:srcRect l="-155" t="-155" r="-155" b="-155"/>
                  <a:stretch>
                    <a:fillRect/>
                  </a:stretch>
                </pic:blipFill>
                <pic:spPr bwMode="auto">
                  <a:xfrm>
                    <a:off x="0" y="0"/>
                    <a:ext cx="697865" cy="69786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upperRoman"/>
      <w:lvlText w:val="%1."/>
      <w:lvlJc w:val="start"/>
      <w:pPr>
        <w:tabs>
          <w:tab w:val="num" w:pos="0"/>
        </w:tabs>
        <w:ind w:start="1080" w:hanging="720"/>
      </w:pPr>
      <w:rPr>
        <w:rFonts w:cs="Calibri"/>
        <w:lang w:val="ca-ES"/>
      </w:rPr>
    </w:lvl>
  </w:abstractNum>
  <w:abstractNum w:abstractNumId="3">
    <w:lvl w:ilvl="0">
      <w:start w:val="1"/>
      <w:numFmt w:val="lowerLetter"/>
      <w:lvlText w:val="%1)"/>
      <w:lvlJc w:val="start"/>
      <w:pPr>
        <w:tabs>
          <w:tab w:val="num" w:pos="0"/>
        </w:tabs>
        <w:ind w:start="720" w:hanging="360"/>
      </w:pPr>
      <w:rPr>
        <w:rFonts w:cs="Calibri"/>
        <w:lang w:val="ca-ES"/>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isplayBackgroundShape/>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pPr>
    <w:rPr>
      <w:rFonts w:ascii="Arial" w:hAnsi="Arial" w:eastAsia="DejaVu Sans" w:cs="DejaVu Sans"/>
      <w:color w:val="auto"/>
      <w:sz w:val="22"/>
      <w:szCs w:val="24"/>
      <w:lang w:val="es-ES" w:eastAsia="zh-CN" w:bidi="hi-IN"/>
    </w:rPr>
  </w:style>
  <w:style w:type="paragraph" w:styleId="Heading1">
    <w:name w:val="Heading 1"/>
    <w:basedOn w:val="Heading"/>
    <w:next w:val="TextBody"/>
    <w:qFormat/>
    <w:pPr>
      <w:numPr>
        <w:ilvl w:val="0"/>
        <w:numId w:val="1"/>
      </w:numPr>
      <w:shd w:fill="EEEEEE" w:val="clear"/>
      <w:outlineLvl w:val="0"/>
    </w:pPr>
    <w:rPr>
      <w:rFonts w:ascii="Liberation Sans Unicode MS;Arial" w:hAnsi="Liberation Sans Unicode MS;Arial" w:cs="Liberation Sans Unicode MS;Arial"/>
      <w:b/>
      <w:bCs/>
      <w:sz w:val="28"/>
      <w:szCs w:val="44"/>
    </w:rPr>
  </w:style>
  <w:style w:type="character" w:styleId="WW8Num1z0">
    <w:name w:val="WW8Num1z0"/>
    <w:qFormat/>
    <w:rPr>
      <w:rFonts w:cs="Calibri"/>
      <w:lang w:val="ca-ES"/>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Calibri"/>
      <w:lang w:val="ca-ES"/>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Lletraperdefectedelpargraf">
    <w:name w:val="Lletra per defecte del paràgraf"/>
    <w:qFormat/>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eading">
    <w:name w:val="Heading"/>
    <w:basedOn w:val="Normal"/>
    <w:next w:val="TextBody"/>
    <w:qFormat/>
    <w:pPr>
      <w:keepNext w:val="true"/>
      <w:spacing w:before="240" w:after="283"/>
    </w:pPr>
    <w:rPr>
      <w:rFonts w:ascii="Liberation Sans" w:hAnsi="Liberation Sans" w:cs="Liberation Sans"/>
      <w:sz w:val="28"/>
      <w:szCs w:val="28"/>
    </w:rPr>
  </w:style>
  <w:style w:type="paragraph" w:styleId="TextBody">
    <w:name w:val="Body Text"/>
    <w:basedOn w:val="Normal"/>
    <w:pPr>
      <w:spacing w:before="0" w:after="12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Sender">
    <w:name w:val="Envelope Return"/>
    <w:basedOn w:val="Normal"/>
    <w:pPr/>
    <w:rPr>
      <w:i/>
    </w:rPr>
  </w:style>
  <w:style w:type="paragraph" w:styleId="TableContents">
    <w:name w:val="Table Contents"/>
    <w:basedOn w:val="TextBody"/>
    <w:qFormat/>
    <w:pPr>
      <w:spacing w:before="0" w:after="0"/>
    </w:pPr>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Pargrafdellista">
    <w:name w:val="Paràgraf de llista"/>
    <w:basedOn w:val="Normal"/>
    <w:qFormat/>
    <w:pPr>
      <w:ind w:start="708" w:hanging="0"/>
    </w:pPr>
    <w:rPr>
      <w:rFonts w:cs="Mangal"/>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 Id="r_odt_hyperlink" Type="http://schemas.openxmlformats.org/officeDocument/2006/relationships/hyperlink" Target="https://www.onlinedoctranslator.com/es/?utm_source=onlinedoctranslator&amp;utm_medium=doc&amp;utm_campaign=attribution" TargetMode="External"/><Relationship Id="r_odt_logo" Type="http://schemas.openxmlformats.org/officeDocument/2006/relationships/image" Target="media/odt_attribution_logo.png"/></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Template>
  <TotalTime>49</TotalTime>
  <Application>LibreOffice/7.0.6.2$Linux_X86_64 LibreOffice_project/00$Build-2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2022-07-27T06:18:00Z</dcterms:created>
  <dc:creator>Antoni Esqué Rubiol</dc:creator>
  <dc:description/>
  <cp:keywords> </cp:keywords>
  <dc:language>en-US</dc:language>
  <cp:lastModifiedBy>Paeria Cervera3</cp:lastModifiedBy>
  <cp:lastPrinted>2022-07-27T07:45:00Z</cp:lastPrinted>
  <dcterms:modified xsi:type="dcterms:W3CDTF">2023-06-16T09:07:00Z</dcterms:modified>
  <cp:revision>7</cp:revision>
  <dc:subject/>
  <dc:title/>
</cp:coreProperties>
</file>