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 xml:space="preserve">CONVENIO REGULADOR DE LA SUBVENCIÓN NOMINATIVA A ASOCIACIÓN DE FAMILIARES Y ENFERMOS DE ALZHEIMER Y OTRAS ENFERMEDADES DEGENERATIVAS POR EL FOMENTO DE ACTIVIDADES PARA PERSONAS CON ENFERMEDAD DE ALZHEIMER Y ENFERMEDADES DEGENERATIVAS EN EL CENTRO DE GENERATIVA.</w:t>
        <w:br/>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Por otra parte, Laura Carasol y Rosell, mayor de edad, actuando en nombre y representación como representante de la Asociación de familiares y enfermos de Alzheimer y otras enfermedades degenerativas, en adelante beneficiario, con domicilio en Carrer Quatre Masos, 1 .</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 Anexo 1) ,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2022 contiene la previsión del otorgamiento de una subvención a favor de la Asociación de familiares y enfermos de Alzheimer y otras enfermedades degenerativas por importe de (14.000 euros ) .</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la Asociación de familiares y enfermos de Alzheimer y otras enfermedades degenerativas es una entidad sin ánimo de lucro acreditan tener estatutos y que su objeto social es facilitar, mejorar y controlar la asistencia a los enfermos para mantener una calidad de vida digna en todo lo posible, procurando a la vez que los Servicios Sanitarios, social y otros poderes públicos sean operativos en favor de los propios enfermos, quien concuerda con los objetivos fijados en el Plan estratégico de subvenciones.</w:t>
      </w:r>
    </w:p>
    <w:p>
      <w:pPr>
        <w:pStyle w:val="Pargrafdellista"/>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 la Asociación de familiares y enfermos de Alzheimer y otras enfermedades degenerativas para el fomento de actividades para personas con enfermedad de Alzheimer y enfermedades degenerativas en el centro de día Josep Valls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14.000 euros, que se aportarán íntegramente por el Ayuntamiento, con cargo a la aplicación presupuestaria 231.48919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Serán gastos subvencionables los relativos a los gastos de personal (sueldos, salarios y seguridad social) y gastos corrientes de la gestión del centro: luz, agua, limpieza, el mantenimiento del centro y de la furgoneta correspondiente.</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ejercicio adecuado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14.000 € al beneficiario con dos anticipos.</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 realizará un anticipo inicial del 75% del importe concedido durante el primer cuatrimestre del año.</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25% restante, se abonará una vez se haya aprobado la documentación justificativa de la totalidad del gasto efectuado.</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Liberation Sans">
    <w:altName w:val="Arial"/>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rFonts w:cs="Calibri"/>
        <w:lang w:val="ca-ES"/>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5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cs="Calibri"/>
      <w:lang w:val="ca-E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51</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2022-07-27T05:18:00Z</dcterms:created>
  <dc:creator>Antoni Esqué Rubiol</dc:creator>
  <dc:description/>
  <cp:keywords> </cp:keywords>
  <dc:language>en-US</dc:language>
  <cp:lastModifiedBy>Paeria Cervera3</cp:lastModifiedBy>
  <cp:lastPrinted>2022-07-27T07:45:00Z</cp:lastPrinted>
  <dcterms:modified xsi:type="dcterms:W3CDTF">2023-06-16T09:03:00Z</dcterms:modified>
  <cp:revision>9</cp:revision>
  <dc:subject/>
  <dc:title/>
</cp:coreProperties>
</file>