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659B5" w14:textId="38FF2E31" w:rsidR="00FB1E1C" w:rsidRPr="00C97DA1" w:rsidRDefault="00FB1E1C" w:rsidP="00C97DA1">
      <w:pPr>
        <w:jc w:val="both"/>
        <w:rPr>
          <w:rFonts w:ascii="Times New Roman" w:hAnsi="Times New Roman"/>
          <w:szCs w:val="22"/>
          <w:lang w:val="es-ES" w:eastAsia="en-US"/>
        </w:rPr>
      </w:pPr>
      <w:r w:rsidRPr="00C97DA1">
        <w:rPr>
          <w:rFonts w:ascii="Times New Roman" w:hAnsi="Times New Roman"/>
          <w:szCs w:val="22"/>
          <w:lang w:val="es-ES" w:eastAsia="en-US"/>
        </w:rPr>
        <w:t>Extracto del Acuerdo de Junta de Gobierno Local</w:t>
      </w:r>
      <w:r w:rsidR="0095369B">
        <w:rPr>
          <w:rFonts w:ascii="Times New Roman" w:hAnsi="Times New Roman"/>
          <w:szCs w:val="22"/>
          <w:lang w:val="es-ES" w:eastAsia="en-US"/>
        </w:rPr>
        <w:t>,</w:t>
      </w:r>
      <w:r w:rsidRPr="00C97DA1">
        <w:rPr>
          <w:rFonts w:ascii="Times New Roman" w:hAnsi="Times New Roman"/>
          <w:szCs w:val="22"/>
          <w:lang w:val="es-ES" w:eastAsia="en-US"/>
        </w:rPr>
        <w:t xml:space="preserve"> </w:t>
      </w:r>
      <w:r w:rsidR="0095369B" w:rsidRPr="00220AA2">
        <w:rPr>
          <w:rFonts w:ascii="Times New Roman" w:hAnsi="Times New Roman"/>
          <w:szCs w:val="22"/>
          <w:lang w:eastAsia="en-US"/>
        </w:rPr>
        <w:t>de 16 de octubre de 2023</w:t>
      </w:r>
      <w:r w:rsidR="00D27E7D">
        <w:rPr>
          <w:rFonts w:ascii="Times New Roman" w:hAnsi="Times New Roman"/>
          <w:szCs w:val="22"/>
          <w:lang w:eastAsia="en-US"/>
        </w:rPr>
        <w:t xml:space="preserve"> </w:t>
      </w:r>
      <w:r w:rsidR="0095369B" w:rsidRPr="00220AA2">
        <w:rPr>
          <w:rFonts w:ascii="Times New Roman" w:hAnsi="Times New Roman"/>
          <w:szCs w:val="22"/>
          <w:lang w:eastAsia="en-US"/>
        </w:rPr>
        <w:t xml:space="preserve">(Punto </w:t>
      </w:r>
      <w:proofErr w:type="spellStart"/>
      <w:r w:rsidR="0095369B" w:rsidRPr="00220AA2">
        <w:rPr>
          <w:rFonts w:ascii="Times New Roman" w:hAnsi="Times New Roman"/>
          <w:szCs w:val="22"/>
          <w:lang w:eastAsia="en-US"/>
        </w:rPr>
        <w:t>Nº</w:t>
      </w:r>
      <w:proofErr w:type="spellEnd"/>
      <w:r w:rsidR="0095369B" w:rsidRPr="00220AA2">
        <w:rPr>
          <w:rFonts w:ascii="Times New Roman" w:hAnsi="Times New Roman"/>
          <w:szCs w:val="22"/>
          <w:lang w:eastAsia="en-US"/>
        </w:rPr>
        <w:t xml:space="preserve"> 8) por la que se convocan las subvenciones destinadas a desarrollar el </w:t>
      </w:r>
      <w:r w:rsidR="00D27E7D">
        <w:rPr>
          <w:rFonts w:ascii="Times New Roman" w:hAnsi="Times New Roman"/>
          <w:szCs w:val="22"/>
          <w:lang w:eastAsia="en-US"/>
        </w:rPr>
        <w:t xml:space="preserve"> </w:t>
      </w:r>
      <w:r w:rsidR="0095369B" w:rsidRPr="00220AA2">
        <w:rPr>
          <w:rFonts w:ascii="Times New Roman" w:hAnsi="Times New Roman"/>
          <w:szCs w:val="22"/>
          <w:lang w:eastAsia="en-US"/>
        </w:rPr>
        <w:t xml:space="preserve"> programa Campaña de Reyes:</w:t>
      </w:r>
      <w:r w:rsidR="0095369B">
        <w:rPr>
          <w:szCs w:val="22"/>
          <w:lang w:eastAsia="en-US"/>
        </w:rPr>
        <w:t xml:space="preserve"> </w:t>
      </w:r>
      <w:r w:rsidRPr="00C97DA1">
        <w:rPr>
          <w:rFonts w:ascii="Times New Roman" w:hAnsi="Times New Roman"/>
          <w:szCs w:val="22"/>
          <w:lang w:val="es-ES" w:eastAsia="en-US"/>
        </w:rPr>
        <w:t xml:space="preserve"> Juguetes para todos/as, en el ámbito de la </w:t>
      </w:r>
      <w:proofErr w:type="gramStart"/>
      <w:r w:rsidRPr="00C97DA1">
        <w:rPr>
          <w:rFonts w:ascii="Times New Roman" w:hAnsi="Times New Roman"/>
          <w:szCs w:val="22"/>
          <w:lang w:val="es-ES" w:eastAsia="en-US"/>
        </w:rPr>
        <w:t>Concejalía</w:t>
      </w:r>
      <w:proofErr w:type="gramEnd"/>
      <w:r w:rsidRPr="00C97DA1">
        <w:rPr>
          <w:rFonts w:ascii="Times New Roman" w:hAnsi="Times New Roman"/>
          <w:szCs w:val="22"/>
          <w:lang w:val="es-ES" w:eastAsia="en-US"/>
        </w:rPr>
        <w:t xml:space="preserve"> de Bienestar correspondiente al año 2023-2024. (Código Convocatoria: 2023/2023/3/648025/000).</w:t>
      </w:r>
    </w:p>
    <w:p w14:paraId="76DC39AF" w14:textId="77777777" w:rsidR="00FB1E1C" w:rsidRPr="00C97DA1" w:rsidRDefault="00FB1E1C" w:rsidP="00C97DA1">
      <w:pPr>
        <w:jc w:val="both"/>
        <w:rPr>
          <w:rFonts w:ascii="Times New Roman" w:hAnsi="Times New Roman"/>
          <w:szCs w:val="22"/>
          <w:lang w:val="es-ES" w:eastAsia="en-US"/>
        </w:rPr>
      </w:pPr>
      <w:r w:rsidRPr="00C97DA1">
        <w:rPr>
          <w:rFonts w:ascii="Times New Roman" w:hAnsi="Times New Roman"/>
          <w:szCs w:val="22"/>
          <w:lang w:val="es-ES" w:eastAsia="en-US"/>
        </w:rPr>
        <w:t xml:space="preserve">BDNS </w:t>
      </w:r>
    </w:p>
    <w:p w14:paraId="799DF2F8" w14:textId="77777777" w:rsidR="00FB1E1C" w:rsidRPr="00C97DA1" w:rsidRDefault="00FB1E1C" w:rsidP="00C97DA1">
      <w:pPr>
        <w:autoSpaceDE w:val="0"/>
        <w:autoSpaceDN w:val="0"/>
        <w:adjustRightInd w:val="0"/>
        <w:spacing w:after="0" w:line="240" w:lineRule="atLeast"/>
        <w:jc w:val="both"/>
        <w:rPr>
          <w:rFonts w:ascii="Times New Roman" w:hAnsi="Times New Roman"/>
          <w:szCs w:val="22"/>
          <w:lang w:val="es-ES" w:eastAsia="en-US"/>
        </w:rPr>
      </w:pPr>
      <w:r w:rsidRPr="00C97DA1">
        <w:rPr>
          <w:rFonts w:ascii="Times New Roman" w:hAnsi="Times New Roman"/>
          <w:szCs w:val="22"/>
          <w:lang w:val="es-ES" w:eastAsia="en-US"/>
        </w:rPr>
        <w:t xml:space="preserve">Primero. Beneficiarios. - Podrán participar en el programa, menores con edades comprendidas entre los 2 años y 9 nueve años (a cumplir antes del 31/12/2023), pertenecientes a familias que han de constar empadronadas en el mismo domicilio y residir de forma efectiva en la ciudad de Torrejón de Ardoz, con anterioridad a 1 de enero de 2023. El requisito de empadronamiento y residencia efectiva deberá concurrir tanto en el solicitante, titular de la patria potestad/tutela que tenga atribuida la guarda y custodia del menor, como por los menores a incluir en el programa. </w:t>
      </w:r>
    </w:p>
    <w:p w14:paraId="3B7F12CC" w14:textId="77777777" w:rsidR="00FB1E1C" w:rsidRPr="00C97DA1" w:rsidRDefault="00FB1E1C" w:rsidP="00C97DA1">
      <w:pPr>
        <w:autoSpaceDE w:val="0"/>
        <w:autoSpaceDN w:val="0"/>
        <w:adjustRightInd w:val="0"/>
        <w:spacing w:after="0" w:line="240" w:lineRule="atLeast"/>
        <w:jc w:val="both"/>
        <w:rPr>
          <w:rFonts w:ascii="Times New Roman" w:hAnsi="Times New Roman"/>
          <w:szCs w:val="22"/>
          <w:lang w:val="es-ES" w:eastAsia="en-US"/>
        </w:rPr>
      </w:pPr>
      <w:r w:rsidRPr="00C97DA1">
        <w:rPr>
          <w:rFonts w:ascii="Times New Roman" w:hAnsi="Times New Roman"/>
          <w:szCs w:val="22"/>
          <w:lang w:val="es-ES" w:eastAsia="en-US"/>
        </w:rPr>
        <w:t xml:space="preserve">Las familias deberán ser perceptoras en activo, sin suspensiones por causas imputables a las personas que integran la unidad familiar, de la prestación económica denominada Renta Mínima de Inserción, o perceptoras del Ingreso Mínimo Vital, con resolución favorable y vigente. </w:t>
      </w:r>
    </w:p>
    <w:p w14:paraId="1500FBF2" w14:textId="77777777" w:rsidR="00FB1E1C" w:rsidRDefault="00FB1E1C" w:rsidP="00C97DA1">
      <w:pPr>
        <w:autoSpaceDE w:val="0"/>
        <w:autoSpaceDN w:val="0"/>
        <w:adjustRightInd w:val="0"/>
        <w:spacing w:after="0" w:line="60" w:lineRule="atLeast"/>
        <w:jc w:val="both"/>
        <w:rPr>
          <w:rFonts w:ascii="Times New Roman" w:hAnsi="Times New Roman"/>
          <w:szCs w:val="22"/>
          <w:lang w:val="es-ES" w:eastAsia="en-US"/>
        </w:rPr>
      </w:pPr>
      <w:r w:rsidRPr="00C97DA1">
        <w:rPr>
          <w:rFonts w:ascii="Times New Roman" w:hAnsi="Times New Roman"/>
          <w:szCs w:val="22"/>
          <w:lang w:val="es-ES" w:eastAsia="en-US"/>
        </w:rPr>
        <w:t xml:space="preserve">En el caso de familias cuyos progenitores estén separados de hecho o de derecho, o divorciados, solo podrán formular solicitud de inclusión en el programa municipal el progenitor que ostente la guarda y custodia del menor, y sea titular de la renta mínima inserción o ingreso mínimo vital. En el supuesto de guarda y custodia compartida solo podrá formularla uno de ellos. </w:t>
      </w:r>
    </w:p>
    <w:p w14:paraId="22015F2C" w14:textId="77777777" w:rsidR="00C97DA1" w:rsidRPr="00C97DA1" w:rsidRDefault="00C97DA1" w:rsidP="00C97DA1">
      <w:pPr>
        <w:autoSpaceDE w:val="0"/>
        <w:autoSpaceDN w:val="0"/>
        <w:adjustRightInd w:val="0"/>
        <w:spacing w:after="0" w:line="60" w:lineRule="atLeast"/>
        <w:jc w:val="both"/>
        <w:rPr>
          <w:rFonts w:ascii="Times New Roman" w:hAnsi="Times New Roman"/>
          <w:szCs w:val="22"/>
          <w:lang w:val="es-ES" w:eastAsia="en-US"/>
        </w:rPr>
      </w:pPr>
    </w:p>
    <w:p w14:paraId="3E7826EC" w14:textId="77777777" w:rsidR="00FB1E1C" w:rsidRDefault="00FB1E1C" w:rsidP="00C97DA1">
      <w:pPr>
        <w:suppressAutoHyphens/>
        <w:spacing w:after="0" w:line="60" w:lineRule="atLeast"/>
        <w:jc w:val="both"/>
        <w:rPr>
          <w:rFonts w:ascii="Times New Roman" w:eastAsia="Times New Roman" w:hAnsi="Times New Roman"/>
          <w:color w:val="00000A"/>
          <w:szCs w:val="22"/>
          <w:lang w:val="es-ES" w:eastAsia="zh-CN"/>
        </w:rPr>
      </w:pPr>
      <w:r w:rsidRPr="00C97DA1">
        <w:rPr>
          <w:rFonts w:ascii="Times New Roman" w:hAnsi="Times New Roman"/>
          <w:szCs w:val="22"/>
          <w:lang w:val="es-ES" w:eastAsia="en-US"/>
        </w:rPr>
        <w:t>Segundo. Objeto. -</w:t>
      </w:r>
      <w:r w:rsidRPr="00C97DA1">
        <w:rPr>
          <w:rFonts w:ascii="Times New Roman" w:eastAsia="Times New Roman" w:hAnsi="Times New Roman"/>
          <w:color w:val="00000A"/>
          <w:szCs w:val="22"/>
          <w:lang w:val="es-ES" w:eastAsia="zh-CN"/>
        </w:rPr>
        <w:t xml:space="preserve"> El objeto del programa es favorecer, en fechas tan especiales, navidades y reyes, el bienestar e igualdad, en pro de la integración social de menores pertenecientes a familias más desfavorecidas del municipio, perceptoras de ingreso mínimo vital o renta mínima de inserción, y/o en procesos de integración social con escasos recursos económicos.</w:t>
      </w:r>
    </w:p>
    <w:p w14:paraId="65933560" w14:textId="77777777" w:rsidR="00C97DA1" w:rsidRPr="00C97DA1" w:rsidRDefault="00C97DA1" w:rsidP="00C97DA1">
      <w:pPr>
        <w:suppressAutoHyphens/>
        <w:spacing w:after="0" w:line="60" w:lineRule="atLeast"/>
        <w:jc w:val="both"/>
        <w:rPr>
          <w:rFonts w:ascii="Times New Roman" w:eastAsia="Times New Roman" w:hAnsi="Times New Roman"/>
          <w:color w:val="00000A"/>
          <w:szCs w:val="22"/>
          <w:lang w:val="es-ES" w:eastAsia="zh-CN"/>
        </w:rPr>
      </w:pPr>
    </w:p>
    <w:p w14:paraId="7809A356" w14:textId="77777777" w:rsidR="00EF7A4A" w:rsidRDefault="00FB1E1C" w:rsidP="00EF7A4A">
      <w:pPr>
        <w:rPr>
          <w:rFonts w:eastAsiaTheme="minorHAnsi"/>
          <w:lang w:val="es-ES" w:eastAsia="en-US"/>
        </w:rPr>
      </w:pPr>
      <w:r w:rsidRPr="00C97DA1">
        <w:rPr>
          <w:rFonts w:ascii="Times New Roman" w:hAnsi="Times New Roman"/>
          <w:szCs w:val="22"/>
          <w:lang w:val="es-ES" w:eastAsia="en-US"/>
        </w:rPr>
        <w:t>Tercero. Bases reguladoras. - Bases aprobadas en J.G.L. de 26/09/2022 para la inclusión de menores en el programa denominado Campaña de Reyes: Juguetes para todos/as, y que se pueden consultar en la web del Ayuntamiento</w:t>
      </w:r>
      <w:r w:rsidRPr="00C97DA1">
        <w:rPr>
          <w:rFonts w:ascii="Times New Roman" w:eastAsia="Times New Roman" w:hAnsi="Times New Roman"/>
          <w:color w:val="00000A"/>
          <w:szCs w:val="22"/>
          <w:lang w:val="es-ES" w:eastAsia="zh-CN"/>
        </w:rPr>
        <w:t xml:space="preserve"> </w:t>
      </w:r>
      <w:hyperlink r:id="rId10" w:history="1">
        <w:r w:rsidR="00CA7FD8" w:rsidRPr="00C97DA1">
          <w:rPr>
            <w:rStyle w:val="Hipervnculo"/>
            <w:rFonts w:ascii="Times New Roman" w:eastAsia="Times New Roman" w:hAnsi="Times New Roman"/>
            <w:szCs w:val="22"/>
          </w:rPr>
          <w:t>https://www.ayto-torrejon.es/sites/default/files/Certificado%20JGL%2016_10_2023%20punto%208%20Bienestar%20Social%20Campa%C3%B1a%20Juguetes%20para%20Todos.PDF</w:t>
        </w:r>
      </w:hyperlink>
      <w:r w:rsidR="000469C6">
        <w:rPr>
          <w:rStyle w:val="Hipervnculo"/>
          <w:rFonts w:ascii="Times New Roman" w:eastAsia="Times New Roman" w:hAnsi="Times New Roman"/>
          <w:szCs w:val="22"/>
        </w:rPr>
        <w:t xml:space="preserve"> </w:t>
      </w:r>
      <w:r w:rsidR="00CA7FD8" w:rsidRPr="00C97DA1">
        <w:rPr>
          <w:rFonts w:ascii="Times New Roman" w:eastAsia="Times New Roman" w:hAnsi="Times New Roman"/>
          <w:color w:val="000000"/>
          <w:szCs w:val="22"/>
        </w:rPr>
        <w:t> </w:t>
      </w:r>
      <w:r w:rsidR="000469C6">
        <w:rPr>
          <w:rFonts w:ascii="Times New Roman" w:eastAsia="Times New Roman" w:hAnsi="Times New Roman"/>
          <w:color w:val="000000"/>
          <w:szCs w:val="22"/>
        </w:rPr>
        <w:t xml:space="preserve"> o en el Boletín Oficial de la Comunidad de Madrid </w:t>
      </w:r>
      <w:hyperlink r:id="rId11" w:history="1">
        <w:r w:rsidR="00EF7A4A">
          <w:rPr>
            <w:rStyle w:val="Hipervnculo"/>
          </w:rPr>
          <w:t>https://www.bocm.es/boletin/CM_Orden_BOCM/2022/10/06/BOCM-20221006-77.PDF</w:t>
        </w:r>
      </w:hyperlink>
    </w:p>
    <w:p w14:paraId="1B712932" w14:textId="24CC114E" w:rsidR="00C97DA1" w:rsidRDefault="00C97DA1" w:rsidP="00C97DA1">
      <w:pPr>
        <w:spacing w:after="0"/>
        <w:jc w:val="both"/>
        <w:rPr>
          <w:rFonts w:ascii="Times New Roman" w:eastAsia="Times New Roman" w:hAnsi="Times New Roman"/>
          <w:color w:val="000000"/>
          <w:szCs w:val="22"/>
        </w:rPr>
      </w:pPr>
    </w:p>
    <w:p w14:paraId="38506131" w14:textId="2B1B24AD" w:rsidR="00FB1E1C" w:rsidRDefault="00FB1E1C" w:rsidP="00C97DA1">
      <w:pPr>
        <w:spacing w:after="0"/>
        <w:jc w:val="both"/>
        <w:rPr>
          <w:rFonts w:ascii="Times New Roman" w:hAnsi="Times New Roman"/>
          <w:szCs w:val="22"/>
          <w:lang w:val="es-ES" w:eastAsia="en-US"/>
        </w:rPr>
      </w:pPr>
      <w:r w:rsidRPr="00C97DA1">
        <w:rPr>
          <w:rFonts w:ascii="Times New Roman" w:hAnsi="Times New Roman"/>
          <w:szCs w:val="22"/>
          <w:lang w:val="es-ES" w:eastAsia="en-US"/>
        </w:rPr>
        <w:t xml:space="preserve">Cuarto. Cuantía. - </w:t>
      </w:r>
      <w:r w:rsidRPr="00C97DA1">
        <w:rPr>
          <w:rFonts w:ascii="Times New Roman" w:eastAsia="Times New Roman" w:hAnsi="Times New Roman"/>
          <w:color w:val="00000A"/>
          <w:szCs w:val="22"/>
          <w:lang w:val="es-ES" w:eastAsia="zh-CN"/>
        </w:rPr>
        <w:t>El crédito presupuestario disponible para la concesión de este tipo de ayudas se imputará a la aplicación presupuestaria que en 2024 se corresponda con la A.P 080 23100 48001 “Ayudas Sociales”, por un máximo de 6.000,00 €.</w:t>
      </w:r>
      <w:r w:rsidRPr="00C97DA1">
        <w:rPr>
          <w:rFonts w:ascii="Times New Roman" w:hAnsi="Times New Roman"/>
          <w:szCs w:val="22"/>
          <w:lang w:val="es-ES" w:eastAsia="en-US"/>
        </w:rPr>
        <w:t xml:space="preserve"> En función de las solicitudes presentadas y el número de menores que resulten beneficiarios, se determinará el valor del juguete a asignar a cada menor. Este valor no podrá ser inferior a 15,00€, ni superior a 45,00€ por menor. El abono de las ayudas en especie se instrumentalizará previa suscripción de contrato de suministro de juegos/juguetes.</w:t>
      </w:r>
    </w:p>
    <w:p w14:paraId="772060BB" w14:textId="77777777" w:rsidR="00C97DA1" w:rsidRPr="00C97DA1" w:rsidRDefault="00C97DA1" w:rsidP="00C97DA1">
      <w:pPr>
        <w:spacing w:after="0"/>
        <w:jc w:val="both"/>
        <w:rPr>
          <w:rFonts w:ascii="Times New Roman" w:hAnsi="Times New Roman"/>
          <w:szCs w:val="22"/>
          <w:lang w:val="es-ES" w:eastAsia="en-US"/>
        </w:rPr>
      </w:pPr>
    </w:p>
    <w:p w14:paraId="7EAD6113" w14:textId="40001B99" w:rsidR="00FB1E1C" w:rsidRPr="00C97DA1" w:rsidRDefault="00FB1E1C" w:rsidP="00C97DA1">
      <w:pPr>
        <w:suppressAutoHyphens/>
        <w:spacing w:after="0" w:line="240" w:lineRule="auto"/>
        <w:jc w:val="both"/>
        <w:rPr>
          <w:rFonts w:ascii="Times New Roman" w:eastAsia="Times New Roman" w:hAnsi="Times New Roman"/>
          <w:szCs w:val="22"/>
          <w:lang w:val="es-ES" w:eastAsia="zh-CN"/>
        </w:rPr>
      </w:pPr>
      <w:r w:rsidRPr="00C97DA1">
        <w:rPr>
          <w:rFonts w:ascii="Times New Roman" w:hAnsi="Times New Roman"/>
          <w:szCs w:val="22"/>
          <w:lang w:val="es-ES" w:eastAsia="en-US"/>
        </w:rPr>
        <w:t xml:space="preserve">Quinto. Plazo de presentación de solicitudes - </w:t>
      </w:r>
      <w:r w:rsidRPr="00C97DA1">
        <w:rPr>
          <w:rFonts w:ascii="Times New Roman" w:eastAsia="Times New Roman" w:hAnsi="Times New Roman"/>
          <w:szCs w:val="22"/>
          <w:lang w:val="es-ES" w:eastAsia="zh-CN"/>
        </w:rPr>
        <w:t xml:space="preserve">Los impresos de solicitud y cuanta información se precise para formular la solicitud serán facilitados en la </w:t>
      </w:r>
      <w:proofErr w:type="gramStart"/>
      <w:r w:rsidRPr="00C97DA1">
        <w:rPr>
          <w:rFonts w:ascii="Times New Roman" w:eastAsia="Times New Roman" w:hAnsi="Times New Roman"/>
          <w:szCs w:val="22"/>
          <w:lang w:val="es-ES" w:eastAsia="zh-CN"/>
        </w:rPr>
        <w:t>Concejalía</w:t>
      </w:r>
      <w:proofErr w:type="gramEnd"/>
      <w:r w:rsidRPr="00C97DA1">
        <w:rPr>
          <w:rFonts w:ascii="Times New Roman" w:eastAsia="Times New Roman" w:hAnsi="Times New Roman"/>
          <w:szCs w:val="22"/>
          <w:lang w:val="es-ES" w:eastAsia="zh-CN"/>
        </w:rPr>
        <w:t xml:space="preserve"> de Bienestar, o a través de la página web institucional del Ayto. de Torrejón de Ardoz.</w:t>
      </w:r>
    </w:p>
    <w:p w14:paraId="5C7212A8" w14:textId="5DDC4DE1" w:rsidR="00FB1E1C" w:rsidRPr="00C97DA1" w:rsidRDefault="00C97DA1" w:rsidP="00C97DA1">
      <w:pPr>
        <w:suppressAutoHyphens/>
        <w:spacing w:after="0" w:line="240" w:lineRule="auto"/>
        <w:jc w:val="both"/>
        <w:rPr>
          <w:rFonts w:ascii="Times New Roman" w:eastAsia="Times New Roman" w:hAnsi="Times New Roman"/>
          <w:szCs w:val="22"/>
          <w:lang w:val="es-ES" w:eastAsia="zh-CN"/>
        </w:rPr>
      </w:pPr>
      <w:r>
        <w:rPr>
          <w:rFonts w:ascii="Times New Roman" w:eastAsia="Times New Roman" w:hAnsi="Times New Roman"/>
          <w:szCs w:val="22"/>
          <w:lang w:val="es-ES" w:eastAsia="zh-CN"/>
        </w:rPr>
        <w:lastRenderedPageBreak/>
        <w:t>L</w:t>
      </w:r>
      <w:r w:rsidR="00FB1E1C" w:rsidRPr="00C97DA1">
        <w:rPr>
          <w:rFonts w:ascii="Times New Roman" w:eastAsia="Times New Roman" w:hAnsi="Times New Roman"/>
          <w:szCs w:val="22"/>
          <w:lang w:val="es-ES" w:eastAsia="zh-CN"/>
        </w:rPr>
        <w:t xml:space="preserve">a solicitud y la correspondiente documentación deberá presentarse a través del Registro Municipal del Ayto. de Torrejón de Ardoz, sito en Avda. Virgen de Loreto </w:t>
      </w:r>
      <w:proofErr w:type="spellStart"/>
      <w:r w:rsidR="00FB1E1C" w:rsidRPr="00C97DA1">
        <w:rPr>
          <w:rFonts w:ascii="Times New Roman" w:eastAsia="Times New Roman" w:hAnsi="Times New Roman"/>
          <w:szCs w:val="22"/>
          <w:lang w:val="es-ES" w:eastAsia="zh-CN"/>
        </w:rPr>
        <w:t>nº</w:t>
      </w:r>
      <w:proofErr w:type="spellEnd"/>
      <w:r w:rsidR="00FB1E1C" w:rsidRPr="00C97DA1">
        <w:rPr>
          <w:rFonts w:ascii="Times New Roman" w:eastAsia="Times New Roman" w:hAnsi="Times New Roman"/>
          <w:szCs w:val="22"/>
          <w:lang w:val="es-ES" w:eastAsia="zh-CN"/>
        </w:rPr>
        <w:t xml:space="preserve"> 2, en horario de 8:30 h a 13:30 h (de lunes a viernes no festivos)</w:t>
      </w:r>
    </w:p>
    <w:p w14:paraId="5A3AAFF9" w14:textId="77777777" w:rsidR="00FB1E1C" w:rsidRPr="00C97DA1" w:rsidRDefault="00FB1E1C" w:rsidP="00C97DA1">
      <w:pPr>
        <w:suppressAutoHyphens/>
        <w:spacing w:after="0" w:line="240" w:lineRule="auto"/>
        <w:jc w:val="both"/>
        <w:rPr>
          <w:rFonts w:ascii="Times New Roman" w:eastAsia="Times New Roman" w:hAnsi="Times New Roman"/>
          <w:szCs w:val="22"/>
          <w:lang w:val="es-ES" w:eastAsia="zh-CN"/>
        </w:rPr>
      </w:pPr>
      <w:r w:rsidRPr="00C97DA1">
        <w:rPr>
          <w:rFonts w:ascii="Times New Roman" w:eastAsia="Times New Roman" w:hAnsi="Times New Roman"/>
          <w:szCs w:val="22"/>
          <w:lang w:val="es-ES" w:eastAsia="zh-CN"/>
        </w:rPr>
        <w:t>El plazo para solicitar la subvención será entre el 30 de octubre al 08 de noviembre de 2023 (ambos inclusive).</w:t>
      </w:r>
    </w:p>
    <w:p w14:paraId="187DC2B2" w14:textId="77777777" w:rsidR="00FB1E1C" w:rsidRPr="00C97DA1" w:rsidRDefault="00FB1E1C" w:rsidP="00C97DA1">
      <w:pPr>
        <w:suppressAutoHyphens/>
        <w:spacing w:after="0" w:line="240" w:lineRule="auto"/>
        <w:jc w:val="both"/>
        <w:rPr>
          <w:rFonts w:ascii="Times New Roman" w:eastAsia="Times New Roman" w:hAnsi="Times New Roman"/>
          <w:szCs w:val="22"/>
          <w:lang w:val="es-ES" w:eastAsia="zh-CN"/>
        </w:rPr>
      </w:pPr>
      <w:r w:rsidRPr="00C97DA1">
        <w:rPr>
          <w:rFonts w:ascii="Times New Roman" w:eastAsia="Times New Roman" w:hAnsi="Times New Roman"/>
          <w:szCs w:val="22"/>
          <w:lang w:val="es-ES" w:eastAsia="zh-CN"/>
        </w:rPr>
        <w:t xml:space="preserve">La publicación de las listas provisional de admitidos y excluidos, se realizará el día 15 de noviembre de 2023, a las 12:00 h en la </w:t>
      </w:r>
      <w:proofErr w:type="gramStart"/>
      <w:r w:rsidRPr="00C97DA1">
        <w:rPr>
          <w:rFonts w:ascii="Times New Roman" w:eastAsia="Times New Roman" w:hAnsi="Times New Roman"/>
          <w:szCs w:val="22"/>
          <w:lang w:val="es-ES" w:eastAsia="zh-CN"/>
        </w:rPr>
        <w:t>Concejalía</w:t>
      </w:r>
      <w:proofErr w:type="gramEnd"/>
      <w:r w:rsidRPr="00C97DA1">
        <w:rPr>
          <w:rFonts w:ascii="Times New Roman" w:eastAsia="Times New Roman" w:hAnsi="Times New Roman"/>
          <w:szCs w:val="22"/>
          <w:lang w:val="es-ES" w:eastAsia="zh-CN"/>
        </w:rPr>
        <w:t xml:space="preserve"> de Bienestar, abriéndose plazo de alegaciones de 5 días, a contar desde el siguiente a la publicación; las alegaciones deberán formulares por escrito a través del Registro Municipal de la Concejalía de Bienestar. </w:t>
      </w:r>
    </w:p>
    <w:p w14:paraId="2BA2D4F9" w14:textId="77777777" w:rsidR="00FB1E1C" w:rsidRDefault="00FB1E1C" w:rsidP="00C97DA1">
      <w:pPr>
        <w:suppressAutoHyphens/>
        <w:spacing w:after="0" w:line="240" w:lineRule="auto"/>
        <w:jc w:val="both"/>
        <w:rPr>
          <w:rFonts w:ascii="Times New Roman" w:eastAsia="Times New Roman" w:hAnsi="Times New Roman"/>
          <w:szCs w:val="22"/>
          <w:lang w:val="es-ES" w:eastAsia="zh-CN"/>
        </w:rPr>
      </w:pPr>
      <w:r w:rsidRPr="00C97DA1">
        <w:rPr>
          <w:rFonts w:ascii="Times New Roman" w:eastAsia="Times New Roman" w:hAnsi="Times New Roman"/>
          <w:szCs w:val="22"/>
          <w:lang w:val="es-ES" w:eastAsia="zh-CN"/>
        </w:rPr>
        <w:t xml:space="preserve">Resuelta definitivamente la convocatoria, se procederá a publicar las listas definitivas de concesiones y denegaciones el día 24 de noviembre de 2023 en la </w:t>
      </w:r>
      <w:proofErr w:type="gramStart"/>
      <w:r w:rsidRPr="00C97DA1">
        <w:rPr>
          <w:rFonts w:ascii="Times New Roman" w:eastAsia="Times New Roman" w:hAnsi="Times New Roman"/>
          <w:szCs w:val="22"/>
          <w:lang w:val="es-ES" w:eastAsia="zh-CN"/>
        </w:rPr>
        <w:t>Concejalía</w:t>
      </w:r>
      <w:proofErr w:type="gramEnd"/>
      <w:r w:rsidRPr="00C97DA1">
        <w:rPr>
          <w:rFonts w:ascii="Times New Roman" w:eastAsia="Times New Roman" w:hAnsi="Times New Roman"/>
          <w:szCs w:val="22"/>
          <w:lang w:val="es-ES" w:eastAsia="zh-CN"/>
        </w:rPr>
        <w:t xml:space="preserve"> de Bienestar. Contra esta resolución, que pone fin a la vía administrativa, cabe interponer recurso potestativo de reposición en el plazo de un mes ante el mismo órgano que dictó la resolución, o bien, recurso contencioso administrativo, en el plazo de dos meses, computándose tanto en éste como aquel del día siguiente de la publicación. Transcurrido el plazo máximo de resolución sin que ésta haya recaído, se estimará denegada la solicitud.</w:t>
      </w:r>
    </w:p>
    <w:p w14:paraId="78CA45BA" w14:textId="77777777" w:rsidR="00C97DA1" w:rsidRPr="00C97DA1" w:rsidRDefault="00C97DA1" w:rsidP="00C97DA1">
      <w:pPr>
        <w:suppressAutoHyphens/>
        <w:spacing w:after="0" w:line="240" w:lineRule="auto"/>
        <w:jc w:val="both"/>
        <w:rPr>
          <w:rFonts w:ascii="Times New Roman" w:eastAsia="Times New Roman" w:hAnsi="Times New Roman"/>
          <w:szCs w:val="22"/>
          <w:lang w:val="es-ES" w:eastAsia="zh-CN"/>
        </w:rPr>
      </w:pPr>
    </w:p>
    <w:p w14:paraId="0F9FDCB0" w14:textId="77777777" w:rsidR="00FB1E1C" w:rsidRPr="00C97DA1" w:rsidRDefault="00FB1E1C" w:rsidP="00C97DA1">
      <w:pPr>
        <w:spacing w:after="0"/>
        <w:jc w:val="both"/>
        <w:rPr>
          <w:rFonts w:ascii="Times New Roman" w:hAnsi="Times New Roman"/>
          <w:szCs w:val="22"/>
          <w:lang w:val="es-ES" w:eastAsia="en-US"/>
        </w:rPr>
      </w:pPr>
      <w:r w:rsidRPr="00C97DA1">
        <w:rPr>
          <w:rFonts w:ascii="Times New Roman" w:hAnsi="Times New Roman"/>
          <w:szCs w:val="22"/>
          <w:lang w:val="es-ES" w:eastAsia="en-US"/>
        </w:rPr>
        <w:t>Sexto. Otros datos - El proceso de concesión será en régimen de Concurrencia Competitiva.</w:t>
      </w:r>
    </w:p>
    <w:p w14:paraId="02E20051" w14:textId="77777777" w:rsidR="00FB1E1C" w:rsidRPr="00C97DA1" w:rsidRDefault="00FB1E1C" w:rsidP="00C97DA1">
      <w:pPr>
        <w:spacing w:after="0"/>
        <w:jc w:val="both"/>
        <w:rPr>
          <w:rFonts w:ascii="Times New Roman" w:hAnsi="Times New Roman"/>
          <w:szCs w:val="22"/>
          <w:lang w:val="es-ES" w:eastAsia="en-US"/>
        </w:rPr>
      </w:pPr>
    </w:p>
    <w:p w14:paraId="3332D5A1" w14:textId="77777777" w:rsidR="00FB1E1C" w:rsidRPr="00C97DA1" w:rsidRDefault="00FB1E1C" w:rsidP="00C97DA1">
      <w:pPr>
        <w:spacing w:after="0"/>
        <w:jc w:val="both"/>
        <w:rPr>
          <w:rFonts w:ascii="Times New Roman" w:hAnsi="Times New Roman"/>
          <w:szCs w:val="22"/>
          <w:lang w:val="es-ES" w:eastAsia="en-US"/>
        </w:rPr>
      </w:pPr>
    </w:p>
    <w:p w14:paraId="403A4FCA" w14:textId="77777777" w:rsidR="00FB1E1C" w:rsidRPr="00C97DA1" w:rsidRDefault="00FB1E1C" w:rsidP="00C97DA1">
      <w:pPr>
        <w:spacing w:after="0" w:line="240" w:lineRule="auto"/>
        <w:jc w:val="both"/>
        <w:rPr>
          <w:rFonts w:ascii="Times New Roman" w:eastAsia="Times New Roman" w:hAnsi="Times New Roman"/>
          <w:szCs w:val="22"/>
          <w:lang w:val="es-ES" w:eastAsia="es-ES"/>
        </w:rPr>
      </w:pPr>
      <w:r w:rsidRPr="00C97DA1">
        <w:rPr>
          <w:rFonts w:ascii="Times New Roman" w:eastAsia="Times New Roman" w:hAnsi="Times New Roman"/>
          <w:szCs w:val="22"/>
          <w:lang w:val="es-ES" w:eastAsia="es-ES"/>
        </w:rPr>
        <w:t>Documento firmado electrónicamente con Código Seguro de Verificación (CSV)</w:t>
      </w:r>
    </w:p>
    <w:p w14:paraId="1813E21C" w14:textId="77777777" w:rsidR="00FB1E1C" w:rsidRPr="00C97DA1" w:rsidRDefault="00FB1E1C" w:rsidP="00C97DA1">
      <w:pPr>
        <w:spacing w:after="0" w:line="240" w:lineRule="auto"/>
        <w:jc w:val="center"/>
        <w:rPr>
          <w:rFonts w:ascii="Times New Roman" w:eastAsia="Times New Roman" w:hAnsi="Times New Roman"/>
          <w:szCs w:val="22"/>
          <w:lang w:val="es-ES" w:eastAsia="es-ES"/>
        </w:rPr>
      </w:pPr>
      <w:r w:rsidRPr="00C97DA1">
        <w:rPr>
          <w:rFonts w:ascii="Times New Roman" w:eastAsia="Times New Roman" w:hAnsi="Times New Roman"/>
          <w:szCs w:val="22"/>
          <w:lang w:val="es-ES" w:eastAsia="es-ES"/>
        </w:rPr>
        <w:t>Ver fecha y firma al margen</w:t>
      </w:r>
    </w:p>
    <w:p w14:paraId="5FE9DE15" w14:textId="77777777" w:rsidR="009A3321" w:rsidRDefault="009A3321" w:rsidP="00C97DA1">
      <w:pPr>
        <w:spacing w:after="0"/>
        <w:jc w:val="center"/>
        <w:rPr>
          <w:rFonts w:ascii="Arial" w:eastAsia="Arial" w:hAnsi="Arial"/>
          <w:sz w:val="20"/>
        </w:rPr>
      </w:pPr>
    </w:p>
    <w:sectPr w:rsidR="009A3321" w:rsidSect="00C97DA1">
      <w:headerReference w:type="default" r:id="rId12"/>
      <w:footerReference w:type="default" r:id="rId13"/>
      <w:pgSz w:w="11906" w:h="16838"/>
      <w:pgMar w:top="336" w:right="1701" w:bottom="1417" w:left="1701" w:header="284" w:footer="5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D9B3B" w14:textId="77777777" w:rsidR="006C7EBA" w:rsidRDefault="006C7EBA">
      <w:pPr>
        <w:spacing w:after="0" w:line="240" w:lineRule="auto"/>
      </w:pPr>
      <w:r>
        <w:separator/>
      </w:r>
    </w:p>
  </w:endnote>
  <w:endnote w:type="continuationSeparator" w:id="0">
    <w:p w14:paraId="556A3C8D" w14:textId="77777777" w:rsidR="006C7EBA" w:rsidRDefault="006C7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177677"/>
      <w:docPartObj>
        <w:docPartGallery w:val="Page Numbers (Bottom of Page)"/>
        <w:docPartUnique/>
      </w:docPartObj>
    </w:sdtPr>
    <w:sdtEndPr/>
    <w:sdtContent>
      <w:p w14:paraId="6815E50C" w14:textId="5E1265BF" w:rsidR="00C97DA1" w:rsidRDefault="00C97DA1">
        <w:pPr>
          <w:pStyle w:val="Piedepgina"/>
          <w:jc w:val="right"/>
        </w:pPr>
        <w:r>
          <w:fldChar w:fldCharType="begin"/>
        </w:r>
        <w:r>
          <w:instrText>PAGE   \* MERGEFORMAT</w:instrText>
        </w:r>
        <w:r>
          <w:fldChar w:fldCharType="separate"/>
        </w:r>
        <w:r>
          <w:rPr>
            <w:lang w:val="es-ES"/>
          </w:rPr>
          <w:t>2</w:t>
        </w:r>
        <w:r>
          <w:fldChar w:fldCharType="end"/>
        </w:r>
      </w:p>
    </w:sdtContent>
  </w:sdt>
  <w:p w14:paraId="080D483C" w14:textId="77777777" w:rsidR="009A3321" w:rsidRDefault="009A3321">
    <w:pPr>
      <w:pStyle w:val="Piedepgina1"/>
      <w:jc w:val="center"/>
      <w:rPr>
        <w:rFonts w:ascii="Arial" w:eastAsia="Arial" w:hAnsi="Arial"/>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9C23E" w14:textId="77777777" w:rsidR="006C7EBA" w:rsidRDefault="006C7EBA">
      <w:pPr>
        <w:spacing w:after="0" w:line="240" w:lineRule="auto"/>
      </w:pPr>
      <w:r>
        <w:separator/>
      </w:r>
    </w:p>
  </w:footnote>
  <w:footnote w:type="continuationSeparator" w:id="0">
    <w:p w14:paraId="5027E61B" w14:textId="77777777" w:rsidR="006C7EBA" w:rsidRDefault="006C7E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6740E" w14:textId="77777777" w:rsidR="006E643D" w:rsidRDefault="00352B88" w:rsidP="00B06112">
    <w:pPr>
      <w:pStyle w:val="Encabezado"/>
      <w:ind w:left="-851"/>
    </w:pPr>
    <w:r>
      <w:rPr>
        <w:noProof/>
      </w:rPr>
      <w:drawing>
        <wp:inline distT="0" distB="0" distL="0" distR="0" wp14:anchorId="219EF11E" wp14:editId="6994C267">
          <wp:extent cx="6605905" cy="1294765"/>
          <wp:effectExtent l="0" t="0" r="0" b="0"/>
          <wp:docPr id="1578569238" name="Imagen 1578569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5905" cy="129476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134"/>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EBA"/>
    <w:rsid w:val="000469C6"/>
    <w:rsid w:val="0005750D"/>
    <w:rsid w:val="001F0D0F"/>
    <w:rsid w:val="00220AA2"/>
    <w:rsid w:val="003421FF"/>
    <w:rsid w:val="00352B88"/>
    <w:rsid w:val="00530B6B"/>
    <w:rsid w:val="006610F6"/>
    <w:rsid w:val="006957F4"/>
    <w:rsid w:val="00695C03"/>
    <w:rsid w:val="006C7EBA"/>
    <w:rsid w:val="006E643D"/>
    <w:rsid w:val="00890323"/>
    <w:rsid w:val="0095369B"/>
    <w:rsid w:val="009A3321"/>
    <w:rsid w:val="00A05B88"/>
    <w:rsid w:val="00A6471B"/>
    <w:rsid w:val="00B06112"/>
    <w:rsid w:val="00B07751"/>
    <w:rsid w:val="00B563E8"/>
    <w:rsid w:val="00C97DA1"/>
    <w:rsid w:val="00CA7FD8"/>
    <w:rsid w:val="00D27E7D"/>
    <w:rsid w:val="00EF7A4A"/>
    <w:rsid w:val="00F536B5"/>
    <w:rsid w:val="00FB1E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39F77D"/>
  <w15:chartTrackingRefBased/>
  <w15:docId w15:val="{33882BDD-2767-4093-A420-10E7F74DB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15"/>
    <w:uiPriority w:val="99"/>
    <w:unhideWhenUsed/>
    <w:rsid w:val="00530B6B"/>
    <w:pPr>
      <w:tabs>
        <w:tab w:val="center" w:pos="4252"/>
        <w:tab w:val="right" w:pos="8504"/>
      </w:tabs>
    </w:pPr>
  </w:style>
  <w:style w:type="paragraph" w:customStyle="1" w:styleId="Normal0">
    <w:name w:val="[Normal]"/>
    <w:rPr>
      <w:rFonts w:ascii="Arial" w:eastAsia="Arial" w:hAnsi="Arial"/>
      <w:sz w:val="24"/>
      <w:lang w:val="es-ES_tradnl" w:eastAsia="es-ES_tradnl"/>
    </w:rPr>
  </w:style>
  <w:style w:type="paragraph" w:customStyle="1" w:styleId="Encabezado12">
    <w:name w:val="Encabezado12"/>
    <w:basedOn w:val="Normal"/>
    <w:pPr>
      <w:tabs>
        <w:tab w:val="center" w:pos="4252"/>
        <w:tab w:val="right" w:pos="8504"/>
      </w:tabs>
    </w:pPr>
  </w:style>
  <w:style w:type="paragraph" w:customStyle="1" w:styleId="Piedepgina1">
    <w:name w:val="Pie de página1"/>
    <w:basedOn w:val="Normal"/>
    <w:pPr>
      <w:tabs>
        <w:tab w:val="center" w:pos="4252"/>
        <w:tab w:val="right" w:pos="8504"/>
      </w:tabs>
    </w:pPr>
  </w:style>
  <w:style w:type="paragraph" w:customStyle="1" w:styleId="Encabezamiento">
    <w:name w:val="Encabezamiento"/>
    <w:basedOn w:val="Normal"/>
    <w:pPr>
      <w:tabs>
        <w:tab w:val="center" w:pos="4252"/>
        <w:tab w:val="right" w:pos="8504"/>
      </w:tabs>
      <w:spacing w:after="0" w:line="240" w:lineRule="atLeast"/>
    </w:pPr>
    <w:rPr>
      <w:rFonts w:ascii="Times New Roman" w:eastAsia="Times New Roman" w:hAnsi="Times New Roman"/>
      <w:sz w:val="20"/>
    </w:rPr>
  </w:style>
  <w:style w:type="paragraph" w:customStyle="1" w:styleId="Encabezado15">
    <w:name w:val="Encabezado15"/>
    <w:basedOn w:val="Normal"/>
    <w:pPr>
      <w:tabs>
        <w:tab w:val="center" w:pos="4252"/>
        <w:tab w:val="right" w:pos="8504"/>
      </w:tabs>
    </w:pPr>
  </w:style>
  <w:style w:type="paragraph" w:customStyle="1" w:styleId="Piedepgina9">
    <w:name w:val="Pie de página9"/>
    <w:basedOn w:val="Normal"/>
    <w:pPr>
      <w:tabs>
        <w:tab w:val="center" w:pos="4252"/>
        <w:tab w:val="right" w:pos="8504"/>
      </w:tabs>
    </w:pPr>
  </w:style>
  <w:style w:type="paragraph" w:customStyle="1" w:styleId="Encabezado14">
    <w:name w:val="Encabezado14"/>
    <w:basedOn w:val="Normal"/>
    <w:pPr>
      <w:tabs>
        <w:tab w:val="center" w:pos="4252"/>
        <w:tab w:val="right" w:pos="8504"/>
      </w:tabs>
    </w:pPr>
  </w:style>
  <w:style w:type="paragraph" w:styleId="Prrafodelista">
    <w:name w:val="List Paragraph"/>
    <w:basedOn w:val="Normal"/>
    <w:qFormat/>
    <w:pPr>
      <w:ind w:left="720"/>
    </w:pPr>
  </w:style>
  <w:style w:type="paragraph" w:customStyle="1" w:styleId="Encabezado13">
    <w:name w:val="Encabezado13"/>
    <w:basedOn w:val="Normal"/>
    <w:pPr>
      <w:tabs>
        <w:tab w:val="center" w:pos="4252"/>
        <w:tab w:val="right" w:pos="8504"/>
      </w:tabs>
    </w:pPr>
  </w:style>
  <w:style w:type="paragraph" w:customStyle="1" w:styleId="Encabezado11">
    <w:name w:val="Encabezado11"/>
    <w:basedOn w:val="Normal"/>
    <w:pPr>
      <w:tabs>
        <w:tab w:val="center" w:pos="4252"/>
        <w:tab w:val="right" w:pos="8504"/>
      </w:tabs>
    </w:pPr>
  </w:style>
  <w:style w:type="paragraph" w:customStyle="1" w:styleId="Encabezado10">
    <w:name w:val="Encabezado10"/>
    <w:basedOn w:val="Normal"/>
    <w:pPr>
      <w:tabs>
        <w:tab w:val="center" w:pos="4252"/>
        <w:tab w:val="right" w:pos="8504"/>
      </w:tabs>
    </w:pPr>
  </w:style>
  <w:style w:type="paragraph" w:customStyle="1" w:styleId="Encabezado1">
    <w:name w:val="Encabezado1"/>
    <w:basedOn w:val="Normal"/>
    <w:pPr>
      <w:tabs>
        <w:tab w:val="center" w:pos="4252"/>
        <w:tab w:val="right" w:pos="8504"/>
      </w:tabs>
      <w:spacing w:after="0" w:line="240" w:lineRule="atLeast"/>
    </w:pPr>
    <w:rPr>
      <w:rFonts w:ascii="Times New Roman" w:eastAsia="Times New Roman" w:hAnsi="Times New Roman"/>
      <w:sz w:val="20"/>
    </w:rPr>
  </w:style>
  <w:style w:type="paragraph" w:customStyle="1" w:styleId="Encabezado8">
    <w:name w:val="Encabezado8"/>
    <w:basedOn w:val="Normal"/>
    <w:pPr>
      <w:tabs>
        <w:tab w:val="center" w:pos="4252"/>
        <w:tab w:val="right" w:pos="8504"/>
      </w:tabs>
    </w:pPr>
  </w:style>
  <w:style w:type="paragraph" w:customStyle="1" w:styleId="Encabezado7">
    <w:name w:val="Encabezado7"/>
    <w:basedOn w:val="Normal"/>
    <w:pPr>
      <w:tabs>
        <w:tab w:val="center" w:pos="4252"/>
        <w:tab w:val="right" w:pos="8504"/>
      </w:tabs>
    </w:pPr>
  </w:style>
  <w:style w:type="paragraph" w:customStyle="1" w:styleId="Piedepgina4">
    <w:name w:val="Pie de página4"/>
    <w:basedOn w:val="Normal"/>
    <w:pPr>
      <w:tabs>
        <w:tab w:val="center" w:pos="4252"/>
        <w:tab w:val="right" w:pos="8504"/>
      </w:tabs>
    </w:pPr>
  </w:style>
  <w:style w:type="paragraph" w:customStyle="1" w:styleId="Encabezado6">
    <w:name w:val="Encabezado6"/>
    <w:basedOn w:val="Normal"/>
    <w:pPr>
      <w:tabs>
        <w:tab w:val="center" w:pos="4252"/>
        <w:tab w:val="right" w:pos="8504"/>
      </w:tabs>
    </w:pPr>
  </w:style>
  <w:style w:type="paragraph" w:customStyle="1" w:styleId="Encabezado5">
    <w:name w:val="Encabezado5"/>
    <w:basedOn w:val="Normal"/>
    <w:pPr>
      <w:tabs>
        <w:tab w:val="center" w:pos="4252"/>
        <w:tab w:val="right" w:pos="8504"/>
      </w:tabs>
    </w:pPr>
  </w:style>
  <w:style w:type="paragraph" w:customStyle="1" w:styleId="Encabezado4">
    <w:name w:val="Encabezado4"/>
    <w:basedOn w:val="Normal"/>
    <w:pPr>
      <w:tabs>
        <w:tab w:val="center" w:pos="4252"/>
        <w:tab w:val="right" w:pos="8504"/>
      </w:tabs>
    </w:pPr>
  </w:style>
  <w:style w:type="paragraph" w:customStyle="1" w:styleId="Encabezado3">
    <w:name w:val="Encabezado3"/>
    <w:basedOn w:val="Normal"/>
    <w:pPr>
      <w:tabs>
        <w:tab w:val="center" w:pos="4252"/>
        <w:tab w:val="right" w:pos="8504"/>
      </w:tabs>
    </w:pPr>
  </w:style>
  <w:style w:type="paragraph" w:customStyle="1" w:styleId="Encabezado2">
    <w:name w:val="Encabezado2"/>
    <w:basedOn w:val="Normal"/>
    <w:pPr>
      <w:tabs>
        <w:tab w:val="center" w:pos="4252"/>
        <w:tab w:val="right" w:pos="8504"/>
      </w:tabs>
    </w:pPr>
  </w:style>
  <w:style w:type="paragraph" w:styleId="Textodeglobo">
    <w:name w:val="Balloon Text"/>
    <w:basedOn w:val="Normal"/>
    <w:pPr>
      <w:spacing w:after="0" w:line="240" w:lineRule="atLeast"/>
    </w:pPr>
    <w:rPr>
      <w:rFonts w:ascii="Tahoma" w:eastAsia="Tahoma" w:hAnsi="Tahoma"/>
      <w:sz w:val="16"/>
    </w:rPr>
  </w:style>
  <w:style w:type="paragraph" w:customStyle="1" w:styleId="Piedepgina2">
    <w:name w:val="Pie de página2"/>
    <w:basedOn w:val="Normal"/>
    <w:pPr>
      <w:tabs>
        <w:tab w:val="center" w:pos="4252"/>
        <w:tab w:val="right" w:pos="8504"/>
      </w:tabs>
    </w:pPr>
  </w:style>
  <w:style w:type="paragraph" w:customStyle="1" w:styleId="Piedepgina3">
    <w:name w:val="Pie de página3"/>
    <w:basedOn w:val="Normal"/>
    <w:pPr>
      <w:tabs>
        <w:tab w:val="center" w:pos="4252"/>
        <w:tab w:val="right" w:pos="8504"/>
      </w:tabs>
    </w:pPr>
  </w:style>
  <w:style w:type="paragraph" w:customStyle="1" w:styleId="Piedepgina5">
    <w:name w:val="Pie de página5"/>
    <w:basedOn w:val="Normal"/>
    <w:pPr>
      <w:tabs>
        <w:tab w:val="center" w:pos="4252"/>
        <w:tab w:val="right" w:pos="8504"/>
      </w:tabs>
    </w:pPr>
  </w:style>
  <w:style w:type="paragraph" w:customStyle="1" w:styleId="Piedepgina6">
    <w:name w:val="Pie de página6"/>
    <w:basedOn w:val="Normal"/>
    <w:pPr>
      <w:tabs>
        <w:tab w:val="center" w:pos="4252"/>
        <w:tab w:val="right" w:pos="8504"/>
      </w:tabs>
    </w:pPr>
  </w:style>
  <w:style w:type="paragraph" w:customStyle="1" w:styleId="Piedepgina7">
    <w:name w:val="Pie de página7"/>
    <w:basedOn w:val="Normal"/>
    <w:pPr>
      <w:tabs>
        <w:tab w:val="center" w:pos="4252"/>
        <w:tab w:val="right" w:pos="8504"/>
      </w:tabs>
    </w:pPr>
  </w:style>
  <w:style w:type="paragraph" w:customStyle="1" w:styleId="Piedepgina8">
    <w:name w:val="Pie de página8"/>
    <w:basedOn w:val="Normal"/>
    <w:pPr>
      <w:tabs>
        <w:tab w:val="center" w:pos="4252"/>
        <w:tab w:val="right" w:pos="8504"/>
      </w:tabs>
    </w:pPr>
  </w:style>
  <w:style w:type="paragraph" w:customStyle="1" w:styleId="Encabezado9">
    <w:name w:val="Encabezado9"/>
    <w:basedOn w:val="Normal"/>
    <w:pPr>
      <w:tabs>
        <w:tab w:val="center" w:pos="4252"/>
        <w:tab w:val="right" w:pos="8504"/>
      </w:tabs>
    </w:pPr>
  </w:style>
  <w:style w:type="paragraph" w:customStyle="1" w:styleId="Piedepgina10">
    <w:name w:val="Pie de página10"/>
    <w:basedOn w:val="Normal"/>
    <w:pPr>
      <w:tabs>
        <w:tab w:val="center" w:pos="4252"/>
        <w:tab w:val="right" w:pos="8504"/>
      </w:tabs>
    </w:pPr>
  </w:style>
  <w:style w:type="paragraph" w:customStyle="1" w:styleId="Piedepgina11">
    <w:name w:val="Pie de página11"/>
    <w:basedOn w:val="Normal"/>
    <w:pPr>
      <w:tabs>
        <w:tab w:val="center" w:pos="4252"/>
        <w:tab w:val="right" w:pos="8504"/>
      </w:tabs>
    </w:pPr>
  </w:style>
  <w:style w:type="paragraph" w:customStyle="1" w:styleId="Piedepgina12">
    <w:name w:val="Pie de página12"/>
    <w:basedOn w:val="Normal"/>
    <w:pPr>
      <w:tabs>
        <w:tab w:val="center" w:pos="4252"/>
        <w:tab w:val="right" w:pos="8504"/>
      </w:tabs>
    </w:pPr>
  </w:style>
  <w:style w:type="paragraph" w:customStyle="1" w:styleId="Piedepgina13">
    <w:name w:val="Pie de página13"/>
    <w:basedOn w:val="Normal"/>
    <w:pPr>
      <w:tabs>
        <w:tab w:val="center" w:pos="4252"/>
        <w:tab w:val="right" w:pos="8504"/>
      </w:tabs>
    </w:pPr>
  </w:style>
  <w:style w:type="paragraph" w:customStyle="1" w:styleId="Piedepgina14">
    <w:name w:val="Pie de página14"/>
    <w:basedOn w:val="Normal"/>
    <w:pPr>
      <w:tabs>
        <w:tab w:val="center" w:pos="4252"/>
        <w:tab w:val="right" w:pos="8504"/>
      </w:tabs>
    </w:pPr>
  </w:style>
  <w:style w:type="paragraph" w:customStyle="1" w:styleId="Piedepgina15">
    <w:name w:val="Pie de página15"/>
    <w:basedOn w:val="Normal"/>
    <w:pPr>
      <w:tabs>
        <w:tab w:val="center" w:pos="4252"/>
        <w:tab w:val="right" w:pos="8504"/>
      </w:tabs>
    </w:pPr>
  </w:style>
  <w:style w:type="character" w:customStyle="1" w:styleId="Internetlink">
    <w:name w:val="Internet link"/>
    <w:rPr>
      <w:color w:val="0000FF"/>
      <w:u w:val="single"/>
    </w:rPr>
  </w:style>
  <w:style w:type="character" w:customStyle="1" w:styleId="EnlacedeInternet">
    <w:name w:val="Enlace de Internet"/>
    <w:rPr>
      <w:color w:val="0000FF"/>
      <w:u w:val="single"/>
    </w:rPr>
  </w:style>
  <w:style w:type="paragraph" w:customStyle="1" w:styleId="Default">
    <w:name w:val="Default"/>
    <w:basedOn w:val="Normal0"/>
    <w:rPr>
      <w:color w:val="000000"/>
    </w:rPr>
  </w:style>
  <w:style w:type="character" w:customStyle="1" w:styleId="EncabezadoCar">
    <w:name w:val="Encabezado Car"/>
    <w:rPr>
      <w:rFonts w:ascii="Times New Roman" w:eastAsia="Times New Roman" w:hAnsi="Times New Roman"/>
    </w:rPr>
  </w:style>
  <w:style w:type="character" w:customStyle="1" w:styleId="PiedepginaCar">
    <w:name w:val="Pie de página Car"/>
    <w:uiPriority w:val="99"/>
    <w:rPr>
      <w:sz w:val="22"/>
    </w:rPr>
  </w:style>
  <w:style w:type="character" w:customStyle="1" w:styleId="TextodegloboCar">
    <w:name w:val="Texto de globo Car"/>
    <w:rPr>
      <w:rFonts w:ascii="Tahoma" w:eastAsia="Tahoma" w:hAnsi="Tahoma"/>
      <w:sz w:val="16"/>
    </w:rPr>
  </w:style>
  <w:style w:type="character" w:customStyle="1" w:styleId="EncabezadoCar1">
    <w:name w:val="Encabezado Car1"/>
    <w:rPr>
      <w:rFonts w:ascii="Calibri" w:eastAsia="Calibri" w:hAnsi="Calibri"/>
      <w:sz w:val="22"/>
    </w:rPr>
  </w:style>
  <w:style w:type="character" w:customStyle="1" w:styleId="PiedepginaCar1">
    <w:name w:val="Pie de página Car1"/>
    <w:rPr>
      <w:rFonts w:ascii="Calibri" w:eastAsia="Calibri" w:hAnsi="Calibri"/>
      <w:sz w:val="22"/>
    </w:rPr>
  </w:style>
  <w:style w:type="character" w:customStyle="1" w:styleId="EncabezadoCar2">
    <w:name w:val="Encabezado Car2"/>
    <w:rPr>
      <w:rFonts w:ascii="Calibri" w:eastAsia="Calibri" w:hAnsi="Calibri"/>
      <w:sz w:val="22"/>
    </w:rPr>
  </w:style>
  <w:style w:type="character" w:customStyle="1" w:styleId="PiedepginaCar2">
    <w:name w:val="Pie de página Car2"/>
    <w:rPr>
      <w:rFonts w:ascii="Calibri" w:eastAsia="Calibri" w:hAnsi="Calibri"/>
      <w:sz w:val="22"/>
    </w:rPr>
  </w:style>
  <w:style w:type="character" w:customStyle="1" w:styleId="EncabezadoCar3">
    <w:name w:val="Encabezado Car3"/>
    <w:rPr>
      <w:rFonts w:ascii="Calibri" w:eastAsia="Calibri" w:hAnsi="Calibri"/>
      <w:sz w:val="22"/>
    </w:rPr>
  </w:style>
  <w:style w:type="character" w:customStyle="1" w:styleId="PiedepginaCar3">
    <w:name w:val="Pie de página Car3"/>
    <w:rPr>
      <w:rFonts w:ascii="Calibri" w:eastAsia="Calibri" w:hAnsi="Calibri"/>
      <w:sz w:val="22"/>
    </w:rPr>
  </w:style>
  <w:style w:type="character" w:customStyle="1" w:styleId="EncabezadoCar4">
    <w:name w:val="Encabezado Car4"/>
    <w:rPr>
      <w:rFonts w:ascii="Calibri" w:eastAsia="Calibri" w:hAnsi="Calibri"/>
      <w:sz w:val="22"/>
    </w:rPr>
  </w:style>
  <w:style w:type="character" w:customStyle="1" w:styleId="PiedepginaCar4">
    <w:name w:val="Pie de página Car4"/>
    <w:rPr>
      <w:rFonts w:ascii="Calibri" w:eastAsia="Calibri" w:hAnsi="Calibri"/>
      <w:sz w:val="22"/>
    </w:rPr>
  </w:style>
  <w:style w:type="character" w:customStyle="1" w:styleId="EncabezadoCar5">
    <w:name w:val="Encabezado Car5"/>
    <w:rPr>
      <w:rFonts w:ascii="Calibri" w:eastAsia="Calibri" w:hAnsi="Calibri"/>
      <w:sz w:val="22"/>
    </w:rPr>
  </w:style>
  <w:style w:type="character" w:customStyle="1" w:styleId="PiedepginaCar5">
    <w:name w:val="Pie de página Car5"/>
    <w:rPr>
      <w:rFonts w:ascii="Calibri" w:eastAsia="Calibri" w:hAnsi="Calibri"/>
      <w:sz w:val="22"/>
    </w:rPr>
  </w:style>
  <w:style w:type="character" w:customStyle="1" w:styleId="EncabezadoCar6">
    <w:name w:val="Encabezado Car6"/>
    <w:rPr>
      <w:rFonts w:ascii="Calibri" w:eastAsia="Calibri" w:hAnsi="Calibri"/>
      <w:sz w:val="22"/>
    </w:rPr>
  </w:style>
  <w:style w:type="character" w:customStyle="1" w:styleId="PiedepginaCar6">
    <w:name w:val="Pie de página Car6"/>
    <w:rPr>
      <w:rFonts w:ascii="Calibri" w:eastAsia="Calibri" w:hAnsi="Calibri"/>
      <w:sz w:val="22"/>
    </w:rPr>
  </w:style>
  <w:style w:type="character" w:customStyle="1" w:styleId="EncabezadoCar7">
    <w:name w:val="Encabezado Car7"/>
    <w:rPr>
      <w:rFonts w:ascii="Calibri" w:eastAsia="Calibri" w:hAnsi="Calibri"/>
      <w:sz w:val="22"/>
    </w:rPr>
  </w:style>
  <w:style w:type="character" w:customStyle="1" w:styleId="PiedepginaCar7">
    <w:name w:val="Pie de página Car7"/>
    <w:rPr>
      <w:rFonts w:ascii="Calibri" w:eastAsia="Calibri" w:hAnsi="Calibri"/>
      <w:sz w:val="22"/>
    </w:rPr>
  </w:style>
  <w:style w:type="character" w:customStyle="1" w:styleId="EncabezadoCar8">
    <w:name w:val="Encabezado Car8"/>
    <w:rPr>
      <w:rFonts w:ascii="Calibri" w:eastAsia="Calibri" w:hAnsi="Calibri"/>
      <w:sz w:val="22"/>
    </w:rPr>
  </w:style>
  <w:style w:type="character" w:customStyle="1" w:styleId="PiedepginaCar8">
    <w:name w:val="Pie de página Car8"/>
    <w:rPr>
      <w:rFonts w:ascii="Calibri" w:eastAsia="Calibri" w:hAnsi="Calibri"/>
      <w:sz w:val="22"/>
    </w:rPr>
  </w:style>
  <w:style w:type="character" w:customStyle="1" w:styleId="EncabezadoCar9">
    <w:name w:val="Encabezado Car9"/>
    <w:rPr>
      <w:rFonts w:ascii="Calibri" w:eastAsia="Calibri" w:hAnsi="Calibri"/>
      <w:sz w:val="22"/>
    </w:rPr>
  </w:style>
  <w:style w:type="character" w:customStyle="1" w:styleId="PiedepginaCar9">
    <w:name w:val="Pie de página Car9"/>
    <w:rPr>
      <w:rFonts w:ascii="Calibri" w:eastAsia="Calibri" w:hAnsi="Calibri"/>
      <w:sz w:val="22"/>
    </w:rPr>
  </w:style>
  <w:style w:type="character" w:customStyle="1" w:styleId="EncabezadoCar10">
    <w:name w:val="Encabezado Car10"/>
    <w:rPr>
      <w:rFonts w:ascii="Calibri" w:eastAsia="Calibri" w:hAnsi="Calibri"/>
      <w:sz w:val="22"/>
    </w:rPr>
  </w:style>
  <w:style w:type="character" w:customStyle="1" w:styleId="PiedepginaCar10">
    <w:name w:val="Pie de página Car10"/>
    <w:rPr>
      <w:rFonts w:ascii="Calibri" w:eastAsia="Calibri" w:hAnsi="Calibri"/>
      <w:sz w:val="22"/>
    </w:rPr>
  </w:style>
  <w:style w:type="character" w:customStyle="1" w:styleId="EncabezadoCar11">
    <w:name w:val="Encabezado Car11"/>
    <w:rPr>
      <w:rFonts w:ascii="Calibri" w:eastAsia="Calibri" w:hAnsi="Calibri"/>
      <w:sz w:val="22"/>
    </w:rPr>
  </w:style>
  <w:style w:type="character" w:customStyle="1" w:styleId="PiedepginaCar11">
    <w:name w:val="Pie de página Car11"/>
    <w:rPr>
      <w:rFonts w:ascii="Calibri" w:eastAsia="Calibri" w:hAnsi="Calibri"/>
      <w:sz w:val="22"/>
    </w:rPr>
  </w:style>
  <w:style w:type="character" w:customStyle="1" w:styleId="EncabezadoCar12">
    <w:name w:val="Encabezado Car12"/>
    <w:rPr>
      <w:rFonts w:ascii="Calibri" w:eastAsia="Calibri" w:hAnsi="Calibri"/>
      <w:sz w:val="22"/>
    </w:rPr>
  </w:style>
  <w:style w:type="character" w:customStyle="1" w:styleId="PiedepginaCar12">
    <w:name w:val="Pie de página Car12"/>
    <w:rPr>
      <w:rFonts w:ascii="Calibri" w:eastAsia="Calibri" w:hAnsi="Calibri"/>
      <w:sz w:val="22"/>
    </w:rPr>
  </w:style>
  <w:style w:type="character" w:customStyle="1" w:styleId="EncabezadoCar13">
    <w:name w:val="Encabezado Car13"/>
    <w:rPr>
      <w:rFonts w:ascii="Calibri" w:eastAsia="Calibri" w:hAnsi="Calibri"/>
      <w:sz w:val="22"/>
    </w:rPr>
  </w:style>
  <w:style w:type="character" w:customStyle="1" w:styleId="PiedepginaCar13">
    <w:name w:val="Pie de página Car13"/>
    <w:rPr>
      <w:rFonts w:ascii="Calibri" w:eastAsia="Calibri" w:hAnsi="Calibri"/>
      <w:sz w:val="22"/>
    </w:rPr>
  </w:style>
  <w:style w:type="character" w:customStyle="1" w:styleId="EncabezadoCar14">
    <w:name w:val="Encabezado Car14"/>
    <w:rPr>
      <w:rFonts w:ascii="Calibri" w:eastAsia="Calibri" w:hAnsi="Calibri"/>
      <w:sz w:val="22"/>
    </w:rPr>
  </w:style>
  <w:style w:type="character" w:customStyle="1" w:styleId="PiedepginaCar14">
    <w:name w:val="Pie de página Car14"/>
    <w:rPr>
      <w:rFonts w:ascii="Calibri" w:eastAsia="Calibri" w:hAnsi="Calibri"/>
      <w:sz w:val="22"/>
    </w:rPr>
  </w:style>
  <w:style w:type="character" w:customStyle="1" w:styleId="EncabezadoCar15">
    <w:name w:val="Encabezado Car15"/>
    <w:link w:val="Encabezado"/>
    <w:uiPriority w:val="99"/>
    <w:rsid w:val="00530B6B"/>
    <w:rPr>
      <w:rFonts w:ascii="Calibri" w:eastAsia="Calibri" w:hAnsi="Calibri"/>
      <w:sz w:val="22"/>
      <w:lang w:val="es-ES_tradnl" w:eastAsia="es-ES_tradnl"/>
    </w:rPr>
  </w:style>
  <w:style w:type="paragraph" w:styleId="Piedepgina">
    <w:name w:val="footer"/>
    <w:basedOn w:val="Normal"/>
    <w:link w:val="PiedepginaCar15"/>
    <w:uiPriority w:val="99"/>
    <w:unhideWhenUsed/>
    <w:rsid w:val="00530B6B"/>
    <w:pPr>
      <w:tabs>
        <w:tab w:val="center" w:pos="4252"/>
        <w:tab w:val="right" w:pos="8504"/>
      </w:tabs>
    </w:pPr>
  </w:style>
  <w:style w:type="character" w:customStyle="1" w:styleId="PiedepginaCar15">
    <w:name w:val="Pie de página Car15"/>
    <w:link w:val="Piedepgina"/>
    <w:uiPriority w:val="99"/>
    <w:rsid w:val="00530B6B"/>
    <w:rPr>
      <w:rFonts w:ascii="Calibri" w:eastAsia="Calibri" w:hAnsi="Calibri"/>
      <w:sz w:val="22"/>
      <w:lang w:val="es-ES_tradnl" w:eastAsia="es-ES_tradnl"/>
    </w:rPr>
  </w:style>
  <w:style w:type="character" w:styleId="Hipervnculo">
    <w:name w:val="Hyperlink"/>
    <w:basedOn w:val="Fuentedeprrafopredeter"/>
    <w:uiPriority w:val="99"/>
    <w:semiHidden/>
    <w:unhideWhenUsed/>
    <w:rsid w:val="00CA7FD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353972">
      <w:bodyDiv w:val="1"/>
      <w:marLeft w:val="0"/>
      <w:marRight w:val="0"/>
      <w:marTop w:val="0"/>
      <w:marBottom w:val="0"/>
      <w:divBdr>
        <w:top w:val="none" w:sz="0" w:space="0" w:color="auto"/>
        <w:left w:val="none" w:sz="0" w:space="0" w:color="auto"/>
        <w:bottom w:val="none" w:sz="0" w:space="0" w:color="auto"/>
        <w:right w:val="none" w:sz="0" w:space="0" w:color="auto"/>
      </w:divBdr>
    </w:div>
    <w:div w:id="172205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ocm.es/boletin/CM_Orden_BOCM/2022/10/06/BOCM-20221006-77.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ayto-torrejon.es/sites/default/files/Certificado%20JGL%2016_10_2023%20punto%208%20Bienestar%20Social%20Campa%C3%B1a%20Juguetes%20para%20Todos.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respoc\AppData\Local\Temp\MicrosoftEdgeDownloads\8da981a0-6d1f-4ed7-8789-c95a14d0f412\FOLIO%20B_N%20AYTO%202023_0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90E9C9733F7C442B4C0AF62EAB086BD" ma:contentTypeVersion="0" ma:contentTypeDescription="Crear nuevo documento." ma:contentTypeScope="" ma:versionID="8c9742230ca7a7a19abb64cc8b70c3eb">
  <xsd:schema xmlns:xsd="http://www.w3.org/2001/XMLSchema" xmlns:p="http://schemas.microsoft.com/office/2006/metadata/properties" targetNamespace="http://schemas.microsoft.com/office/2006/metadata/properties" ma:root="true" ma:fieldsID="b004d877ca112f136821ba8115f6472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7E431-2665-4188-864F-D2D90D6834E1}">
  <ds:schemaRefs>
    <ds:schemaRef ds:uri="http://schemas.microsoft.com/office/2006/metadata/properties"/>
  </ds:schemaRefs>
</ds:datastoreItem>
</file>

<file path=customXml/itemProps2.xml><?xml version="1.0" encoding="utf-8"?>
<ds:datastoreItem xmlns:ds="http://schemas.openxmlformats.org/officeDocument/2006/customXml" ds:itemID="{32476A92-E9C7-49FB-86B8-D5C470FE6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5110F377-D53F-4280-8E66-4BDD41053B70}">
  <ds:schemaRefs>
    <ds:schemaRef ds:uri="http://schemas.microsoft.com/sharepoint/v3/contenttype/forms"/>
  </ds:schemaRefs>
</ds:datastoreItem>
</file>

<file path=customXml/itemProps4.xml><?xml version="1.0" encoding="utf-8"?>
<ds:datastoreItem xmlns:ds="http://schemas.openxmlformats.org/officeDocument/2006/customXml" ds:itemID="{9D33FD34-B35B-4447-A05D-295E3BBC5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FOLIO B_N AYTO 2023_09</Template>
  <TotalTime>96</TotalTime>
  <Pages>2</Pages>
  <Words>730</Words>
  <Characters>4322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Ayto. Torrejon de Ardoz</Company>
  <LinksUpToDate>false</LinksUpToDate>
  <CharactersWithSpaces>5042</CharactersWithSpaces>
  <SharedDoc>false</SharedDoc>
  <HyperlinkBase>C:\Users\MIGUEL~1.HER\AppData\Local\Temp\</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Crespo Iglesias</dc:creator>
  <cp:keywords/>
  <cp:lastModifiedBy>Sonia Díez Barriga</cp:lastModifiedBy>
  <cp:revision>12</cp:revision>
  <cp:lastPrinted>2023-09-14T07:20:00Z</cp:lastPrinted>
  <dcterms:created xsi:type="dcterms:W3CDTF">2023-10-18T06:57:00Z</dcterms:created>
  <dcterms:modified xsi:type="dcterms:W3CDTF">2023-10-18T10:29:00Z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0x010100090E9C9733F7C442B4C0AF62EAB086BD</vt:lpwstr>
  </property>
</Properties>
</file>