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bidi w:val="0"/>
        <w:spacing w:before="0" w:after="120"/>
        <w:jc w:val="start"/>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start"/>
        <w:rPr>
          <w:rFonts w:ascii="Liberation Serif;Times New Roman" w:hAnsi="Liberation Serif;Times New Roman" w:cs="Liberation Serif;Times New Roman"/>
          <w:b/>
          <w:b/>
          <w:sz w:val="24"/>
          <w:szCs w:val="24"/>
        </w:rPr>
      </w:pPr>
      <w:r>
        <w:rPr>
          <w:rFonts w:cs="Liberation Serif;Times New Roman" w:ascii="Liberation Serif;Times New Roman" w:hAnsi="Liberation Serif;Times New Roman"/>
          <w:b/>
          <w:sz w:val="24"/>
          <w:szCs w:val="24"/>
        </w:rPr>
        <w:t xml:space="preserve">Exp. 1185/2026 </w:t>
      </w:r>
    </w:p>
    <w:p>
      <w:pPr>
        <w:pStyle w:val="Default"/>
        <w:bidi w:val="0"/>
        <w:jc w:val="start"/>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start"/>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CONVENIO ENTRE EL AYUNTAMIENTO DE GATA DE GORGOS y </w:t>
      </w:r>
    </w:p>
    <w:p>
      <w:pPr>
        <w:pStyle w:val="Default"/>
        <w:bidi w:val="0"/>
        <w:jc w:val="start"/>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LA ASOCIACIÓN APROSDECO 202</w:t>
      </w:r>
      <w:r>
        <w:rPr>
          <w:rFonts w:eastAsia="NSimSun" w:cs="Liberation Serif;Times New Roman" w:ascii="Liberation Serif;Times New Roman" w:hAnsi="Liberation Serif;Times New Roman"/>
          <w:b/>
          <w:strike w:val="false"/>
          <w:dstrike w:val="false"/>
          <w:color w:val="000000"/>
          <w:sz w:val="24"/>
          <w:szCs w:val="24"/>
          <w:u w:val="none"/>
          <w:lang w:val="es-ES" w:eastAsia="zh-CN" w:bidi="hi-IN"/>
        </w:rPr>
        <w:t>6</w:t>
      </w:r>
      <w:r>
        <w:rPr>
          <w:rFonts w:cs="Liberation Serif;Times New Roman" w:ascii="Liberation Serif;Times New Roman" w:hAnsi="Liberation Serif;Times New Roman"/>
          <w:b/>
          <w:strike w:val="false"/>
          <w:dstrike w:val="false"/>
          <w:sz w:val="24"/>
          <w:szCs w:val="24"/>
          <w:u w:val="none"/>
        </w:rPr>
        <w:t xml:space="preserve"> </w:t>
      </w:r>
    </w:p>
    <w:p>
      <w:pPr>
        <w:pStyle w:val="Default"/>
        <w:bidi w:val="0"/>
        <w:jc w:val="start"/>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REUNIDOS: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El Sr. Antonio José Signes Costa, Alcalde del Ayuntamiento de Gata de Gorgos con CIF P0307100H en nombre y representación de este.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Y el Sr. Juan Cardona Peretó, en representación de la Asociación APROSDECO con CIF G03044989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EXPONEN: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I) Que el Ayuntamiento considera que la labor que realizan las asociaciones para la integración de las personas con diversidad funcional en general es de interés público y social, y para apoyar las actividades que lleva a cabo la Asociación APROSDECO en particular (gestión del Centro Ocupacional y Centro de día «La Xara»), hay que subvencionarlas.</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II) Que la Ley Reguladora de las Bases de Régimen Local, posibilita en su artículo 25, las funciones de promoción y estímulo de actividades de interés local.</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III) Las ayudas económicas y las subvenciones forman parte de la actividad de fomento que la Administración Local puede hacer uso con el fin de promover y apoyar actividades de interés público que cooperan a la satisfacción de necesidades o intereses propios de la comunidad vecinal local. Es en definitiva, una medida de carácter económico tendente al hecho que sean los propios ciudadanos de la comunidad local, de forma individual o asociada, quien libremente colaboran con el cumplimiento de finalidades colectivas convenientes y deseables y no disponen de los recursos suficientes para llevar a cabo la actividad que se trate.</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IV) Que en el Plan General de Subvenciones del Ayuntamiento para el 2026 consta una subvención nominativa para la Asociación APROSDECO.</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pPr>
      <w:r>
        <w:rPr>
          <w:rFonts w:cs="Liberation Serif;Times New Roman" w:ascii="Liberation Serif;Times New Roman" w:hAnsi="Liberation Serif;Times New Roman"/>
          <w:b w:val="false"/>
          <w:strike w:val="false"/>
          <w:dstrike w:val="false"/>
          <w:sz w:val="24"/>
          <w:szCs w:val="24"/>
          <w:u w:val="none"/>
        </w:rPr>
        <w:t>V) Que en el Presupuesto municipal del 2026 consta la Partida Presupuestaria 01 231 48006 por un importe d</w:t>
      </w:r>
      <w:r>
        <w:rPr>
          <w:rFonts w:cs="Liberation Serif;Times New Roman" w:ascii="Liberation Serif;Times New Roman" w:hAnsi="Liberation Serif;Times New Roman"/>
          <w:b w:val="false"/>
          <w:strike w:val="false"/>
          <w:dstrike w:val="false"/>
          <w:sz w:val="24"/>
          <w:szCs w:val="24"/>
          <w:u w:val="none"/>
          <w:shd w:fill="auto" w:val="clear"/>
        </w:rPr>
        <w:t>e 2.000,00 €, contemplando la concesión de la presente subvención de forma directa.</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VI) La procedencia de esta subvención también se fundamenta en el ejercicio de la competencia propia de los municipios prevista en el artículo 25.2 e) de la LRBRL 7/1985 consistente en la atención inmediata a personas en situación o riesgo de exclusión social y l) promoción de la ocupación del tiempo libre. </w:t>
      </w:r>
      <w:r>
        <w:br w:type="page"/>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VII) Que a efectos de establecer las condiciones generales de la intervención de cada una de las instituciones actuantes para conseguir el fin que se persigue, se subscribe el presente CONVENIO y conforme a las siguientes:</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CLÁUSULAS </w:t>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PRIMERA.- Objeto del convenio.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El presente convenio tiene por objeto otorgar una subvención a la Asociación APROSDECO, para apoyarle económico para el transporte en el Centro Ocupacional y Centro de Día «La Xara» de l</w:t>
      </w:r>
      <w:r>
        <w:rPr>
          <w:rFonts w:eastAsia="NSimSun" w:cs="Liberation Serif;Times New Roman" w:ascii="Liberation Serif;Times New Roman" w:hAnsi="Liberation Serif;Times New Roman"/>
          <w:b w:val="false"/>
          <w:strike w:val="false"/>
          <w:dstrike w:val="false"/>
          <w:color w:val="000000"/>
          <w:sz w:val="24"/>
          <w:szCs w:val="24"/>
          <w:u w:val="none"/>
          <w:lang w:val="es-ES" w:eastAsia="zh-CN" w:bidi="hi-IN"/>
        </w:rPr>
        <w:t>a</w:t>
      </w:r>
      <w:r>
        <w:rPr>
          <w:rFonts w:cs="Liberation Serif;Times New Roman" w:ascii="Liberation Serif;Times New Roman" w:hAnsi="Liberation Serif;Times New Roman"/>
          <w:b w:val="false"/>
          <w:strike w:val="false"/>
          <w:dstrike w:val="false"/>
          <w:sz w:val="24"/>
          <w:szCs w:val="24"/>
          <w:u w:val="none"/>
        </w:rPr>
        <w:t xml:space="preserve">s </w:t>
      </w:r>
      <w:r>
        <w:rPr>
          <w:rFonts w:cs="Liberation Serif;Times New Roman" w:ascii="Liberation Serif;Times New Roman" w:hAnsi="Liberation Serif;Times New Roman"/>
          <w:b w:val="false"/>
          <w:strike w:val="false"/>
          <w:dstrike w:val="false"/>
          <w:sz w:val="24"/>
          <w:szCs w:val="24"/>
          <w:u w:val="none"/>
        </w:rPr>
        <w:t>personas</w:t>
      </w:r>
      <w:r>
        <w:rPr>
          <w:rFonts w:cs="Liberation Serif;Times New Roman" w:ascii="Liberation Serif;Times New Roman" w:hAnsi="Liberation Serif;Times New Roman"/>
          <w:b w:val="false"/>
          <w:strike w:val="false"/>
          <w:dstrike w:val="false"/>
          <w:sz w:val="24"/>
          <w:szCs w:val="24"/>
          <w:u w:val="none"/>
        </w:rPr>
        <w:t xml:space="preserve"> usuari</w:t>
      </w:r>
      <w:r>
        <w:rPr>
          <w:rFonts w:eastAsia="NSimSun" w:cs="Liberation Serif;Times New Roman" w:ascii="Liberation Serif;Times New Roman" w:hAnsi="Liberation Serif;Times New Roman"/>
          <w:b w:val="false"/>
          <w:strike w:val="false"/>
          <w:dstrike w:val="false"/>
          <w:color w:val="000000"/>
          <w:sz w:val="24"/>
          <w:szCs w:val="24"/>
          <w:u w:val="none"/>
          <w:lang w:val="es-ES" w:eastAsia="zh-CN" w:bidi="hi-IN"/>
        </w:rPr>
        <w:t>a</w:t>
      </w:r>
      <w:r>
        <w:rPr>
          <w:rFonts w:cs="Liberation Serif;Times New Roman" w:ascii="Liberation Serif;Times New Roman" w:hAnsi="Liberation Serif;Times New Roman"/>
          <w:b w:val="false"/>
          <w:strike w:val="false"/>
          <w:dstrike w:val="false"/>
          <w:sz w:val="24"/>
          <w:szCs w:val="24"/>
          <w:u w:val="none"/>
        </w:rPr>
        <w:t xml:space="preserve">s de Gata de Gorgos.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SEGUNDA.- Beneficiario.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El beneficiario de la subvención es la Asociación APROSDECO, con CIF G03044989. Según la documentación obrando en el expediente, el beneficiario no concurre en ninguno de las circunstancias previstas en el artículo 13 de la Ley 38/2003, de 17 de noviembre, General de Subvenciones (de ahora en adelante LGS) que impiden tener tal condición.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TERCERA. Actividades o programas subvencionables. </w:t>
      </w:r>
    </w:p>
    <w:p>
      <w:pPr>
        <w:pStyle w:val="Default"/>
        <w:bidi w:val="0"/>
        <w:jc w:val="both"/>
        <w:rPr/>
      </w:pPr>
      <w:r>
        <w:rPr>
          <w:rFonts w:cs="Liberation Serif;Times New Roman" w:ascii="Liberation Serif;Times New Roman" w:hAnsi="Liberation Serif;Times New Roman"/>
          <w:b w:val="false"/>
          <w:strike w:val="false"/>
          <w:dstrike w:val="false"/>
          <w:sz w:val="24"/>
          <w:szCs w:val="24"/>
          <w:u w:val="none"/>
        </w:rPr>
        <w:t>La subvención objeto de la presente convocatoria se destinará a sufragar los gastos originados del transporte en el Centro Ocupacional y Centro de Día «La Xara» de l</w:t>
      </w:r>
      <w:r>
        <w:rPr>
          <w:rFonts w:eastAsia="NSimSun" w:cs="Liberation Serif;Times New Roman" w:ascii="Liberation Serif;Times New Roman" w:hAnsi="Liberation Serif;Times New Roman"/>
          <w:b w:val="false"/>
          <w:strike w:val="false"/>
          <w:dstrike w:val="false"/>
          <w:color w:val="000000"/>
          <w:sz w:val="24"/>
          <w:szCs w:val="24"/>
          <w:u w:val="none"/>
          <w:lang w:val="es-ES" w:eastAsia="zh-CN" w:bidi="hi-IN"/>
        </w:rPr>
        <w:t>a</w:t>
      </w:r>
      <w:r>
        <w:rPr>
          <w:rFonts w:cs="Liberation Serif;Times New Roman" w:ascii="Liberation Serif;Times New Roman" w:hAnsi="Liberation Serif;Times New Roman"/>
          <w:b w:val="false"/>
          <w:strike w:val="false"/>
          <w:dstrike w:val="false"/>
          <w:sz w:val="24"/>
          <w:szCs w:val="24"/>
          <w:u w:val="none"/>
        </w:rPr>
        <w:t xml:space="preserve">s </w:t>
      </w:r>
      <w:r>
        <w:rPr>
          <w:rFonts w:cs="Liberation Serif;Times New Roman" w:ascii="Liberation Serif;Times New Roman" w:hAnsi="Liberation Serif;Times New Roman"/>
          <w:b w:val="false"/>
          <w:strike w:val="false"/>
          <w:dstrike w:val="false"/>
          <w:sz w:val="24"/>
          <w:szCs w:val="24"/>
          <w:u w:val="none"/>
        </w:rPr>
        <w:t>personas</w:t>
      </w:r>
      <w:r>
        <w:rPr>
          <w:rFonts w:cs="Liberation Serif;Times New Roman" w:ascii="Liberation Serif;Times New Roman" w:hAnsi="Liberation Serif;Times New Roman"/>
          <w:b w:val="false"/>
          <w:strike w:val="false"/>
          <w:dstrike w:val="false"/>
          <w:sz w:val="24"/>
          <w:szCs w:val="24"/>
          <w:u w:val="none"/>
        </w:rPr>
        <w:t xml:space="preserve"> usuari</w:t>
      </w:r>
      <w:r>
        <w:rPr>
          <w:rFonts w:eastAsia="NSimSun" w:cs="Liberation Serif;Times New Roman" w:ascii="Liberation Serif;Times New Roman" w:hAnsi="Liberation Serif;Times New Roman"/>
          <w:b w:val="false"/>
          <w:strike w:val="false"/>
          <w:dstrike w:val="false"/>
          <w:color w:val="000000"/>
          <w:sz w:val="24"/>
          <w:szCs w:val="24"/>
          <w:u w:val="none"/>
          <w:lang w:val="es-ES" w:eastAsia="zh-CN" w:bidi="hi-IN"/>
        </w:rPr>
        <w:t>a</w:t>
      </w:r>
      <w:r>
        <w:rPr>
          <w:rFonts w:cs="Liberation Serif;Times New Roman" w:ascii="Liberation Serif;Times New Roman" w:hAnsi="Liberation Serif;Times New Roman"/>
          <w:b w:val="false"/>
          <w:strike w:val="false"/>
          <w:dstrike w:val="false"/>
          <w:sz w:val="24"/>
          <w:szCs w:val="24"/>
          <w:u w:val="none"/>
        </w:rPr>
        <w:t xml:space="preserve">s de Gata de Gorgos durante el ejercicio económico 2026.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CUARTA. Gastos subvencionables (GASTO CORRIENTE)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Serán gastadas objeto de subvención los que de manera indudable respondan a la naturaleza de la actividad subvencionada, resultan estrictamente necesarios y se realizan dentro del ejercicio 2026 en el plazo establecido en el arte. 31.2 de la LGS. En ningún caso el coste de adquisición de los gastos subvencionables podrá ser superior al valor de mercado.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Únicamente serán objeto de ayuda los gastos de carácter CORRIENTE, en ningún caso gastada en bienes inventariables.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A tales efectos se considerarán gasto de inversión aquellos suministros de bienes la vida útil de los cuales sea superior en un año, siempre que su importe unitario sea igual o superior a 250,00 €.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En concreto se consideran subvencionables las siguientes categorías de gasto, según consta en el ANEXO «PROYECTO» de la solicitud: </w:t>
      </w:r>
    </w:p>
    <w:p>
      <w:pPr>
        <w:pStyle w:val="Default"/>
        <w:bidi w:val="0"/>
        <w:jc w:val="both"/>
        <w:rPr/>
      </w:pPr>
      <w:r>
        <w:rPr>
          <w:rFonts w:cs="Liberation Serif;Times New Roman" w:ascii="Liberation Serif;Times New Roman" w:hAnsi="Liberation Serif;Times New Roman"/>
          <w:b/>
          <w:strike w:val="false"/>
          <w:dstrike w:val="false"/>
          <w:sz w:val="24"/>
          <w:szCs w:val="24"/>
          <w:u w:val="none"/>
        </w:rPr>
        <w:t>- GASTOS DE TRANSPORTE (desplazamiento de las</w:t>
      </w:r>
      <w:r>
        <w:rPr>
          <w:rFonts w:cs="Liberation Serif;Times New Roman" w:ascii="Liberation Serif;Times New Roman" w:hAnsi="Liberation Serif;Times New Roman"/>
          <w:b/>
          <w:bCs/>
          <w:strike w:val="false"/>
          <w:dstrike w:val="false"/>
          <w:sz w:val="24"/>
          <w:szCs w:val="24"/>
          <w:u w:val="none"/>
          <w:shd w:fill="auto" w:val="clear"/>
        </w:rPr>
        <w:t xml:space="preserve"> 3</w:t>
      </w:r>
      <w:r>
        <w:rPr>
          <w:rFonts w:eastAsia="Liberation Serif;Times New Roman" w:cs="Liberation Serif;Times New Roman" w:ascii="Liberation Serif;Times New Roman" w:hAnsi="Liberation Serif;Times New Roman"/>
          <w:b/>
          <w:strike w:val="false"/>
          <w:dstrike w:val="false"/>
          <w:sz w:val="24"/>
          <w:szCs w:val="24"/>
          <w:u w:val="none"/>
        </w:rPr>
        <w:t xml:space="preserve"> </w:t>
      </w:r>
      <w:r>
        <w:rPr>
          <w:rFonts w:cs="Liberation Serif;Times New Roman" w:ascii="Liberation Serif;Times New Roman" w:hAnsi="Liberation Serif;Times New Roman"/>
          <w:b/>
          <w:strike w:val="false"/>
          <w:dstrike w:val="false"/>
          <w:sz w:val="24"/>
          <w:szCs w:val="24"/>
          <w:u w:val="none"/>
        </w:rPr>
        <w:t>personas usuarias de Gata de Gorgos en el Centro Ocupacional y Centro de Día La Xara).</w:t>
      </w:r>
    </w:p>
    <w:p>
      <w:pPr>
        <w:pStyle w:val="Default"/>
        <w:bidi w:val="0"/>
        <w:spacing w:before="454" w:after="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De conformidad con lo dispuesto en los artículos 31.7 y 8 de la LGS, en ningún caso serán gastos subvencionables los intereses deudores de las cuentas bancarias; los intereses, recargos y sanciones administrativas y penales; los gastos de procedimientos judiciales, los impuestos indirectos cuando son susceptibles de recuperación o compensación (ej. IVA soportado deducible) ni los impuestos personales sobre la renta.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QUINTA.- Cuantía de la aportación económica.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El Ayuntamiento de Gata de Gorgos, se compromete a aportar la cantidad de 2.000,00 €, previamente consignada a la Partida 01 231 48006 en el presupuesto para el ejercicio de 2026.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La aportación de esta cantidad se efectuará después de la justificación del destino dado a los fondos recibidos.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Para el cobro de la ayuda económica, el beneficiario tendrá que estar al corriente de sus obligaciones tributarias y frente a la Seguridad Social y no ser deudor por resolución de procedencia de reintegro. En el caso de las obligaciones fiscales con el Ayuntamiento de Gata de Gorgos, se determinará de oficio a través de la Tesorería.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De conformidad con lo dispuesto en los apartados 2 y 3 del artículo 19 de la Ley 38/2003, de 17 de noviembre, General de Subvenciones, se permite compatibilizar estas subvenciones con la percepción otras subvenciones, ayudas, ingresos o recursos para la misma finalidad, procedentes de cualesquier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supero el coste de la actividad subvencionada.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SEXTA.- Obligaciones de las partes.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a) Del Ayuntamiento: Efectuar una aportación económica de un importe de 2.000 euros.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b) De la beneficiaria: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1.- Destinar íntegramente la ayuda recibida al fin para el cual se concede.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2.- Hacer constar expresamente en toda aquella documentación o publicidad que generan el desarrollo del objeto del presente convenio, la financiación del mismo por parte del Ayuntamiento de Gata de Gorgos.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3.- Justificar la aplicación de los fondos mediante cuenta justificativa simplificada. La cuenta tendrá que incluir una declaración de las actividades realizadas que hayan sido financiadas con la subvención y su coste, con el desglose de cada una de los gastos incurridos. Los gastos se acreditarán aportando las facturas y otros documentos de valor probatorio equivalente con validez en el tráfico jurídico mercantil o con eficacia administrativa. La justificación se reflejará en el modelo de cuenta justificativa oficial normalizado del Ayuntamiento de Gata de Gorgos, que será facilidad por esta Corporación. La presentación de la cuenta justificativa se realizará </w:t>
      </w:r>
      <w:r>
        <w:rPr>
          <w:rFonts w:cs="Liberation Serif;Times New Roman" w:ascii="Liberation Serif;Times New Roman" w:hAnsi="Liberation Serif;Times New Roman"/>
          <w:b/>
          <w:bCs/>
          <w:strike w:val="false"/>
          <w:dstrike w:val="false"/>
          <w:sz w:val="24"/>
          <w:szCs w:val="24"/>
          <w:u w:val="none"/>
        </w:rPr>
        <w:t>antes del 1</w:t>
      </w:r>
      <w:r>
        <w:rPr>
          <w:rFonts w:cs="Liberation Serif;Times New Roman" w:ascii="Liberation Serif;Times New Roman" w:hAnsi="Liberation Serif;Times New Roman"/>
          <w:b/>
          <w:bCs/>
          <w:strike w:val="false"/>
          <w:dstrike w:val="false"/>
          <w:sz w:val="24"/>
          <w:szCs w:val="24"/>
          <w:u w:val="none"/>
        </w:rPr>
        <w:t>5</w:t>
      </w:r>
      <w:r>
        <w:rPr>
          <w:rFonts w:cs="Liberation Serif;Times New Roman" w:ascii="Liberation Serif;Times New Roman" w:hAnsi="Liberation Serif;Times New Roman"/>
          <w:b/>
          <w:bCs/>
          <w:strike w:val="false"/>
          <w:dstrike w:val="false"/>
          <w:sz w:val="24"/>
          <w:szCs w:val="24"/>
          <w:u w:val="none"/>
        </w:rPr>
        <w:t xml:space="preserve"> de </w:t>
      </w:r>
      <w:r>
        <w:rPr>
          <w:rFonts w:eastAsia="NSimSun" w:cs="Liberation Serif;Times New Roman" w:ascii="Liberation Serif;Times New Roman" w:hAnsi="Liberation Serif;Times New Roman"/>
          <w:b/>
          <w:bCs/>
          <w:strike w:val="false"/>
          <w:dstrike w:val="false"/>
          <w:color w:val="000000"/>
          <w:sz w:val="24"/>
          <w:szCs w:val="24"/>
          <w:u w:val="none"/>
          <w:lang w:val="es-ES" w:eastAsia="zh-CN" w:bidi="hi-IN"/>
        </w:rPr>
        <w:t>noviembre</w:t>
      </w:r>
      <w:r>
        <w:rPr>
          <w:rFonts w:cs="Liberation Serif;Times New Roman" w:ascii="Liberation Serif;Times New Roman" w:hAnsi="Liberation Serif;Times New Roman"/>
          <w:b w:val="false"/>
          <w:strike w:val="false"/>
          <w:dstrike w:val="false"/>
          <w:sz w:val="24"/>
          <w:szCs w:val="24"/>
          <w:u w:val="none"/>
        </w:rPr>
        <w:t xml:space="preserve"> del ejercicio de la subvención. Se considerarán gastos subvencionables aquellas que de manera indudable respondan a la naturaleza de la actividad subvencionada, y se realizan en el plazo de vigencia del presente convenio, así mismo se considerará gasto realizado el que ha sido efectivamente pagado con anterioridad a la finalización del periodo de justificación determinado en el apartado anterior. De acuerdo con el arte. 70.3 del RLGS, transcurrido el plazo máximo de justificación sin haberse presentado la misma ante el órgano competente, este requerirá al beneficiario porque en el plazo improrrogable de 15 días sea presentada. La falta de presentación en este plazo llevará consigo, en su caso, la exigencia de reintegro y otras responsabilidades establecidas en la Ley General de Subvenciones. La presentación de la justificación en el plazo adicional establecido en este apartado no eximirá al beneficiario de las sanciones que, conforme a la LGS, correspondan.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4.- Comunicar y acreditar si las actividades han sido financiadas además de con la subvención, con fondos propios u otras subvenciones o recursos, especificando procedencia y aplicación de tales fondos a las actividades subvencionadas. En el supuesto que la suma de los ingresos sea superior al gasto justificado, la subvención se reducirá de tal modo que, en ningún caso el total de ingresos sea superior a los gastos justificados.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5.- Mantenerse al corriente del pago de los importes que reporto el servicio, así como el pago de todos los impuestos, tasas y contribuciones que se reportan por este servicio.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6.- Someterse a las actuaciones de comprobación, a efectuar por el órgano concedente o la entidad colaboradora, en su caso, así como cualesquiera otros de comprobación y control financiero que puedan realizar los órganos de control competentes, tanto nacionales como comunitarios, aportando cuánta información le sea requerida en el ejercicio de las actuaciones anteriores.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SÉPTIMA.- Incumplimiento de la obligación de justificar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De conformidad con el arte. 37 de la LGS y 89 del RLGS, el incumplimiento total o parcial de la obligación de justificar o la justificación insuficiente comportará el reintegro de las cantidades percibidas y la exigencia del interés de demora correspondiente, o en su caso, la pérdida del derecho al cobro de la subvención.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Sin embargo, de conformidad con lo establecido en el arte. 17.3.n) de la LGS, cuando el incumplimiento se acerque de manera significativa al cumplimiento total y se acredite una actuación inequívoca tendente a la satisfacción de los compromisos, la cantidad a reintegrar o la pérdida del derecho de cobro se determinará de manera proporcional al importe del gasto no justificado.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OCTAVA.- Supervisión del convenio.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Para la supervisión y control del presente convenio las partes actuantes podrán constituir de mutuo acuerdo un equipo integrado por los representantes que nombran las instituciones intervinientes, que se reunirán con la cadencia que estiman oportuno. Este equipo tendrá la facultad del conocimiento y resolución de cuántas incidencias se pudieron suscitar en el desarrollo del presente convenio.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Sin perjuicio del anterior, el Ayuntamiento de Gata de Gorgos, y por medio de la intervención de Fondos Municipales, tiene la potestad irrenunciable de efectuar el control de aplicación de las subvenciones y ayudas económicas de cualquier tipo que se otorgan, para comprobar fehacientemente que se interviene en las finalidades para los cuales se otorgó, todo esto en cumplimiento del artículo 189 y 214 del Texto Refundido de la Ley reguladora de las Haciendas Locales.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El órgano competente para aprobar la cuenta justificativa de la aplicación de fondo será el Alcalde-Presidente o órgano o regidor delegado.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QUINTA.- Causas de resolución.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Podrán dar lugar al vencimiento, mediante resolución del presente convenio, las siguientes causas: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a) No destinar por parte de la Asociación APROSDECO las aportaciones recibidas objeto de este convenio al fin que se concede.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b) La suspensión definitiva de las actividades del interesado, así como su suspensión temporal por plazo superior a seis meses en el ejercicio natural.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c) El incumplimiento de justificar mediante la correspondiente documentación los gastos realizados con cargo a las aportaciones económicas objeto de este convenio, sin perjuicio, de exigir las responsabilidades en las cuales se incurra según la legislación vigente.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d) Incumplimiento de la obligación de adoptar las medidas de difusión contenidas en la cláusula segunda.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eastAsia="NSimSun" w:cs="Liberation Serif;Times New Roman" w:ascii="Liberation Serif;Times New Roman" w:hAnsi="Liberation Serif;Times New Roman"/>
          <w:b w:val="false"/>
          <w:strike w:val="false"/>
          <w:dstrike w:val="false"/>
          <w:color w:val="000000"/>
          <w:sz w:val="24"/>
          <w:szCs w:val="24"/>
          <w:u w:val="none"/>
          <w:lang w:val="es-ES" w:eastAsia="zh-CN" w:bidi="hi-IN"/>
        </w:rPr>
        <w:t>e</w:t>
      </w:r>
      <w:r>
        <w:rPr>
          <w:rFonts w:cs="Liberation Serif;Times New Roman" w:ascii="Liberation Serif;Times New Roman" w:hAnsi="Liberation Serif;Times New Roman"/>
          <w:b w:val="false"/>
          <w:strike w:val="false"/>
          <w:dstrike w:val="false"/>
          <w:sz w:val="24"/>
          <w:szCs w:val="24"/>
          <w:u w:val="none"/>
        </w:rPr>
        <w:t xml:space="preserve">) Y en general cualquier otro incumplimiento por el interesado de las obligaciones asumidas en virtud del presente documento y que se consideran muy graves.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En caso de incoarse expediente para la resolución del presente convenio por causa no imputable al Ayuntamiento de Gata de Gorgos, se exigirá por los servicios económicos el reintegro de las cantidades percibidas, y si procede, los intereses de demora legalmente correspondiente.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b/>
          <w:strike w:val="false"/>
          <w:dstrike w:val="false"/>
          <w:sz w:val="24"/>
          <w:szCs w:val="24"/>
          <w:u w:val="none"/>
        </w:rPr>
      </w:pPr>
      <w:r>
        <w:rPr>
          <w:rFonts w:cs="Liberation Serif;Times New Roman" w:ascii="Liberation Serif;Times New Roman" w:hAnsi="Liberation Serif;Times New Roman"/>
          <w:b/>
          <w:strike w:val="false"/>
          <w:dstrike w:val="false"/>
          <w:sz w:val="24"/>
          <w:szCs w:val="24"/>
          <w:u w:val="none"/>
        </w:rPr>
        <w:t xml:space="preserve">SEXTA.- Entrada en vigor y plazo de vigencia. </w:t>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El presente convenio entrará en vigor una vez aprobado por el órgano competente y subscrito por las partes, manteniendo su vigencia hasta el 31 de diciembre de 2026, sin perjuicio que por lo que respecta a la ejecución de las actividades subvencionadas, puede serlo desde el 1 de enero del citado año.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En todo el no contemplado en este convenio se estará al que se dispone en la Ley General de Subvenciones.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Así lo convienen y en prueba de conformidad con cuánto antecede, firman el presente documento.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center"/>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Fecha y firmas digitales al margen. </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Antonio José Signes Costa </w:t>
      </w:r>
    </w:p>
    <w:p>
      <w:pPr>
        <w:pStyle w:val="Normal"/>
        <w:bidi w:val="0"/>
        <w:spacing w:before="0" w:after="12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Alcalde del Ayuntamiento de Gata de Gorgos</w:t>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sz w:val="24"/>
          <w:szCs w:val="24"/>
        </w:rPr>
      </w:pPr>
      <w:r>
        <w:rPr>
          <w:rFonts w:cs="Liberation Serif;Times New Roman" w:ascii="Liberation Serif;Times New Roman" w:hAnsi="Liberation Serif;Times New Roman"/>
          <w:sz w:val="24"/>
          <w:szCs w:val="24"/>
        </w:rPr>
      </w:r>
    </w:p>
    <w:p>
      <w:pPr>
        <w:pStyle w:val="Default"/>
        <w:bidi w:val="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Juan Cardona Peretó </w:t>
      </w:r>
    </w:p>
    <w:p>
      <w:pPr>
        <w:pStyle w:val="Normal"/>
        <w:bidi w:val="0"/>
        <w:spacing w:before="0" w:after="120"/>
        <w:jc w:val="both"/>
        <w:rPr>
          <w:rFonts w:ascii="Liberation Serif;Times New Roman" w:hAnsi="Liberation Serif;Times New Roman" w:cs="Liberation Serif;Times New Roman"/>
          <w:b w:val="false"/>
          <w:b w:val="false"/>
          <w:strike w:val="false"/>
          <w:dstrike w:val="false"/>
          <w:sz w:val="24"/>
          <w:szCs w:val="24"/>
          <w:u w:val="none"/>
        </w:rPr>
      </w:pPr>
      <w:r>
        <w:rPr>
          <w:rFonts w:cs="Liberation Serif;Times New Roman" w:ascii="Liberation Serif;Times New Roman" w:hAnsi="Liberation Serif;Times New Roman"/>
          <w:b w:val="false"/>
          <w:strike w:val="false"/>
          <w:dstrike w:val="false"/>
          <w:sz w:val="24"/>
          <w:szCs w:val="24"/>
          <w:u w:val="none"/>
        </w:rPr>
        <w:t xml:space="preserve">Representante de la Asociación APROSDECO </w:t>
      </w:r>
    </w:p>
    <w:sectPr>
      <w:headerReference w:type="default" r:id="rId2"/>
      <w:footerReference w:type="default" r:id="rId3"/>
      <w:type w:val="nextPage"/>
      <w:pgSz w:w="11906" w:h="16838"/>
      <w:pgMar w:left="1417" w:right="1417" w:header="567" w:top="2597" w:footer="567" w:bottom="1276"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Verdana">
    <w:charset w:val="00" w:characterSet="windows-1252"/>
    <w:family w:val="auto"/>
    <w:pitch w:val="default"/>
  </w:font>
  <w:font w:name="Liberation Sans Unicode MS">
    <w:charset w:val="00" w:characterSet="windows-1252"/>
    <w:family w:val="auto"/>
    <w:pitch w:val="variable"/>
  </w:font>
  <w:font w:name="Liberation Sans">
    <w:altName w:val="Arial"/>
    <w:charset w:val="00" w:characterSet="windows-1252"/>
    <w:family w:val="swiss"/>
    <w:pitch w:val="variable"/>
  </w:font>
  <w:font w:name="Calibri">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suppressLineNumbers/>
      <w:bidi w:val="0"/>
      <w:jc w:val="start"/>
      <w:rPr/>
    </w:pPr>
    <w:r>
      <w:rPr/>
      <w:drawing>
        <wp:inline distT="0" distB="0" distL="0" distR="0">
          <wp:extent cx="5394960" cy="268605"/>
          <wp:effectExtent l="0" t="0" r="0" b="0"/>
          <wp:docPr id="2"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title=""/>
                  <pic:cNvPicPr>
                    <a:picLocks noChangeAspect="1" noChangeArrowheads="1"/>
                  </pic:cNvPicPr>
                </pic:nvPicPr>
                <pic:blipFill>
                  <a:blip r:embed="rId1"/>
                  <a:srcRect l="-16" t="-315" r="-16" b="-315"/>
                  <a:stretch>
                    <a:fillRect/>
                  </a:stretch>
                </pic:blipFill>
                <pic:spPr bwMode="auto">
                  <a:xfrm>
                    <a:off x="0" y="0"/>
                    <a:ext cx="5394960" cy="2686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pBdr/>
      <w:bidi w:val="0"/>
      <w:jc w:val="start"/>
      <w:rPr/>
    </w:pPr>
    <w:r>
      <w:rPr/>
      <w:drawing>
        <wp:inline distT="0" distB="0" distL="0" distR="0">
          <wp:extent cx="697230" cy="697230"/>
          <wp:effectExtent l="0" t="0" r="0" b="0"/>
          <wp:docPr id="1"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title=""/>
                  <pic:cNvPicPr>
                    <a:picLocks noChangeAspect="1" noChangeArrowheads="1"/>
                  </pic:cNvPicPr>
                </pic:nvPicPr>
                <pic:blipFill>
                  <a:blip r:embed="rId1"/>
                  <a:srcRect l="-47" t="-47" r="-47" b="-47"/>
                  <a:stretch>
                    <a:fillRect/>
                  </a:stretch>
                </pic:blipFill>
                <pic:spPr bwMode="auto">
                  <a:xfrm>
                    <a:off x="0" y="0"/>
                    <a:ext cx="697230" cy="697230"/>
                  </a:xfrm>
                  <a:prstGeom prst="rect">
                    <a:avLst/>
                  </a:prstGeom>
                </pic:spPr>
              </pic:pic>
            </a:graphicData>
          </a:graphic>
        </wp:inline>
      </w:drawing>
    </w:r>
  </w:p>
  <w:p>
    <w:pPr>
      <w:pStyle w:val="Capalera"/>
      <w:pBdr>
        <w:bottom w:val="single" w:sz="4" w:space="5" w:color="000000"/>
      </w:pBdr>
      <w:bidi w:val="0"/>
      <w:jc w:val="center"/>
      <w:rPr>
        <w:b/>
        <w:b/>
        <w:bCs/>
        <w:sz w:val="28"/>
        <w:szCs w:val="28"/>
      </w:rPr>
    </w:pPr>
    <w:r>
      <w:rPr>
        <w:b/>
        <w:bCs/>
        <w:sz w:val="28"/>
        <w:szCs w:val="28"/>
      </w:rPr>
      <w:t>Ajuntament de Gata de Gorgos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Encapalament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181"/>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Verdana" w:hAnsi="Verdana" w:eastAsia="DejaVu Sans" w:cs="DejaVu Sans"/>
      <w:color w:val="auto"/>
      <w:sz w:val="20"/>
      <w:szCs w:val="24"/>
      <w:lang w:val="ca-ES-valencia" w:eastAsia="zh-CN" w:bidi="hi-IN"/>
    </w:rPr>
  </w:style>
  <w:style w:type="paragraph" w:styleId="Encapalament1">
    <w:name w:val="Heading 1"/>
    <w:basedOn w:val="Heading"/>
    <w:next w:val="Cosdeltext"/>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ladInternet">
    <w:name w:val="Enllaç d'Internet"/>
    <w:rPr>
      <w:color w:val="000080"/>
      <w:u w:val="single"/>
    </w:rPr>
  </w:style>
  <w:style w:type="paragraph" w:styleId="Encapalament">
    <w:name w:val="Encapçalament"/>
    <w:basedOn w:val="Normal"/>
    <w:next w:val="Cosdeltext"/>
    <w:qFormat/>
    <w:pPr>
      <w:keepNext w:val="true"/>
      <w:spacing w:before="240" w:after="120"/>
    </w:pPr>
    <w:rPr>
      <w:rFonts w:ascii="Liberation Sans;Arial" w:hAnsi="Liberation Sans;Arial" w:eastAsia="Microsoft YaHei" w:cs="Lucida Sans"/>
      <w:sz w:val="28"/>
      <w:szCs w:val="28"/>
    </w:rPr>
  </w:style>
  <w:style w:type="paragraph" w:styleId="Cosdeltext">
    <w:name w:val="Body Text"/>
    <w:basedOn w:val="Normal"/>
    <w:pPr>
      <w:spacing w:before="0" w:after="120"/>
    </w:pPr>
    <w:rPr/>
  </w:style>
  <w:style w:type="paragraph" w:styleId="Llista">
    <w:name w:val="List"/>
    <w:basedOn w:val="Cosdeltext"/>
    <w:pPr/>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lang w:val="zxx" w:eastAsia="zxx" w:bidi="zxx"/>
    </w:rPr>
  </w:style>
  <w:style w:type="paragraph" w:styleId="Heading">
    <w:name w:val="Heading"/>
    <w:basedOn w:val="Normal"/>
    <w:next w:val="Cosdeltext"/>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osdeltext"/>
    <w:qFormat/>
    <w:pPr>
      <w:pBdr>
        <w:bottom w:val="double" w:sz="2" w:space="0" w:color="808080"/>
      </w:pBdr>
      <w:spacing w:before="0" w:after="283"/>
    </w:pPr>
    <w:rPr>
      <w:sz w:val="12"/>
    </w:rPr>
  </w:style>
  <w:style w:type="paragraph" w:styleId="Remitent">
    <w:name w:val="Envelope Return"/>
    <w:basedOn w:val="Normal"/>
    <w:pPr/>
    <w:rPr>
      <w:i/>
    </w:rPr>
  </w:style>
  <w:style w:type="paragraph" w:styleId="TableContents">
    <w:name w:val="Table Contents"/>
    <w:basedOn w:val="Cosdeltext"/>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paleraipeu">
    <w:name w:val="Capçalera i peu"/>
    <w:basedOn w:val="Normal"/>
    <w:qFormat/>
    <w:pPr>
      <w:suppressLineNumbers/>
      <w:tabs>
        <w:tab w:val="clear" w:pos="1134"/>
        <w:tab w:val="center" w:pos="4819" w:leader="none"/>
        <w:tab w:val="right" w:pos="9638" w:leader="none"/>
      </w:tabs>
    </w:pPr>
    <w:rPr/>
  </w:style>
  <w:style w:type="paragraph" w:styleId="Capalera">
    <w:name w:val="Header"/>
    <w:basedOn w:val="HeaderandFooter"/>
    <w:pPr>
      <w:suppressLineNumbers/>
    </w:pPr>
    <w:rPr/>
  </w:style>
  <w:style w:type="paragraph" w:styleId="Peudepgina">
    <w:name w:val="Footer"/>
    <w:basedOn w:val="HeaderandFooter"/>
    <w:pPr>
      <w:suppressLineNumbers/>
    </w:pPr>
    <w:rPr/>
  </w:style>
  <w:style w:type="paragraph" w:styleId="Default">
    <w:name w:val="Default"/>
    <w:qFormat/>
    <w:pPr>
      <w:widowControl w:val="false"/>
      <w:suppressAutoHyphens w:val="true"/>
      <w:kinsoku w:val="true"/>
      <w:overflowPunct w:val="true"/>
      <w:autoSpaceDE w:val="true"/>
      <w:bidi w:val="0"/>
      <w:jc w:val="start"/>
    </w:pPr>
    <w:rPr>
      <w:rFonts w:ascii="Calibri" w:hAnsi="Calibri" w:eastAsia="NSimSun" w:cs="Lucida Sans"/>
      <w:color w:val="000000"/>
      <w:sz w:val="24"/>
      <w:szCs w:val="24"/>
      <w:lang w:val="es-ES" w:eastAsia="zh-CN" w:bidi="hi-IN"/>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16</TotalTime>
  <Application>LibreOffice/7.0.2.2$Windows_X86_64 LibreOffice_project/8349ace3c3162073abd90d81fd06dcfb6b36b994</Application>
  <Pages>5</Pages>
  <Words>2002</Words>
  <Characters>10799</Characters>
  <CharactersWithSpaces>12792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2026-04-28T09:29:00Z</dcterms:created>
  <dc:creator>Pràctiques</dc:creator>
  <dc:description/>
  <dc:language>ca-ES-valencia</dc:language>
  <cp:lastModifiedBy/>
  <dcterms:modified xsi:type="dcterms:W3CDTF">2026-10-19T13:40:39Z</dcterms:modified>
  <cp:revision>4</cp:revision>
  <dc:subject/>
  <dc:title/>
</cp:coreProperties>
</file>