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E73BB" w14:textId="77777777" w:rsidR="00233CFA" w:rsidRPr="00B650CF" w:rsidRDefault="00233CFA" w:rsidP="00233CFA">
      <w:pPr>
        <w:ind w:right="140"/>
        <w:jc w:val="both"/>
        <w:rPr>
          <w:rFonts w:ascii="Arial" w:hAnsi="Arial"/>
          <w:b/>
          <w:sz w:val="20"/>
        </w:rPr>
      </w:pPr>
      <w:r>
        <w:rPr>
          <w:rFonts w:ascii="Arial" w:hAnsi="Arial"/>
          <w:b/>
          <w:sz w:val="20"/>
        </w:rPr>
        <w:t>Convocatoria de subvenciones para la adquisición de equipos con tecnología RFID para la gestión de las bibliotecas públicas 2026</w:t>
      </w:r>
    </w:p>
    <w:p w14:paraId="309A8DE6" w14:textId="77777777" w:rsidR="00233CFA" w:rsidRPr="00B650CF" w:rsidRDefault="00233CFA" w:rsidP="00233CFA">
      <w:pPr>
        <w:ind w:right="140"/>
        <w:jc w:val="both"/>
        <w:rPr>
          <w:rFonts w:ascii="Arial" w:hAnsi="Arial"/>
          <w:b/>
          <w:sz w:val="20"/>
        </w:rPr>
      </w:pPr>
    </w:p>
    <w:p w14:paraId="3442768A" w14:textId="77777777" w:rsidR="00233CFA" w:rsidRPr="00B650CF" w:rsidRDefault="00233CFA" w:rsidP="00233CFA">
      <w:pPr>
        <w:ind w:right="140"/>
        <w:jc w:val="both"/>
        <w:rPr>
          <w:rFonts w:ascii="Arial" w:hAnsi="Arial"/>
          <w:b/>
          <w:sz w:val="20"/>
        </w:rPr>
      </w:pPr>
      <w:r>
        <w:rPr>
          <w:rFonts w:ascii="Arial" w:hAnsi="Arial"/>
          <w:b/>
          <w:sz w:val="20"/>
        </w:rPr>
        <w:t>1. Objeto y finalidad</w:t>
      </w:r>
    </w:p>
    <w:p w14:paraId="74CA58A2" w14:textId="401E4CE5" w:rsidR="00233CFA" w:rsidRPr="00B650CF" w:rsidRDefault="00233CFA" w:rsidP="00233CFA">
      <w:pPr>
        <w:ind w:right="140"/>
        <w:jc w:val="both"/>
        <w:rPr>
          <w:rFonts w:ascii="Arial" w:hAnsi="Arial"/>
          <w:sz w:val="20"/>
        </w:rPr>
      </w:pPr>
      <w:r>
        <w:rPr>
          <w:rFonts w:ascii="Arial" w:hAnsi="Arial"/>
          <w:sz w:val="20"/>
        </w:rPr>
        <w:t>Subvenciones en régimen de concurrencia competitiva para ayuntamientos con bibliotecas integradas en el Sistema de Lectura Pública de Catalunya destinadas a la financiación de la implantación inicial de un sistema completo de tecnología RFID (</w:t>
      </w:r>
      <w:r>
        <w:rPr>
          <w:rFonts w:ascii="Arial" w:hAnsi="Arial"/>
          <w:i/>
          <w:iCs/>
          <w:sz w:val="20"/>
        </w:rPr>
        <w:t xml:space="preserve">radio </w:t>
      </w:r>
      <w:proofErr w:type="spellStart"/>
      <w:r>
        <w:rPr>
          <w:rFonts w:ascii="Arial" w:hAnsi="Arial"/>
          <w:i/>
          <w:iCs/>
          <w:sz w:val="20"/>
        </w:rPr>
        <w:t>frequency</w:t>
      </w:r>
      <w:proofErr w:type="spellEnd"/>
      <w:r>
        <w:rPr>
          <w:rFonts w:ascii="Arial" w:hAnsi="Arial"/>
          <w:i/>
          <w:iCs/>
          <w:sz w:val="20"/>
        </w:rPr>
        <w:t xml:space="preserve"> </w:t>
      </w:r>
      <w:proofErr w:type="spellStart"/>
      <w:r>
        <w:rPr>
          <w:rFonts w:ascii="Arial" w:hAnsi="Arial"/>
          <w:i/>
          <w:iCs/>
          <w:sz w:val="20"/>
        </w:rPr>
        <w:t>identification</w:t>
      </w:r>
      <w:proofErr w:type="spellEnd"/>
      <w:r>
        <w:rPr>
          <w:rFonts w:ascii="Arial" w:hAnsi="Arial"/>
          <w:sz w:val="20"/>
        </w:rPr>
        <w:t xml:space="preserve">) o la renovación integral de un sistema existente que resulte obsoleto, incompatible con los estándares vigentes o insuficiente para garantizar un funcionamiento adecuado, de acuerdo con las bases específicas reguladoras aprobadas inicialmente por el Pleno de la </w:t>
      </w:r>
      <w:proofErr w:type="spellStart"/>
      <w:r>
        <w:rPr>
          <w:rFonts w:ascii="Arial" w:hAnsi="Arial"/>
          <w:sz w:val="20"/>
        </w:rPr>
        <w:t>Diputació</w:t>
      </w:r>
      <w:proofErr w:type="spellEnd"/>
      <w:r>
        <w:rPr>
          <w:rFonts w:ascii="Arial" w:hAnsi="Arial"/>
          <w:sz w:val="20"/>
        </w:rPr>
        <w:t xml:space="preserve"> en la sesión de 17 de marzo de 2026 y posteriormente por el Pleno el 21 de abril de 2026, con la aprobación de una modificación sustancial, y publicadas en el </w:t>
      </w:r>
      <w:r>
        <w:rPr>
          <w:rFonts w:ascii="Arial" w:hAnsi="Arial"/>
          <w:i/>
          <w:iCs/>
          <w:sz w:val="20"/>
        </w:rPr>
        <w:t>Boletín Oficial de la Provincia de Girona</w:t>
      </w:r>
      <w:r>
        <w:rPr>
          <w:rFonts w:ascii="Arial" w:hAnsi="Arial"/>
          <w:sz w:val="20"/>
        </w:rPr>
        <w:t xml:space="preserve"> (BOPG) número 84, de fecha 5 de mayo de 2026.</w:t>
      </w:r>
    </w:p>
    <w:p w14:paraId="11B72A27" w14:textId="77777777" w:rsidR="00233CFA" w:rsidRPr="00B650CF" w:rsidRDefault="00233CFA" w:rsidP="00233CFA">
      <w:pPr>
        <w:ind w:right="140"/>
        <w:jc w:val="both"/>
        <w:rPr>
          <w:rFonts w:ascii="Arial" w:hAnsi="Arial"/>
          <w:i/>
          <w:sz w:val="20"/>
        </w:rPr>
      </w:pPr>
      <w:r>
        <w:rPr>
          <w:rFonts w:ascii="Arial" w:hAnsi="Arial"/>
          <w:sz w:val="20"/>
        </w:rPr>
        <w:t>No son objeto de esta convocatoria las actuaciones parciales o complementarias (ampliaciones de equipamientos, reposiciones de etiquetas o actuaciones parciales).</w:t>
      </w:r>
    </w:p>
    <w:p w14:paraId="3AD8D1D7"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Pr>
          <w:rFonts w:ascii="Arial" w:hAnsi="Arial"/>
          <w:b/>
          <w:sz w:val="20"/>
        </w:rPr>
        <w:t>Criterios de valoración</w:t>
      </w:r>
    </w:p>
    <w:p w14:paraId="2AF6FD5F" w14:textId="77777777" w:rsidR="00233CFA" w:rsidRPr="00B650CF" w:rsidRDefault="00233CFA" w:rsidP="00233CFA">
      <w:pPr>
        <w:spacing w:after="200" w:line="276" w:lineRule="auto"/>
        <w:ind w:left="284" w:right="140"/>
        <w:contextualSpacing/>
        <w:jc w:val="both"/>
        <w:rPr>
          <w:rFonts w:ascii="Arial" w:hAnsi="Arial"/>
          <w:b/>
          <w:sz w:val="20"/>
        </w:rPr>
      </w:pPr>
    </w:p>
    <w:p w14:paraId="6062FE4D" w14:textId="77777777" w:rsidR="00233CFA" w:rsidRPr="00B650CF" w:rsidRDefault="00233CFA" w:rsidP="00233CFA">
      <w:pPr>
        <w:spacing w:after="0" w:line="240" w:lineRule="auto"/>
        <w:ind w:left="360"/>
        <w:jc w:val="both"/>
        <w:rPr>
          <w:rFonts w:ascii="Arial" w:hAnsi="Arial"/>
          <w:sz w:val="20"/>
        </w:rPr>
      </w:pPr>
      <w:r>
        <w:rPr>
          <w:rFonts w:ascii="Arial" w:hAnsi="Arial"/>
          <w:sz w:val="20"/>
        </w:rPr>
        <w:t xml:space="preserve">Las solicitudes se evaluarán a partir de la documentación presentada por las entidades peticionarias, de acuerdo con la puntuación que corresponda en función de los siguientes parámetros: </w:t>
      </w:r>
    </w:p>
    <w:p w14:paraId="50C2B32D" w14:textId="77777777" w:rsidR="00233CFA" w:rsidRPr="00B650CF" w:rsidRDefault="00233CFA" w:rsidP="00233CFA">
      <w:pPr>
        <w:spacing w:after="0" w:line="240" w:lineRule="auto"/>
        <w:ind w:left="360"/>
        <w:jc w:val="both"/>
        <w:rPr>
          <w:rFonts w:ascii="Arial" w:hAnsi="Arial"/>
          <w:sz w:val="20"/>
        </w:rPr>
      </w:pPr>
    </w:p>
    <w:p w14:paraId="5860B211" w14:textId="77777777" w:rsidR="00233CFA" w:rsidRPr="00B650CF" w:rsidRDefault="00233CFA" w:rsidP="00233CFA">
      <w:pPr>
        <w:pStyle w:val="Pargrafdellista"/>
        <w:numPr>
          <w:ilvl w:val="0"/>
          <w:numId w:val="5"/>
        </w:numPr>
        <w:spacing w:after="0" w:line="240" w:lineRule="auto"/>
        <w:jc w:val="both"/>
        <w:rPr>
          <w:rFonts w:ascii="Arial" w:hAnsi="Arial"/>
          <w:sz w:val="20"/>
        </w:rPr>
      </w:pPr>
      <w:r>
        <w:rPr>
          <w:rFonts w:ascii="Arial" w:hAnsi="Arial"/>
          <w:sz w:val="20"/>
        </w:rPr>
        <w:t xml:space="preserve">Indicadores de préstamo y usuarios activos por habitante (hasta 20 puntos). </w:t>
      </w:r>
    </w:p>
    <w:p w14:paraId="109C2586" w14:textId="77777777" w:rsidR="00233CFA" w:rsidRPr="00B650CF" w:rsidRDefault="00233CFA" w:rsidP="00233CFA">
      <w:pPr>
        <w:pStyle w:val="Pargrafdellista"/>
        <w:spacing w:after="0" w:line="240" w:lineRule="auto"/>
        <w:ind w:left="1080"/>
        <w:jc w:val="both"/>
        <w:rPr>
          <w:rFonts w:ascii="Arial" w:hAnsi="Arial"/>
          <w:sz w:val="20"/>
        </w:rPr>
      </w:pPr>
    </w:p>
    <w:p w14:paraId="51583602" w14:textId="77777777" w:rsidR="00233CFA" w:rsidRPr="00B650CF" w:rsidRDefault="00233CFA" w:rsidP="00233CFA">
      <w:pPr>
        <w:pStyle w:val="Pargrafdellista"/>
        <w:spacing w:after="0" w:line="240" w:lineRule="auto"/>
        <w:ind w:left="1080"/>
        <w:jc w:val="both"/>
        <w:rPr>
          <w:rFonts w:ascii="Arial" w:hAnsi="Arial"/>
          <w:sz w:val="20"/>
        </w:rPr>
      </w:pPr>
      <w:r>
        <w:rPr>
          <w:rFonts w:ascii="Arial" w:hAnsi="Arial"/>
          <w:sz w:val="20"/>
        </w:rPr>
        <w:t>Se valorará la media anual provincial publicada de los siguientes indicadores:</w:t>
      </w:r>
    </w:p>
    <w:p w14:paraId="401CCAA3" w14:textId="77777777" w:rsidR="00233CFA" w:rsidRPr="00B650CF" w:rsidRDefault="00233CFA" w:rsidP="00233CFA">
      <w:pPr>
        <w:pStyle w:val="Pargrafdellista"/>
        <w:spacing w:after="0" w:line="240" w:lineRule="auto"/>
        <w:ind w:left="1080"/>
        <w:jc w:val="both"/>
        <w:rPr>
          <w:rFonts w:ascii="Arial" w:hAnsi="Arial"/>
          <w:sz w:val="20"/>
        </w:rPr>
      </w:pPr>
    </w:p>
    <w:p w14:paraId="2B9695E0" w14:textId="77777777" w:rsidR="00233CFA" w:rsidRPr="00B650CF" w:rsidRDefault="00233CFA" w:rsidP="00233CFA">
      <w:pPr>
        <w:numPr>
          <w:ilvl w:val="1"/>
          <w:numId w:val="4"/>
        </w:numPr>
        <w:spacing w:after="0" w:line="240" w:lineRule="auto"/>
        <w:jc w:val="both"/>
        <w:rPr>
          <w:rFonts w:ascii="Arial" w:hAnsi="Arial"/>
          <w:sz w:val="20"/>
        </w:rPr>
      </w:pPr>
      <w:r>
        <w:rPr>
          <w:rFonts w:ascii="Arial" w:hAnsi="Arial"/>
          <w:sz w:val="20"/>
        </w:rPr>
        <w:t>Préstamo por habitante</w:t>
      </w:r>
    </w:p>
    <w:p w14:paraId="4B0070DD" w14:textId="77777777" w:rsidR="00233CFA" w:rsidRPr="00B650CF" w:rsidRDefault="00233CFA" w:rsidP="00233CFA">
      <w:pPr>
        <w:numPr>
          <w:ilvl w:val="1"/>
          <w:numId w:val="4"/>
        </w:numPr>
        <w:spacing w:after="0" w:line="240" w:lineRule="auto"/>
        <w:jc w:val="both"/>
        <w:rPr>
          <w:rFonts w:ascii="Arial" w:hAnsi="Arial"/>
          <w:sz w:val="20"/>
        </w:rPr>
      </w:pPr>
      <w:r>
        <w:rPr>
          <w:rFonts w:ascii="Arial" w:hAnsi="Arial"/>
          <w:sz w:val="20"/>
        </w:rPr>
        <w:t>Usuarios activos por habitante</w:t>
      </w:r>
    </w:p>
    <w:p w14:paraId="6AF6BADB" w14:textId="77777777" w:rsidR="00233CFA" w:rsidRPr="00B650CF" w:rsidRDefault="00233CFA" w:rsidP="00233CFA">
      <w:pPr>
        <w:spacing w:after="0" w:line="240" w:lineRule="auto"/>
        <w:ind w:left="1080"/>
        <w:jc w:val="both"/>
        <w:rPr>
          <w:rFonts w:ascii="Arial" w:hAnsi="Arial"/>
          <w:sz w:val="20"/>
        </w:rPr>
      </w:pPr>
    </w:p>
    <w:p w14:paraId="166B44F8" w14:textId="006D14AF" w:rsidR="00233CFA" w:rsidRPr="00B650CF" w:rsidRDefault="00233CFA" w:rsidP="00233CFA">
      <w:pPr>
        <w:spacing w:after="0" w:line="240" w:lineRule="auto"/>
        <w:ind w:left="1080"/>
        <w:jc w:val="both"/>
        <w:rPr>
          <w:rFonts w:ascii="Arial" w:hAnsi="Arial"/>
          <w:sz w:val="20"/>
        </w:rPr>
      </w:pPr>
      <w:r>
        <w:rPr>
          <w:rFonts w:ascii="Arial" w:hAnsi="Arial"/>
          <w:sz w:val="20"/>
        </w:rPr>
        <w:t xml:space="preserve">Cada indicador se puntuará de forma independiente, con un máximo de 10 puntos por indicador. La biblioteca con el valor más alto en cada uno de los indicadores obtendrá 10 puntos. Para el resto de solicitudes, se </w:t>
      </w:r>
      <w:r w:rsidR="002C682A">
        <w:rPr>
          <w:rFonts w:ascii="Arial" w:hAnsi="Arial"/>
          <w:sz w:val="20"/>
        </w:rPr>
        <w:t>hará</w:t>
      </w:r>
      <w:r>
        <w:rPr>
          <w:rFonts w:ascii="Arial" w:hAnsi="Arial"/>
          <w:sz w:val="20"/>
        </w:rPr>
        <w:t xml:space="preserve"> un reparto proporcional a partir de estos 10 puntos por cada uno de los conceptos. </w:t>
      </w:r>
    </w:p>
    <w:p w14:paraId="2C4196AB" w14:textId="77777777" w:rsidR="00233CFA" w:rsidRPr="00B650CF" w:rsidRDefault="00233CFA" w:rsidP="00233CFA">
      <w:pPr>
        <w:pStyle w:val="Pargrafdellista"/>
        <w:spacing w:after="0" w:line="240" w:lineRule="auto"/>
        <w:ind w:left="1080"/>
        <w:jc w:val="both"/>
        <w:rPr>
          <w:rFonts w:ascii="Arial" w:hAnsi="Arial"/>
          <w:sz w:val="20"/>
        </w:rPr>
      </w:pPr>
    </w:p>
    <w:p w14:paraId="6B3DD6EA"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Pr>
          <w:rFonts w:ascii="Arial" w:hAnsi="Arial"/>
          <w:sz w:val="20"/>
        </w:rPr>
        <w:t xml:space="preserve">Porcentaje de propuesta de cofinanciación (hasta 10 puntos). </w:t>
      </w:r>
    </w:p>
    <w:p w14:paraId="3E6AC312" w14:textId="77777777" w:rsidR="00233CFA" w:rsidRPr="00B650CF" w:rsidRDefault="00233CFA" w:rsidP="00233CFA">
      <w:pPr>
        <w:pStyle w:val="Pargrafdellista"/>
        <w:spacing w:after="0" w:line="240" w:lineRule="auto"/>
        <w:ind w:left="1080"/>
        <w:jc w:val="both"/>
        <w:rPr>
          <w:rFonts w:ascii="Arial" w:hAnsi="Arial"/>
          <w:sz w:val="20"/>
        </w:rPr>
      </w:pPr>
    </w:p>
    <w:p w14:paraId="20CA7151" w14:textId="77777777" w:rsidR="00233CFA" w:rsidRPr="00B650CF" w:rsidRDefault="00233CFA" w:rsidP="00233CFA">
      <w:pPr>
        <w:spacing w:after="0" w:line="240" w:lineRule="auto"/>
        <w:ind w:left="1080"/>
        <w:jc w:val="both"/>
        <w:rPr>
          <w:rFonts w:ascii="Arial" w:hAnsi="Arial"/>
          <w:sz w:val="20"/>
        </w:rPr>
      </w:pPr>
      <w:r>
        <w:rPr>
          <w:rFonts w:ascii="Arial" w:hAnsi="Arial"/>
          <w:sz w:val="20"/>
        </w:rPr>
        <w:t xml:space="preserve">A la solicitud con el porcentaje más alto con cargo al presupuesto municipal dedicado al proyecto para el que se solicita la subvención, se le darán automáticamente 10 puntos. Para el resto de solicitudes, se hará un reparto proporcional a partir de estos 10 puntos. </w:t>
      </w:r>
    </w:p>
    <w:p w14:paraId="1169F9DC" w14:textId="77777777" w:rsidR="00233CFA" w:rsidRPr="00B650CF" w:rsidRDefault="00233CFA" w:rsidP="00233CFA">
      <w:pPr>
        <w:spacing w:after="0" w:line="240" w:lineRule="auto"/>
        <w:ind w:left="1080"/>
        <w:jc w:val="both"/>
        <w:rPr>
          <w:rFonts w:ascii="Arial" w:hAnsi="Arial"/>
          <w:sz w:val="20"/>
        </w:rPr>
      </w:pPr>
    </w:p>
    <w:p w14:paraId="29A320B3"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Pr>
          <w:rFonts w:ascii="Arial" w:hAnsi="Arial"/>
          <w:sz w:val="20"/>
        </w:rPr>
        <w:t xml:space="preserve">Adecuación total del municipio a los parámetros del Mapa de Lectura Pública en el momento de la solicitud (hasta 30 puntos). </w:t>
      </w:r>
    </w:p>
    <w:p w14:paraId="722A3A35" w14:textId="77777777" w:rsidR="00233CFA" w:rsidRPr="00B650CF" w:rsidRDefault="00233CFA" w:rsidP="00233CFA">
      <w:pPr>
        <w:spacing w:after="0" w:line="240" w:lineRule="auto"/>
        <w:ind w:left="360"/>
        <w:jc w:val="both"/>
        <w:rPr>
          <w:rFonts w:ascii="Arial" w:hAnsi="Arial"/>
          <w:sz w:val="20"/>
        </w:rPr>
      </w:pPr>
    </w:p>
    <w:tbl>
      <w:tblPr>
        <w:tblStyle w:val="Taulaambquadrcula"/>
        <w:tblW w:w="4339" w:type="pct"/>
        <w:tblInd w:w="1129" w:type="dxa"/>
        <w:tblLook w:val="04A0" w:firstRow="1" w:lastRow="0" w:firstColumn="1" w:lastColumn="0" w:noHBand="0" w:noVBand="1"/>
      </w:tblPr>
      <w:tblGrid>
        <w:gridCol w:w="5006"/>
        <w:gridCol w:w="2365"/>
      </w:tblGrid>
      <w:tr w:rsidR="00233CFA" w:rsidRPr="00137433" w14:paraId="2AD10952" w14:textId="77777777" w:rsidTr="00A05400">
        <w:tc>
          <w:tcPr>
            <w:tcW w:w="3396" w:type="pct"/>
          </w:tcPr>
          <w:p w14:paraId="5907F285"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Superficie</w:t>
            </w:r>
          </w:p>
        </w:tc>
        <w:tc>
          <w:tcPr>
            <w:tcW w:w="1604" w:type="pct"/>
          </w:tcPr>
          <w:p w14:paraId="20EFCE7B"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5 puntos</w:t>
            </w:r>
          </w:p>
        </w:tc>
      </w:tr>
      <w:tr w:rsidR="00233CFA" w:rsidRPr="00137433" w14:paraId="5730DAD5" w14:textId="77777777" w:rsidTr="00A05400">
        <w:tc>
          <w:tcPr>
            <w:tcW w:w="3396" w:type="pct"/>
          </w:tcPr>
          <w:p w14:paraId="305F50F4"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Fondo</w:t>
            </w:r>
          </w:p>
        </w:tc>
        <w:tc>
          <w:tcPr>
            <w:tcW w:w="1604" w:type="pct"/>
          </w:tcPr>
          <w:p w14:paraId="53B16307"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5 puntos</w:t>
            </w:r>
          </w:p>
        </w:tc>
      </w:tr>
      <w:tr w:rsidR="00233CFA" w:rsidRPr="00137433" w14:paraId="56B9779E" w14:textId="77777777" w:rsidTr="00A05400">
        <w:tc>
          <w:tcPr>
            <w:tcW w:w="3396" w:type="pct"/>
          </w:tcPr>
          <w:p w14:paraId="08480EAD"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Recursos humanos</w:t>
            </w:r>
          </w:p>
        </w:tc>
        <w:tc>
          <w:tcPr>
            <w:tcW w:w="1604" w:type="pct"/>
          </w:tcPr>
          <w:p w14:paraId="4F67A889"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10 puntos</w:t>
            </w:r>
          </w:p>
        </w:tc>
      </w:tr>
      <w:tr w:rsidR="00233CFA" w:rsidRPr="00137433" w14:paraId="26A0C191" w14:textId="77777777" w:rsidTr="00A05400">
        <w:tc>
          <w:tcPr>
            <w:tcW w:w="3396" w:type="pct"/>
          </w:tcPr>
          <w:p w14:paraId="242EDF29"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Horario</w:t>
            </w:r>
          </w:p>
        </w:tc>
        <w:tc>
          <w:tcPr>
            <w:tcW w:w="1604" w:type="pct"/>
          </w:tcPr>
          <w:p w14:paraId="3533FDEA" w14:textId="77777777" w:rsidR="00233CFA" w:rsidRPr="00B650CF" w:rsidRDefault="00233CFA" w:rsidP="00A05400">
            <w:pPr>
              <w:pStyle w:val="Pargrafdellista"/>
              <w:spacing w:after="100" w:afterAutospacing="1"/>
              <w:ind w:left="0"/>
              <w:contextualSpacing w:val="0"/>
              <w:rPr>
                <w:rFonts w:ascii="Arial" w:hAnsi="Arial"/>
                <w:sz w:val="20"/>
              </w:rPr>
            </w:pPr>
            <w:r>
              <w:rPr>
                <w:rFonts w:ascii="Arial" w:hAnsi="Arial"/>
                <w:sz w:val="20"/>
              </w:rPr>
              <w:t>10 puntos</w:t>
            </w:r>
          </w:p>
        </w:tc>
      </w:tr>
    </w:tbl>
    <w:p w14:paraId="002E9D10" w14:textId="77777777" w:rsidR="00233CFA" w:rsidRPr="00B650CF" w:rsidRDefault="00233CFA" w:rsidP="00233CFA">
      <w:pPr>
        <w:spacing w:after="0" w:line="240" w:lineRule="auto"/>
        <w:ind w:left="360"/>
        <w:jc w:val="both"/>
        <w:rPr>
          <w:rFonts w:ascii="Arial" w:hAnsi="Arial"/>
          <w:sz w:val="20"/>
        </w:rPr>
      </w:pPr>
    </w:p>
    <w:p w14:paraId="174C29EF" w14:textId="77777777" w:rsidR="00233CFA" w:rsidRPr="00B650CF" w:rsidRDefault="00233CFA" w:rsidP="00233CFA">
      <w:pPr>
        <w:spacing w:after="0" w:line="240" w:lineRule="auto"/>
        <w:ind w:left="1080"/>
        <w:jc w:val="both"/>
        <w:rPr>
          <w:rFonts w:ascii="Arial" w:hAnsi="Arial"/>
          <w:sz w:val="20"/>
        </w:rPr>
      </w:pPr>
      <w:r>
        <w:rPr>
          <w:rFonts w:ascii="Arial" w:hAnsi="Arial"/>
          <w:sz w:val="20"/>
        </w:rPr>
        <w:t>El 100 % de la adecuación a los mínimos que, por cada uno de los conceptos, establece el Mapa de Lectura Pública obtendrá la máxima puntuación. El porcentaje de cumplimiento se traducirá en una puntuación proporcional en cada caso.</w:t>
      </w:r>
    </w:p>
    <w:p w14:paraId="5FF1755D" w14:textId="77777777" w:rsidR="00233CFA" w:rsidRPr="00B650CF" w:rsidRDefault="00233CFA" w:rsidP="00233CFA">
      <w:pPr>
        <w:spacing w:after="0" w:line="240" w:lineRule="auto"/>
        <w:ind w:left="1080"/>
        <w:jc w:val="both"/>
        <w:rPr>
          <w:rFonts w:ascii="Arial" w:hAnsi="Arial"/>
          <w:sz w:val="20"/>
        </w:rPr>
      </w:pPr>
    </w:p>
    <w:p w14:paraId="4D305A31"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Pr>
          <w:rFonts w:ascii="Arial" w:hAnsi="Arial"/>
          <w:sz w:val="20"/>
        </w:rPr>
        <w:t xml:space="preserve">Gastos subvencionables solicitados (hasta 30 puntos). </w:t>
      </w:r>
    </w:p>
    <w:p w14:paraId="5300DAF3" w14:textId="77777777" w:rsidR="00233CFA" w:rsidRPr="00B650CF" w:rsidRDefault="00233CFA" w:rsidP="00233CFA">
      <w:pPr>
        <w:pStyle w:val="Pargrafdellista"/>
        <w:spacing w:after="0" w:line="240" w:lineRule="auto"/>
        <w:ind w:left="1080"/>
        <w:jc w:val="both"/>
        <w:rPr>
          <w:rFonts w:ascii="Arial" w:hAnsi="Arial"/>
          <w:sz w:val="20"/>
        </w:rPr>
      </w:pPr>
    </w:p>
    <w:tbl>
      <w:tblPr>
        <w:tblStyle w:val="Taulaambquadrcula"/>
        <w:tblW w:w="4339" w:type="pct"/>
        <w:tblInd w:w="1129" w:type="dxa"/>
        <w:tblLook w:val="04A0" w:firstRow="1" w:lastRow="0" w:firstColumn="1" w:lastColumn="0" w:noHBand="0" w:noVBand="1"/>
      </w:tblPr>
      <w:tblGrid>
        <w:gridCol w:w="5466"/>
        <w:gridCol w:w="1905"/>
      </w:tblGrid>
      <w:tr w:rsidR="00233CFA" w:rsidRPr="00137433" w14:paraId="78A17647" w14:textId="77777777" w:rsidTr="00A05400">
        <w:tc>
          <w:tcPr>
            <w:tcW w:w="3708" w:type="pct"/>
          </w:tcPr>
          <w:p w14:paraId="62DC6B40"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Arcos antihurto</w:t>
            </w:r>
          </w:p>
        </w:tc>
        <w:tc>
          <w:tcPr>
            <w:tcW w:w="1292" w:type="pct"/>
          </w:tcPr>
          <w:p w14:paraId="3D0B6153"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8 puntos</w:t>
            </w:r>
          </w:p>
        </w:tc>
      </w:tr>
      <w:tr w:rsidR="00233CFA" w:rsidRPr="00137433" w14:paraId="2EAE5137" w14:textId="77777777" w:rsidTr="00A05400">
        <w:tc>
          <w:tcPr>
            <w:tcW w:w="3708" w:type="pct"/>
          </w:tcPr>
          <w:p w14:paraId="65438CC8"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lastRenderedPageBreak/>
              <w:t>Máquinas de autopréstamo</w:t>
            </w:r>
          </w:p>
        </w:tc>
        <w:tc>
          <w:tcPr>
            <w:tcW w:w="1292" w:type="pct"/>
          </w:tcPr>
          <w:p w14:paraId="6B7CD2C2"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8 puntos</w:t>
            </w:r>
          </w:p>
        </w:tc>
      </w:tr>
      <w:tr w:rsidR="00233CFA" w:rsidRPr="00137433" w14:paraId="6757DFE8" w14:textId="77777777" w:rsidTr="00A05400">
        <w:tc>
          <w:tcPr>
            <w:tcW w:w="3708" w:type="pct"/>
          </w:tcPr>
          <w:p w14:paraId="706E84D1"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Estaciones de trabajo</w:t>
            </w:r>
          </w:p>
        </w:tc>
        <w:tc>
          <w:tcPr>
            <w:tcW w:w="1292" w:type="pct"/>
          </w:tcPr>
          <w:p w14:paraId="5AEA3DF6"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6 puntos</w:t>
            </w:r>
          </w:p>
        </w:tc>
      </w:tr>
      <w:tr w:rsidR="00233CFA" w:rsidRPr="00137433" w14:paraId="3C8BC3D3" w14:textId="77777777" w:rsidTr="00A05400">
        <w:tc>
          <w:tcPr>
            <w:tcW w:w="3708" w:type="pct"/>
          </w:tcPr>
          <w:p w14:paraId="3135A372"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Etiquetas</w:t>
            </w:r>
          </w:p>
        </w:tc>
        <w:tc>
          <w:tcPr>
            <w:tcW w:w="1292" w:type="pct"/>
          </w:tcPr>
          <w:p w14:paraId="71CC0FEC"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4 puntos</w:t>
            </w:r>
          </w:p>
        </w:tc>
      </w:tr>
      <w:tr w:rsidR="00233CFA" w:rsidRPr="00137433" w14:paraId="74C8FCCD" w14:textId="77777777" w:rsidTr="00A05400">
        <w:trPr>
          <w:trHeight w:val="94"/>
        </w:trPr>
        <w:tc>
          <w:tcPr>
            <w:tcW w:w="3708" w:type="pct"/>
          </w:tcPr>
          <w:p w14:paraId="58E44F7D"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Servicio de etiquetado</w:t>
            </w:r>
          </w:p>
        </w:tc>
        <w:tc>
          <w:tcPr>
            <w:tcW w:w="1292" w:type="pct"/>
          </w:tcPr>
          <w:p w14:paraId="49CA6672" w14:textId="77777777" w:rsidR="00233CFA" w:rsidRPr="00B650CF" w:rsidRDefault="00233CFA" w:rsidP="00A05400">
            <w:pPr>
              <w:pStyle w:val="Pargrafdellista"/>
              <w:spacing w:after="100" w:afterAutospacing="1"/>
              <w:ind w:left="0"/>
              <w:rPr>
                <w:rFonts w:ascii="Arial" w:hAnsi="Arial"/>
                <w:sz w:val="20"/>
              </w:rPr>
            </w:pPr>
            <w:r>
              <w:rPr>
                <w:rFonts w:ascii="Arial" w:hAnsi="Arial"/>
                <w:sz w:val="20"/>
              </w:rPr>
              <w:t>4 puntos</w:t>
            </w:r>
          </w:p>
        </w:tc>
      </w:tr>
    </w:tbl>
    <w:p w14:paraId="5D97390F" w14:textId="77777777" w:rsidR="00233CFA" w:rsidRPr="00B650CF" w:rsidRDefault="00233CFA" w:rsidP="00233CFA">
      <w:pPr>
        <w:spacing w:after="0" w:line="240" w:lineRule="auto"/>
        <w:ind w:left="360"/>
        <w:jc w:val="both"/>
        <w:rPr>
          <w:rFonts w:ascii="Arial" w:hAnsi="Arial"/>
          <w:sz w:val="20"/>
        </w:rPr>
      </w:pPr>
    </w:p>
    <w:p w14:paraId="0D74E692"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Pr>
          <w:rFonts w:ascii="Arial" w:hAnsi="Arial"/>
          <w:sz w:val="20"/>
        </w:rPr>
        <w:t xml:space="preserve">Concesión de subvenciones para la adquisición de equipos con tecnología RFID para la gestión de las bibliotecas públicas de la </w:t>
      </w:r>
      <w:proofErr w:type="spellStart"/>
      <w:r>
        <w:rPr>
          <w:rFonts w:ascii="Arial" w:hAnsi="Arial"/>
          <w:sz w:val="20"/>
        </w:rPr>
        <w:t>Diputació</w:t>
      </w:r>
      <w:proofErr w:type="spellEnd"/>
      <w:r>
        <w:rPr>
          <w:rFonts w:ascii="Arial" w:hAnsi="Arial"/>
          <w:sz w:val="20"/>
        </w:rPr>
        <w:t xml:space="preserve"> de Girona (hasta 10 puntos). </w:t>
      </w:r>
    </w:p>
    <w:p w14:paraId="58BE14A7" w14:textId="77777777" w:rsidR="00233CFA" w:rsidRPr="00B650CF" w:rsidRDefault="00233CFA" w:rsidP="00233CFA">
      <w:pPr>
        <w:pStyle w:val="Pargrafdellista"/>
        <w:spacing w:after="0" w:line="240" w:lineRule="auto"/>
        <w:ind w:left="1080"/>
        <w:jc w:val="both"/>
        <w:rPr>
          <w:rFonts w:ascii="Arial" w:hAnsi="Arial"/>
          <w:sz w:val="20"/>
        </w:rPr>
      </w:pPr>
    </w:p>
    <w:p w14:paraId="0F2B2B8E" w14:textId="77777777" w:rsidR="00233CFA" w:rsidRPr="00B650CF" w:rsidRDefault="00233CFA" w:rsidP="00233CFA">
      <w:pPr>
        <w:pStyle w:val="Pargrafdellista"/>
        <w:spacing w:after="0" w:line="240" w:lineRule="auto"/>
        <w:ind w:left="1080"/>
        <w:jc w:val="both"/>
        <w:rPr>
          <w:rFonts w:ascii="Arial" w:hAnsi="Arial"/>
          <w:sz w:val="20"/>
        </w:rPr>
      </w:pPr>
      <w:r>
        <w:rPr>
          <w:rFonts w:ascii="Arial" w:hAnsi="Arial"/>
          <w:sz w:val="20"/>
        </w:rPr>
        <w:t>Se valorará si la biblioteca objeto de solicitud ha recibido anteriormente una subvención para la implantación de tecnología RFID.</w:t>
      </w:r>
    </w:p>
    <w:p w14:paraId="063294BF" w14:textId="77777777" w:rsidR="00233CFA" w:rsidRPr="00B650CF" w:rsidRDefault="00233CFA" w:rsidP="00233CFA">
      <w:pPr>
        <w:spacing w:after="0" w:line="240" w:lineRule="auto"/>
        <w:ind w:left="360"/>
        <w:jc w:val="both"/>
        <w:rPr>
          <w:rFonts w:ascii="Arial" w:hAnsi="Arial"/>
          <w:sz w:val="20"/>
        </w:rPr>
      </w:pPr>
    </w:p>
    <w:tbl>
      <w:tblPr>
        <w:tblStyle w:val="Taulaambquadrcula"/>
        <w:tblW w:w="4401" w:type="pct"/>
        <w:tblInd w:w="1129" w:type="dxa"/>
        <w:tblLook w:val="04A0" w:firstRow="1" w:lastRow="0" w:firstColumn="1" w:lastColumn="0" w:noHBand="0" w:noVBand="1"/>
      </w:tblPr>
      <w:tblGrid>
        <w:gridCol w:w="6293"/>
        <w:gridCol w:w="1183"/>
      </w:tblGrid>
      <w:tr w:rsidR="00233CFA" w:rsidRPr="00137433" w14:paraId="4E8C7F84" w14:textId="77777777" w:rsidTr="00A05400">
        <w:tc>
          <w:tcPr>
            <w:tcW w:w="4209" w:type="pct"/>
          </w:tcPr>
          <w:p w14:paraId="5D8112AA" w14:textId="77777777" w:rsidR="00233CFA" w:rsidRPr="00B650CF" w:rsidRDefault="00233CFA" w:rsidP="00A05400">
            <w:pPr>
              <w:pStyle w:val="Pargrafdellista"/>
              <w:ind w:left="0"/>
              <w:rPr>
                <w:rFonts w:ascii="Arial" w:hAnsi="Arial"/>
                <w:sz w:val="20"/>
              </w:rPr>
            </w:pPr>
            <w:r>
              <w:rPr>
                <w:rFonts w:ascii="Arial" w:hAnsi="Arial"/>
                <w:sz w:val="20"/>
              </w:rPr>
              <w:t>Si se ha concedido alguna subvención por el mismo concepto</w:t>
            </w:r>
          </w:p>
        </w:tc>
        <w:tc>
          <w:tcPr>
            <w:tcW w:w="791" w:type="pct"/>
          </w:tcPr>
          <w:p w14:paraId="3BB5F533" w14:textId="77777777" w:rsidR="00233CFA" w:rsidRPr="00B650CF" w:rsidRDefault="00233CFA" w:rsidP="00A05400">
            <w:pPr>
              <w:pStyle w:val="Pargrafdellista"/>
              <w:ind w:left="0"/>
              <w:rPr>
                <w:rFonts w:ascii="Arial" w:hAnsi="Arial"/>
                <w:sz w:val="20"/>
              </w:rPr>
            </w:pPr>
            <w:r>
              <w:rPr>
                <w:rFonts w:ascii="Arial" w:hAnsi="Arial"/>
                <w:sz w:val="20"/>
              </w:rPr>
              <w:t>0 puntos</w:t>
            </w:r>
          </w:p>
        </w:tc>
      </w:tr>
      <w:tr w:rsidR="00233CFA" w:rsidRPr="00137433" w14:paraId="0B7FC8EC" w14:textId="77777777" w:rsidTr="00A05400">
        <w:tc>
          <w:tcPr>
            <w:tcW w:w="4209" w:type="pct"/>
          </w:tcPr>
          <w:p w14:paraId="7F04CA8F" w14:textId="77777777" w:rsidR="00233CFA" w:rsidRPr="00B650CF" w:rsidRDefault="00233CFA" w:rsidP="00A05400">
            <w:pPr>
              <w:pStyle w:val="Pargrafdellista"/>
              <w:ind w:left="0"/>
              <w:rPr>
                <w:rFonts w:ascii="Arial" w:hAnsi="Arial"/>
                <w:sz w:val="20"/>
              </w:rPr>
            </w:pPr>
            <w:r>
              <w:rPr>
                <w:rFonts w:ascii="Arial" w:hAnsi="Arial"/>
                <w:sz w:val="20"/>
              </w:rPr>
              <w:t xml:space="preserve">Sí no se ha concedido nunca ninguna subvención por el mismo concepto  </w:t>
            </w:r>
          </w:p>
        </w:tc>
        <w:tc>
          <w:tcPr>
            <w:tcW w:w="791" w:type="pct"/>
          </w:tcPr>
          <w:p w14:paraId="75DBC775" w14:textId="77777777" w:rsidR="00233CFA" w:rsidRPr="00B650CF" w:rsidRDefault="00233CFA" w:rsidP="00A05400">
            <w:pPr>
              <w:pStyle w:val="Pargrafdellista"/>
              <w:ind w:left="0"/>
              <w:rPr>
                <w:rFonts w:ascii="Arial" w:hAnsi="Arial"/>
                <w:sz w:val="20"/>
              </w:rPr>
            </w:pPr>
            <w:r>
              <w:rPr>
                <w:rFonts w:ascii="Arial" w:hAnsi="Arial"/>
                <w:sz w:val="20"/>
              </w:rPr>
              <w:t>10 puntos</w:t>
            </w:r>
          </w:p>
        </w:tc>
      </w:tr>
    </w:tbl>
    <w:p w14:paraId="404BAB20" w14:textId="77777777" w:rsidR="00233CFA" w:rsidRPr="00B650CF" w:rsidRDefault="00233CFA" w:rsidP="00233CFA">
      <w:pPr>
        <w:ind w:right="-1"/>
        <w:jc w:val="both"/>
        <w:rPr>
          <w:rFonts w:ascii="Arial" w:hAnsi="Arial"/>
          <w:b/>
          <w:sz w:val="20"/>
        </w:rPr>
      </w:pPr>
    </w:p>
    <w:p w14:paraId="31F0B69A" w14:textId="77777777" w:rsidR="00233CFA" w:rsidRPr="00B650CF" w:rsidRDefault="00233CFA" w:rsidP="00233CFA">
      <w:pPr>
        <w:ind w:right="140"/>
        <w:jc w:val="both"/>
        <w:rPr>
          <w:rFonts w:ascii="Arial" w:hAnsi="Arial"/>
          <w:b/>
          <w:sz w:val="20"/>
        </w:rPr>
      </w:pPr>
      <w:r>
        <w:rPr>
          <w:rFonts w:ascii="Arial" w:hAnsi="Arial"/>
          <w:b/>
          <w:sz w:val="20"/>
        </w:rPr>
        <w:t>2. Dotación económica y determinación de la aplicación presupuestaria</w:t>
      </w:r>
    </w:p>
    <w:p w14:paraId="7A9A12D3" w14:textId="77777777" w:rsidR="00233CFA" w:rsidRPr="00B650CF" w:rsidRDefault="00233CFA" w:rsidP="00233CFA">
      <w:pPr>
        <w:ind w:right="140"/>
        <w:jc w:val="both"/>
        <w:rPr>
          <w:rFonts w:ascii="Arial" w:hAnsi="Arial"/>
          <w:sz w:val="20"/>
        </w:rPr>
      </w:pPr>
      <w:r>
        <w:rPr>
          <w:rFonts w:ascii="Arial" w:hAnsi="Arial"/>
          <w:sz w:val="20"/>
        </w:rPr>
        <w:t xml:space="preserve">El importe total destinado a la convocatoria es de 40.000,00 euros. La aplicación presupuestaria a la que se carga el crédito presupuestario y el importe son los que se detallan a continuación: </w:t>
      </w:r>
    </w:p>
    <w:tbl>
      <w:tblPr>
        <w:tblStyle w:val="Taulaambquadrcula"/>
        <w:tblW w:w="4502" w:type="pct"/>
        <w:tblInd w:w="-5" w:type="dxa"/>
        <w:tblLook w:val="04A0" w:firstRow="1" w:lastRow="0" w:firstColumn="1" w:lastColumn="0" w:noHBand="0" w:noVBand="1"/>
      </w:tblPr>
      <w:tblGrid>
        <w:gridCol w:w="4778"/>
        <w:gridCol w:w="2870"/>
      </w:tblGrid>
      <w:tr w:rsidR="00233CFA" w:rsidRPr="0035608E" w14:paraId="6D14F195"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03D1238A" w14:textId="77777777" w:rsidR="00233CFA" w:rsidRPr="00B650CF" w:rsidRDefault="00233CFA" w:rsidP="00A05400">
            <w:pPr>
              <w:spacing w:after="200" w:line="276" w:lineRule="auto"/>
              <w:ind w:left="851" w:right="140"/>
              <w:jc w:val="both"/>
              <w:rPr>
                <w:rFonts w:ascii="Arial" w:hAnsi="Arial"/>
                <w:i/>
                <w:sz w:val="20"/>
              </w:rPr>
            </w:pPr>
            <w:r>
              <w:rPr>
                <w:rFonts w:ascii="Arial" w:hAnsi="Arial"/>
                <w:i/>
                <w:sz w:val="20"/>
              </w:rPr>
              <w:t>Aplicación presupuestaria</w:t>
            </w:r>
          </w:p>
        </w:tc>
        <w:tc>
          <w:tcPr>
            <w:tcW w:w="1876" w:type="pct"/>
            <w:tcBorders>
              <w:top w:val="single" w:sz="4" w:space="0" w:color="auto"/>
              <w:left w:val="single" w:sz="4" w:space="0" w:color="auto"/>
              <w:bottom w:val="single" w:sz="4" w:space="0" w:color="auto"/>
              <w:right w:val="single" w:sz="4" w:space="0" w:color="auto"/>
            </w:tcBorders>
            <w:hideMark/>
          </w:tcPr>
          <w:p w14:paraId="094D146B" w14:textId="77777777" w:rsidR="00233CFA" w:rsidRPr="00B650CF" w:rsidRDefault="00233CFA" w:rsidP="00A05400">
            <w:pPr>
              <w:spacing w:after="200" w:line="276" w:lineRule="auto"/>
              <w:ind w:left="851" w:right="140"/>
              <w:jc w:val="both"/>
              <w:rPr>
                <w:rFonts w:ascii="Arial" w:hAnsi="Arial"/>
                <w:i/>
                <w:sz w:val="20"/>
              </w:rPr>
            </w:pPr>
            <w:r>
              <w:rPr>
                <w:rFonts w:ascii="Arial" w:hAnsi="Arial"/>
                <w:i/>
                <w:sz w:val="20"/>
              </w:rPr>
              <w:t>Importe (en €)</w:t>
            </w:r>
          </w:p>
        </w:tc>
      </w:tr>
      <w:tr w:rsidR="00233CFA" w:rsidRPr="0035608E" w14:paraId="4B7FED44"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5784E17B" w14:textId="77777777" w:rsidR="00233CFA" w:rsidRPr="00B650CF" w:rsidRDefault="00233CFA" w:rsidP="00A05400">
            <w:pPr>
              <w:spacing w:after="200" w:line="276" w:lineRule="auto"/>
              <w:ind w:left="851" w:right="140"/>
              <w:jc w:val="both"/>
              <w:rPr>
                <w:rFonts w:ascii="Arial" w:hAnsi="Arial"/>
                <w:sz w:val="20"/>
              </w:rPr>
            </w:pPr>
            <w:r>
              <w:rPr>
                <w:rFonts w:ascii="Arial" w:hAnsi="Arial"/>
                <w:sz w:val="20"/>
              </w:rPr>
              <w:t>301 33210 7620200</w:t>
            </w:r>
          </w:p>
        </w:tc>
        <w:tc>
          <w:tcPr>
            <w:tcW w:w="1876" w:type="pct"/>
            <w:tcBorders>
              <w:top w:val="single" w:sz="4" w:space="0" w:color="auto"/>
              <w:left w:val="single" w:sz="4" w:space="0" w:color="auto"/>
              <w:bottom w:val="single" w:sz="4" w:space="0" w:color="auto"/>
              <w:right w:val="single" w:sz="4" w:space="0" w:color="auto"/>
            </w:tcBorders>
            <w:hideMark/>
          </w:tcPr>
          <w:p w14:paraId="1FCB0B5F" w14:textId="77777777" w:rsidR="00233CFA" w:rsidRPr="00B650CF" w:rsidRDefault="00233CFA" w:rsidP="00A05400">
            <w:pPr>
              <w:spacing w:after="200" w:line="276" w:lineRule="auto"/>
              <w:ind w:left="851" w:right="140"/>
              <w:jc w:val="both"/>
              <w:rPr>
                <w:rFonts w:ascii="Arial" w:hAnsi="Arial"/>
                <w:sz w:val="20"/>
              </w:rPr>
            </w:pPr>
            <w:r>
              <w:rPr>
                <w:rFonts w:ascii="Arial" w:hAnsi="Arial"/>
                <w:sz w:val="20"/>
              </w:rPr>
              <w:t>40.000,00 €</w:t>
            </w:r>
          </w:p>
        </w:tc>
      </w:tr>
      <w:tr w:rsidR="00233CFA" w:rsidRPr="0035608E" w14:paraId="4D0E59E1"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05BE148F" w14:textId="77777777" w:rsidR="00233CFA" w:rsidRPr="00B650CF" w:rsidRDefault="00233CFA" w:rsidP="00A05400">
            <w:pPr>
              <w:spacing w:after="200" w:line="276" w:lineRule="auto"/>
              <w:ind w:left="851" w:right="140"/>
              <w:jc w:val="both"/>
              <w:rPr>
                <w:rFonts w:ascii="Arial" w:hAnsi="Arial"/>
                <w:i/>
                <w:sz w:val="20"/>
              </w:rPr>
            </w:pPr>
            <w:r>
              <w:rPr>
                <w:rFonts w:ascii="Arial" w:hAnsi="Arial"/>
                <w:i/>
                <w:sz w:val="20"/>
              </w:rPr>
              <w:t>Total</w:t>
            </w:r>
          </w:p>
        </w:tc>
        <w:tc>
          <w:tcPr>
            <w:tcW w:w="1876" w:type="pct"/>
            <w:tcBorders>
              <w:top w:val="single" w:sz="4" w:space="0" w:color="auto"/>
              <w:left w:val="single" w:sz="4" w:space="0" w:color="auto"/>
              <w:bottom w:val="single" w:sz="4" w:space="0" w:color="auto"/>
              <w:right w:val="single" w:sz="4" w:space="0" w:color="auto"/>
            </w:tcBorders>
            <w:hideMark/>
          </w:tcPr>
          <w:p w14:paraId="68277708" w14:textId="77777777" w:rsidR="00233CFA" w:rsidRPr="00B650CF" w:rsidRDefault="00233CFA" w:rsidP="00A05400">
            <w:pPr>
              <w:spacing w:after="200" w:line="276" w:lineRule="auto"/>
              <w:ind w:left="851" w:right="140"/>
              <w:jc w:val="both"/>
              <w:rPr>
                <w:rFonts w:ascii="Arial" w:hAnsi="Arial"/>
                <w:sz w:val="20"/>
              </w:rPr>
            </w:pPr>
            <w:r>
              <w:rPr>
                <w:rFonts w:ascii="Arial" w:hAnsi="Arial"/>
                <w:sz w:val="20"/>
              </w:rPr>
              <w:t>40.000,00 €</w:t>
            </w:r>
          </w:p>
        </w:tc>
      </w:tr>
    </w:tbl>
    <w:p w14:paraId="3A9ADCC3" w14:textId="77777777" w:rsidR="00233CFA" w:rsidRDefault="00233CFA" w:rsidP="00233CFA">
      <w:pPr>
        <w:ind w:right="140"/>
        <w:jc w:val="both"/>
        <w:rPr>
          <w:rFonts w:ascii="Arial" w:hAnsi="Arial"/>
          <w:sz w:val="20"/>
        </w:rPr>
      </w:pPr>
    </w:p>
    <w:p w14:paraId="554998A3" w14:textId="5FF27792" w:rsidR="003C10C2" w:rsidRPr="00B650CF" w:rsidRDefault="003C10C2" w:rsidP="003823AD">
      <w:pPr>
        <w:ind w:right="140"/>
        <w:jc w:val="both"/>
        <w:rPr>
          <w:rFonts w:ascii="Arial" w:hAnsi="Arial"/>
          <w:sz w:val="20"/>
        </w:rPr>
      </w:pPr>
      <w:r w:rsidRPr="008279B5">
        <w:rPr>
          <w:rFonts w:ascii="Arial" w:hAnsi="Arial"/>
          <w:sz w:val="20"/>
        </w:rPr>
        <w:t>El pago se realizará por adelantado e</w:t>
      </w:r>
      <w:r>
        <w:rPr>
          <w:rFonts w:ascii="Arial" w:hAnsi="Arial"/>
          <w:sz w:val="20"/>
        </w:rPr>
        <w:t>n un</w:t>
      </w:r>
      <w:r w:rsidRPr="008279B5">
        <w:rPr>
          <w:rFonts w:ascii="Arial" w:hAnsi="Arial"/>
          <w:sz w:val="20"/>
        </w:rPr>
        <w:t xml:space="preserve"> 70% tras la concesión y del 30% restante tras la justificación tras un informe favorable del centro </w:t>
      </w:r>
      <w:r>
        <w:rPr>
          <w:rFonts w:ascii="Arial" w:hAnsi="Arial"/>
          <w:sz w:val="20"/>
        </w:rPr>
        <w:t>gestor</w:t>
      </w:r>
      <w:r w:rsidRPr="008279B5">
        <w:rPr>
          <w:rFonts w:ascii="Arial" w:hAnsi="Arial"/>
          <w:sz w:val="20"/>
        </w:rPr>
        <w:t>.</w:t>
      </w:r>
    </w:p>
    <w:p w14:paraId="6213FE61" w14:textId="77777777" w:rsidR="00233CFA" w:rsidRPr="00B650CF" w:rsidRDefault="00233CFA" w:rsidP="00233CFA">
      <w:pPr>
        <w:ind w:right="140"/>
        <w:jc w:val="both"/>
        <w:rPr>
          <w:rFonts w:ascii="Arial" w:hAnsi="Arial"/>
          <w:b/>
          <w:sz w:val="20"/>
        </w:rPr>
      </w:pPr>
      <w:r>
        <w:rPr>
          <w:rFonts w:ascii="Arial" w:hAnsi="Arial"/>
          <w:b/>
          <w:sz w:val="20"/>
        </w:rPr>
        <w:t>3. Plazo de presentación de solicitudes</w:t>
      </w:r>
    </w:p>
    <w:p w14:paraId="3412AB67" w14:textId="77777777" w:rsidR="00233CFA" w:rsidRPr="00B650CF" w:rsidRDefault="00233CFA" w:rsidP="00233CFA">
      <w:pPr>
        <w:ind w:right="140"/>
        <w:jc w:val="both"/>
        <w:rPr>
          <w:rFonts w:ascii="Arial" w:hAnsi="Arial"/>
          <w:sz w:val="20"/>
        </w:rPr>
      </w:pPr>
      <w:r>
        <w:rPr>
          <w:rFonts w:ascii="Arial" w:hAnsi="Arial"/>
          <w:sz w:val="20"/>
        </w:rPr>
        <w:t>El plazo de presentación de solicitudes es de quince días naturales a partir del día siguiente al de la publicación del extracto de la convocatoria en el BOPG.</w:t>
      </w:r>
    </w:p>
    <w:p w14:paraId="4B4651EE" w14:textId="77777777" w:rsidR="00233CFA" w:rsidRPr="00B650CF" w:rsidRDefault="00233CFA" w:rsidP="00233CFA">
      <w:pPr>
        <w:ind w:right="140"/>
        <w:jc w:val="both"/>
        <w:rPr>
          <w:rFonts w:ascii="Arial" w:hAnsi="Arial"/>
          <w:sz w:val="20"/>
        </w:rPr>
      </w:pPr>
      <w:r>
        <w:rPr>
          <w:rFonts w:ascii="Arial" w:hAnsi="Arial"/>
          <w:sz w:val="20"/>
        </w:rPr>
        <w:t xml:space="preserve">Será necesario formular las solicitudes mediante el modelo normalizado disponible en la web de la </w:t>
      </w:r>
      <w:proofErr w:type="spellStart"/>
      <w:r>
        <w:rPr>
          <w:rFonts w:ascii="Arial" w:hAnsi="Arial"/>
          <w:sz w:val="20"/>
        </w:rPr>
        <w:t>Diputació</w:t>
      </w:r>
      <w:proofErr w:type="spellEnd"/>
      <w:r>
        <w:rPr>
          <w:rFonts w:ascii="Arial" w:hAnsi="Arial"/>
          <w:sz w:val="20"/>
        </w:rPr>
        <w:t xml:space="preserve"> de Girona, acompañado de la documentación a que hace referencia el artículo 7 de las bases reguladoras.</w:t>
      </w:r>
    </w:p>
    <w:p w14:paraId="63C1E430" w14:textId="77777777" w:rsidR="00233CFA" w:rsidRPr="00B650CF" w:rsidRDefault="00233CFA" w:rsidP="00233CFA">
      <w:pPr>
        <w:ind w:right="140"/>
        <w:jc w:val="both"/>
        <w:rPr>
          <w:rFonts w:ascii="Arial" w:hAnsi="Arial"/>
          <w:sz w:val="20"/>
        </w:rPr>
      </w:pPr>
      <w:r>
        <w:rPr>
          <w:rFonts w:ascii="Arial" w:hAnsi="Arial"/>
          <w:sz w:val="20"/>
        </w:rPr>
        <w:t xml:space="preserve">Las solicitudes deberán presentarse telemáticamente (EACAT), y deberán estar firmadas electrónicamente mediante un certificado validado en la plataforma PSIS del </w:t>
      </w:r>
      <w:proofErr w:type="spellStart"/>
      <w:r>
        <w:rPr>
          <w:rFonts w:ascii="Arial" w:hAnsi="Arial"/>
          <w:sz w:val="20"/>
        </w:rPr>
        <w:t>Consorci</w:t>
      </w:r>
      <w:proofErr w:type="spellEnd"/>
      <w:r>
        <w:rPr>
          <w:rFonts w:ascii="Arial" w:hAnsi="Arial"/>
          <w:sz w:val="20"/>
        </w:rPr>
        <w:t xml:space="preserve"> </w:t>
      </w:r>
      <w:proofErr w:type="spellStart"/>
      <w:r>
        <w:rPr>
          <w:rFonts w:ascii="Arial" w:hAnsi="Arial"/>
          <w:sz w:val="20"/>
        </w:rPr>
        <w:t>d’Administració</w:t>
      </w:r>
      <w:proofErr w:type="spellEnd"/>
      <w:r>
        <w:rPr>
          <w:rFonts w:ascii="Arial" w:hAnsi="Arial"/>
          <w:sz w:val="20"/>
        </w:rPr>
        <w:t xml:space="preserve"> Oberta de Catalunya.</w:t>
      </w:r>
    </w:p>
    <w:p w14:paraId="205BDF47"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Pr>
          <w:rFonts w:ascii="Arial" w:hAnsi="Arial"/>
          <w:b/>
          <w:sz w:val="20"/>
        </w:rPr>
        <w:t>Ámbito temporal de las acciones subvencionables</w:t>
      </w:r>
    </w:p>
    <w:p w14:paraId="7F917876" w14:textId="77777777" w:rsidR="00233CFA" w:rsidRPr="00B650CF" w:rsidRDefault="00233CFA" w:rsidP="00233CFA">
      <w:pPr>
        <w:ind w:right="140"/>
        <w:contextualSpacing/>
        <w:jc w:val="both"/>
        <w:rPr>
          <w:rFonts w:ascii="Arial" w:hAnsi="Arial"/>
          <w:b/>
          <w:sz w:val="20"/>
        </w:rPr>
      </w:pPr>
    </w:p>
    <w:p w14:paraId="74B56D1E" w14:textId="13548078" w:rsidR="003C10C2" w:rsidRPr="008E0A19" w:rsidRDefault="003C10C2" w:rsidP="00F407CA">
      <w:pPr>
        <w:ind w:right="140"/>
        <w:contextualSpacing/>
        <w:jc w:val="both"/>
        <w:rPr>
          <w:rFonts w:ascii="Arial" w:hAnsi="Arial"/>
          <w:sz w:val="20"/>
        </w:rPr>
      </w:pPr>
      <w:r>
        <w:rPr>
          <w:rFonts w:ascii="Arial" w:hAnsi="Arial"/>
          <w:sz w:val="20"/>
        </w:rPr>
        <w:t>Se subvencionaran l</w:t>
      </w:r>
      <w:r w:rsidRPr="008E0A19">
        <w:rPr>
          <w:rFonts w:ascii="Arial" w:hAnsi="Arial"/>
          <w:sz w:val="20"/>
        </w:rPr>
        <w:t xml:space="preserve">as acciones, actividades o inversiones realizadas un año antes de la fecha de publicación de la convocatoria y hasta seis meses después del día siguiente a la fecha de concesión. </w:t>
      </w:r>
    </w:p>
    <w:p w14:paraId="19ED1010" w14:textId="77777777" w:rsidR="00233CFA" w:rsidRPr="00B650CF" w:rsidRDefault="00233CFA" w:rsidP="00233CFA">
      <w:pPr>
        <w:ind w:right="140"/>
        <w:contextualSpacing/>
        <w:jc w:val="both"/>
        <w:rPr>
          <w:rFonts w:ascii="Arial" w:hAnsi="Arial"/>
          <w:sz w:val="20"/>
        </w:rPr>
      </w:pPr>
    </w:p>
    <w:p w14:paraId="368E0889"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Pr>
          <w:rFonts w:ascii="Arial" w:hAnsi="Arial"/>
          <w:b/>
          <w:sz w:val="20"/>
        </w:rPr>
        <w:t>Plazo para justificar las subvenciones</w:t>
      </w:r>
    </w:p>
    <w:p w14:paraId="01EA37A1" w14:textId="77777777" w:rsidR="00233CFA" w:rsidRPr="00B650CF" w:rsidRDefault="00233CFA" w:rsidP="00233CFA">
      <w:pPr>
        <w:ind w:right="140"/>
        <w:contextualSpacing/>
        <w:jc w:val="both"/>
        <w:rPr>
          <w:rFonts w:ascii="Arial" w:hAnsi="Arial"/>
          <w:b/>
          <w:sz w:val="20"/>
        </w:rPr>
      </w:pPr>
    </w:p>
    <w:p w14:paraId="160CD46D" w14:textId="4F13D8BE" w:rsidR="003C10C2" w:rsidRPr="008E0A19" w:rsidRDefault="003C10C2" w:rsidP="003C10C2">
      <w:pPr>
        <w:ind w:right="140"/>
        <w:contextualSpacing/>
        <w:jc w:val="both"/>
        <w:rPr>
          <w:rFonts w:ascii="Arial" w:hAnsi="Arial"/>
          <w:sz w:val="20"/>
        </w:rPr>
      </w:pPr>
      <w:r w:rsidRPr="008E0A19">
        <w:rPr>
          <w:rFonts w:ascii="Arial" w:hAnsi="Arial"/>
          <w:sz w:val="20"/>
        </w:rPr>
        <w:t>El plazo para justificar las subvenciones es desde el día siguiente a la fecha de concesión</w:t>
      </w:r>
      <w:r>
        <w:rPr>
          <w:rFonts w:ascii="Arial" w:hAnsi="Arial"/>
          <w:sz w:val="20"/>
        </w:rPr>
        <w:t xml:space="preserve"> y</w:t>
      </w:r>
      <w:r w:rsidRPr="008E0A19">
        <w:rPr>
          <w:rFonts w:ascii="Arial" w:hAnsi="Arial"/>
          <w:sz w:val="20"/>
        </w:rPr>
        <w:t xml:space="preserve"> hasta treinta días desde el día siguiente al final del periodo de ejecución</w:t>
      </w:r>
      <w:r w:rsidRPr="008E0A19">
        <w:rPr>
          <w:rFonts w:ascii="Arial" w:hAnsi="Arial"/>
          <w:sz w:val="20"/>
        </w:rPr>
        <w:t>.</w:t>
      </w:r>
    </w:p>
    <w:p w14:paraId="64813E99" w14:textId="77777777" w:rsidR="00233CFA" w:rsidRPr="00B650CF" w:rsidRDefault="00233CFA" w:rsidP="00233CFA">
      <w:pPr>
        <w:ind w:right="140"/>
        <w:contextualSpacing/>
        <w:jc w:val="both"/>
        <w:rPr>
          <w:rFonts w:ascii="Arial" w:hAnsi="Arial"/>
          <w:sz w:val="20"/>
        </w:rPr>
      </w:pPr>
    </w:p>
    <w:p w14:paraId="4D4B71FC" w14:textId="77777777" w:rsidR="00233CFA" w:rsidRPr="00B650CF" w:rsidRDefault="00233CFA" w:rsidP="00233CFA">
      <w:pPr>
        <w:ind w:right="140"/>
        <w:jc w:val="both"/>
        <w:rPr>
          <w:rFonts w:ascii="Arial" w:hAnsi="Arial"/>
          <w:b/>
          <w:sz w:val="20"/>
        </w:rPr>
      </w:pPr>
      <w:r>
        <w:rPr>
          <w:rFonts w:ascii="Arial" w:hAnsi="Arial"/>
          <w:b/>
          <w:sz w:val="20"/>
        </w:rPr>
        <w:t xml:space="preserve">4. Plazo de resolución y notificación </w:t>
      </w:r>
    </w:p>
    <w:p w14:paraId="6260BACB" w14:textId="77777777" w:rsidR="00233CFA" w:rsidRPr="00B650CF" w:rsidRDefault="00233CFA" w:rsidP="00233CFA">
      <w:pPr>
        <w:autoSpaceDE w:val="0"/>
        <w:ind w:right="140"/>
        <w:jc w:val="both"/>
        <w:rPr>
          <w:rFonts w:ascii="Arial" w:hAnsi="Arial"/>
          <w:b/>
          <w:sz w:val="20"/>
        </w:rPr>
      </w:pPr>
      <w:r>
        <w:rPr>
          <w:rFonts w:ascii="Arial" w:hAnsi="Arial"/>
          <w:b/>
          <w:sz w:val="20"/>
        </w:rPr>
        <w:t>4.1. Plazo de resolución</w:t>
      </w:r>
    </w:p>
    <w:p w14:paraId="33EAED51" w14:textId="77777777" w:rsidR="00233CFA" w:rsidRPr="00B650CF" w:rsidRDefault="00233CFA" w:rsidP="00233CFA">
      <w:pPr>
        <w:autoSpaceDE w:val="0"/>
        <w:ind w:right="140"/>
        <w:jc w:val="both"/>
        <w:rPr>
          <w:rFonts w:ascii="Arial" w:hAnsi="Arial"/>
          <w:sz w:val="20"/>
        </w:rPr>
      </w:pPr>
      <w:r>
        <w:rPr>
          <w:rFonts w:ascii="Arial" w:hAnsi="Arial"/>
          <w:sz w:val="20"/>
        </w:rPr>
        <w:lastRenderedPageBreak/>
        <w:t>El plazo para resolver sobre la convocatoria es el que determinan las bases. Una vez transcurrido dicho plazo sin que se haya adoptado una resolución, los solicitantes podrán entender desestimadas sus solicitudes por silencio administrativo.</w:t>
      </w:r>
    </w:p>
    <w:p w14:paraId="569F01A9" w14:textId="77777777" w:rsidR="00233CFA" w:rsidRPr="00B650CF" w:rsidRDefault="00233CFA" w:rsidP="00233CFA">
      <w:pPr>
        <w:autoSpaceDE w:val="0"/>
        <w:ind w:right="140"/>
        <w:jc w:val="both"/>
        <w:rPr>
          <w:rFonts w:ascii="Arial" w:hAnsi="Arial"/>
          <w:b/>
          <w:sz w:val="20"/>
        </w:rPr>
      </w:pPr>
      <w:r>
        <w:rPr>
          <w:rFonts w:ascii="Arial" w:hAnsi="Arial"/>
          <w:b/>
          <w:sz w:val="20"/>
        </w:rPr>
        <w:t>4.2. Plazo de notificación</w:t>
      </w:r>
    </w:p>
    <w:p w14:paraId="2D0F83F1" w14:textId="77777777" w:rsidR="00233CFA" w:rsidRPr="00B650CF" w:rsidRDefault="00233CFA" w:rsidP="00233CFA">
      <w:pPr>
        <w:autoSpaceDE w:val="0"/>
        <w:ind w:right="140"/>
        <w:jc w:val="both"/>
        <w:rPr>
          <w:rFonts w:ascii="Arial" w:hAnsi="Arial"/>
          <w:sz w:val="20"/>
        </w:rPr>
      </w:pPr>
      <w:r>
        <w:rPr>
          <w:rFonts w:ascii="Arial" w:hAnsi="Arial"/>
          <w:sz w:val="20"/>
        </w:rPr>
        <w:t xml:space="preserve">La resolución se notificará de forma individualizada a todos los beneficiarios, tal como se prevé en el artículo 41.1 de la Ley 39/2015, de 1 de octubre, del Procedimiento Administrativo Común de las Administraciones Públicas, y también a los peticionarios cuya solicitud se haya desestimado, en el plazo máximo de diez días hábiles a contar desde la fecha de adopción del acuerdo. </w:t>
      </w:r>
    </w:p>
    <w:p w14:paraId="47457C55" w14:textId="77777777" w:rsidR="00233CFA" w:rsidRPr="00B650CF" w:rsidRDefault="00233CFA" w:rsidP="00233CFA">
      <w:pPr>
        <w:autoSpaceDE w:val="0"/>
        <w:ind w:right="140"/>
        <w:jc w:val="both"/>
        <w:rPr>
          <w:rFonts w:ascii="Arial" w:hAnsi="Arial"/>
          <w:sz w:val="20"/>
        </w:rPr>
      </w:pPr>
    </w:p>
    <w:p w14:paraId="4FBFA32B" w14:textId="77777777" w:rsidR="00233CFA" w:rsidRPr="00B650CF" w:rsidRDefault="00233CFA" w:rsidP="00233CFA">
      <w:pPr>
        <w:ind w:right="140"/>
        <w:jc w:val="both"/>
        <w:rPr>
          <w:rFonts w:ascii="Arial" w:hAnsi="Arial"/>
          <w:b/>
          <w:sz w:val="20"/>
        </w:rPr>
      </w:pPr>
      <w:r>
        <w:rPr>
          <w:rFonts w:ascii="Arial" w:hAnsi="Arial"/>
          <w:b/>
          <w:sz w:val="20"/>
        </w:rPr>
        <w:t>5. Régimen de recursos</w:t>
      </w:r>
    </w:p>
    <w:p w14:paraId="05E37DBE" w14:textId="01497BEA" w:rsidR="00233CFA" w:rsidRPr="00B650CF" w:rsidRDefault="00233CFA" w:rsidP="00233CFA">
      <w:pPr>
        <w:ind w:right="140"/>
        <w:jc w:val="both"/>
        <w:rPr>
          <w:rFonts w:ascii="Arial" w:hAnsi="Arial"/>
          <w:sz w:val="20"/>
        </w:rPr>
      </w:pPr>
      <w:r>
        <w:rPr>
          <w:rFonts w:ascii="Arial" w:hAnsi="Arial"/>
          <w:sz w:val="20"/>
        </w:rPr>
        <w:t xml:space="preserve">La resolución de la convocatoria pone fin a la vía administrativa. Contra esta resolución cabe recurso contencioso-administrativo ante la sección contencioso-administrativa de los tribunales de instancia de Girona en el plazo de dos meses a contar del día siguiente a su notificación. Alternativamente, y de forma potestativa, se puede interponer recurso de reposición ante </w:t>
      </w:r>
      <w:r w:rsidR="003C10C2">
        <w:rPr>
          <w:rFonts w:ascii="Arial" w:hAnsi="Arial"/>
          <w:sz w:val="20"/>
        </w:rPr>
        <w:t>el presidente</w:t>
      </w:r>
      <w:r>
        <w:rPr>
          <w:rFonts w:ascii="Arial" w:hAnsi="Arial"/>
          <w:sz w:val="20"/>
        </w:rPr>
        <w:t xml:space="preserve"> de la </w:t>
      </w:r>
      <w:proofErr w:type="spellStart"/>
      <w:r>
        <w:rPr>
          <w:rFonts w:ascii="Arial" w:hAnsi="Arial"/>
          <w:sz w:val="20"/>
        </w:rPr>
        <w:t>Diputació</w:t>
      </w:r>
      <w:proofErr w:type="spellEnd"/>
      <w:r>
        <w:rPr>
          <w:rFonts w:ascii="Arial" w:hAnsi="Arial"/>
          <w:sz w:val="20"/>
        </w:rPr>
        <w:t xml:space="preserve"> de Girona en el plazo de un mes a contar desde el día siguiente a su notificación. </w:t>
      </w:r>
    </w:p>
    <w:p w14:paraId="035BA2B1" w14:textId="77777777" w:rsidR="00233CFA" w:rsidRPr="00B650CF" w:rsidRDefault="00233CFA" w:rsidP="00233CFA">
      <w:pPr>
        <w:ind w:right="140"/>
        <w:jc w:val="both"/>
        <w:rPr>
          <w:rFonts w:ascii="Arial" w:hAnsi="Arial"/>
          <w:b/>
          <w:sz w:val="20"/>
        </w:rPr>
      </w:pPr>
    </w:p>
    <w:p w14:paraId="6D7D0A68" w14:textId="77777777" w:rsidR="00233CFA" w:rsidRPr="00B650CF" w:rsidRDefault="00233CFA" w:rsidP="00233CFA">
      <w:pPr>
        <w:ind w:right="140"/>
        <w:jc w:val="both"/>
        <w:rPr>
          <w:rFonts w:ascii="Arial" w:hAnsi="Arial"/>
          <w:b/>
          <w:sz w:val="20"/>
        </w:rPr>
      </w:pPr>
      <w:r>
        <w:rPr>
          <w:rFonts w:ascii="Arial" w:hAnsi="Arial"/>
          <w:b/>
          <w:sz w:val="20"/>
        </w:rPr>
        <w:t>6. Publicidad</w:t>
      </w:r>
    </w:p>
    <w:p w14:paraId="71053B21" w14:textId="77777777" w:rsidR="00233CFA" w:rsidRPr="00B650CF" w:rsidRDefault="00233CFA" w:rsidP="00233CFA">
      <w:pPr>
        <w:ind w:right="140"/>
        <w:jc w:val="both"/>
        <w:rPr>
          <w:rFonts w:ascii="Arial" w:hAnsi="Arial"/>
          <w:sz w:val="20"/>
        </w:rPr>
      </w:pPr>
      <w:r>
        <w:rPr>
          <w:rFonts w:ascii="Arial" w:hAnsi="Arial"/>
          <w:sz w:val="20"/>
        </w:rPr>
        <w:t xml:space="preserve">Esta convocatoria se publicará en el tablón de anuncios de la </w:t>
      </w:r>
      <w:proofErr w:type="spellStart"/>
      <w:r>
        <w:rPr>
          <w:rFonts w:ascii="Arial" w:hAnsi="Arial"/>
          <w:sz w:val="20"/>
        </w:rPr>
        <w:t>Diputació</w:t>
      </w:r>
      <w:proofErr w:type="spellEnd"/>
      <w:r>
        <w:rPr>
          <w:rFonts w:ascii="Arial" w:hAnsi="Arial"/>
          <w:sz w:val="20"/>
        </w:rPr>
        <w:t xml:space="preserve"> y en la web, y, de acuerdo con lo establecido en el artículo 17.3 </w:t>
      </w:r>
      <w:r>
        <w:rPr>
          <w:rFonts w:ascii="Arial" w:hAnsi="Arial"/>
          <w:i/>
          <w:iCs/>
          <w:sz w:val="20"/>
        </w:rPr>
        <w:t>b</w:t>
      </w:r>
      <w:r>
        <w:rPr>
          <w:rFonts w:ascii="Arial" w:hAnsi="Arial"/>
          <w:sz w:val="20"/>
        </w:rPr>
        <w:t xml:space="preserve"> de la Ley 38/2003, de 17 de noviembre, General de Subvenciones, su extracto se publicará en el BOPG.</w:t>
      </w:r>
    </w:p>
    <w:p w14:paraId="0B638451" w14:textId="77777777" w:rsidR="00233CFA" w:rsidRPr="00233CFA" w:rsidRDefault="00233CFA">
      <w:pPr>
        <w:rPr>
          <w:color w:val="EE0000"/>
        </w:rPr>
      </w:pPr>
    </w:p>
    <w:sectPr w:rsidR="00233CFA" w:rsidRPr="00233CF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9E76074"/>
    <w:multiLevelType w:val="multilevel"/>
    <w:tmpl w:val="FCC0F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F6E17"/>
    <w:multiLevelType w:val="hybridMultilevel"/>
    <w:tmpl w:val="370C0E10"/>
    <w:lvl w:ilvl="0" w:tplc="E6CA6442">
      <w:start w:val="1"/>
      <w:numFmt w:val="lowerLetter"/>
      <w:lvlText w:val="%1)"/>
      <w:lvlJc w:val="left"/>
      <w:pPr>
        <w:ind w:left="720" w:hanging="360"/>
      </w:pPr>
      <w:rPr>
        <w:rFonts w:hint="default"/>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92272C7"/>
    <w:multiLevelType w:val="hybridMultilevel"/>
    <w:tmpl w:val="E31C574A"/>
    <w:lvl w:ilvl="0" w:tplc="FFFFFFFF">
      <w:start w:val="1"/>
      <w:numFmt w:val="lowerLetter"/>
      <w:lvlText w:val="%1)"/>
      <w:lvlJc w:val="left"/>
      <w:pPr>
        <w:ind w:left="360" w:hanging="360"/>
      </w:pPr>
      <w:rPr>
        <w:i/>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5EB649C6"/>
    <w:multiLevelType w:val="hybridMultilevel"/>
    <w:tmpl w:val="370C0E10"/>
    <w:lvl w:ilvl="0" w:tplc="FFFFFFFF">
      <w:start w:val="1"/>
      <w:numFmt w:val="lowerLetter"/>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7137479">
    <w:abstractNumId w:val="0"/>
  </w:num>
  <w:num w:numId="2" w16cid:durableId="230235214">
    <w:abstractNumId w:val="3"/>
  </w:num>
  <w:num w:numId="3" w16cid:durableId="1129519272">
    <w:abstractNumId w:val="2"/>
  </w:num>
  <w:num w:numId="4" w16cid:durableId="2043509153">
    <w:abstractNumId w:val="1"/>
  </w:num>
  <w:num w:numId="5" w16cid:durableId="1771659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Formattin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459"/>
    <w:rsid w:val="000828A1"/>
    <w:rsid w:val="00097D37"/>
    <w:rsid w:val="000B07A2"/>
    <w:rsid w:val="00137433"/>
    <w:rsid w:val="001A0788"/>
    <w:rsid w:val="001C300D"/>
    <w:rsid w:val="001C7D46"/>
    <w:rsid w:val="001F6EC0"/>
    <w:rsid w:val="00233CFA"/>
    <w:rsid w:val="002C682A"/>
    <w:rsid w:val="00344E13"/>
    <w:rsid w:val="003C10C2"/>
    <w:rsid w:val="004F4459"/>
    <w:rsid w:val="004F759F"/>
    <w:rsid w:val="0058311B"/>
    <w:rsid w:val="007604C8"/>
    <w:rsid w:val="007619E7"/>
    <w:rsid w:val="008200B9"/>
    <w:rsid w:val="0086410E"/>
    <w:rsid w:val="009450B5"/>
    <w:rsid w:val="0098691B"/>
    <w:rsid w:val="00A06A80"/>
    <w:rsid w:val="00B26DE1"/>
    <w:rsid w:val="00B650CF"/>
    <w:rsid w:val="00B94BDE"/>
    <w:rsid w:val="00C736DB"/>
    <w:rsid w:val="00D35F47"/>
    <w:rsid w:val="00D53175"/>
    <w:rsid w:val="00D95A59"/>
    <w:rsid w:val="00DB2FD7"/>
    <w:rsid w:val="00DF080A"/>
    <w:rsid w:val="00E0493D"/>
    <w:rsid w:val="00E324F4"/>
    <w:rsid w:val="00E4490B"/>
    <w:rsid w:val="00EB1E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C171"/>
  <w15:chartTrackingRefBased/>
  <w15:docId w15:val="{652338C2-982C-473E-833C-6C074013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10E"/>
    <w:pPr>
      <w:spacing w:line="256" w:lineRule="auto"/>
    </w:pPr>
    <w:rPr>
      <w:kern w:val="0"/>
      <w14:ligatures w14:val="none"/>
    </w:rPr>
  </w:style>
  <w:style w:type="paragraph" w:styleId="Ttol1">
    <w:name w:val="heading 1"/>
    <w:basedOn w:val="Normal"/>
    <w:next w:val="Normal"/>
    <w:link w:val="Ttol1Car"/>
    <w:uiPriority w:val="9"/>
    <w:qFormat/>
    <w:rsid w:val="004F445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ol2">
    <w:name w:val="heading 2"/>
    <w:basedOn w:val="Normal"/>
    <w:next w:val="Normal"/>
    <w:link w:val="Ttol2Car"/>
    <w:uiPriority w:val="9"/>
    <w:semiHidden/>
    <w:unhideWhenUsed/>
    <w:qFormat/>
    <w:rsid w:val="004F445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ol3">
    <w:name w:val="heading 3"/>
    <w:basedOn w:val="Normal"/>
    <w:next w:val="Normal"/>
    <w:link w:val="Ttol3Car"/>
    <w:uiPriority w:val="9"/>
    <w:semiHidden/>
    <w:unhideWhenUsed/>
    <w:qFormat/>
    <w:rsid w:val="004F4459"/>
    <w:pPr>
      <w:keepNext/>
      <w:keepLines/>
      <w:spacing w:before="160" w:after="80"/>
      <w:outlineLvl w:val="2"/>
    </w:pPr>
    <w:rPr>
      <w:rFonts w:eastAsiaTheme="majorEastAsia" w:cstheme="majorBidi"/>
      <w:color w:val="2E74B5" w:themeColor="accent1" w:themeShade="BF"/>
      <w:sz w:val="28"/>
      <w:szCs w:val="28"/>
    </w:rPr>
  </w:style>
  <w:style w:type="paragraph" w:styleId="Ttol4">
    <w:name w:val="heading 4"/>
    <w:basedOn w:val="Normal"/>
    <w:next w:val="Normal"/>
    <w:link w:val="Ttol4Car"/>
    <w:uiPriority w:val="9"/>
    <w:semiHidden/>
    <w:unhideWhenUsed/>
    <w:qFormat/>
    <w:rsid w:val="004F4459"/>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4F4459"/>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4F4459"/>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F4459"/>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F4459"/>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F4459"/>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F4459"/>
    <w:rPr>
      <w:rFonts w:asciiTheme="majorHAnsi" w:eastAsiaTheme="majorEastAsia" w:hAnsiTheme="majorHAnsi" w:cstheme="majorBidi"/>
      <w:color w:val="2E74B5" w:themeColor="accent1" w:themeShade="BF"/>
      <w:sz w:val="40"/>
      <w:szCs w:val="40"/>
    </w:rPr>
  </w:style>
  <w:style w:type="character" w:customStyle="1" w:styleId="Ttol2Car">
    <w:name w:val="Títol 2 Car"/>
    <w:basedOn w:val="Lletraperdefectedelpargraf"/>
    <w:link w:val="Ttol2"/>
    <w:uiPriority w:val="9"/>
    <w:semiHidden/>
    <w:rsid w:val="004F4459"/>
    <w:rPr>
      <w:rFonts w:asciiTheme="majorHAnsi" w:eastAsiaTheme="majorEastAsia" w:hAnsiTheme="majorHAnsi" w:cstheme="majorBidi"/>
      <w:color w:val="2E74B5" w:themeColor="accent1" w:themeShade="BF"/>
      <w:sz w:val="32"/>
      <w:szCs w:val="32"/>
    </w:rPr>
  </w:style>
  <w:style w:type="character" w:customStyle="1" w:styleId="Ttol3Car">
    <w:name w:val="Títol 3 Car"/>
    <w:basedOn w:val="Lletraperdefectedelpargraf"/>
    <w:link w:val="Ttol3"/>
    <w:uiPriority w:val="9"/>
    <w:semiHidden/>
    <w:rsid w:val="004F4459"/>
    <w:rPr>
      <w:rFonts w:eastAsiaTheme="majorEastAsia" w:cstheme="majorBidi"/>
      <w:color w:val="2E74B5" w:themeColor="accent1" w:themeShade="BF"/>
      <w:sz w:val="28"/>
      <w:szCs w:val="28"/>
    </w:rPr>
  </w:style>
  <w:style w:type="character" w:customStyle="1" w:styleId="Ttol4Car">
    <w:name w:val="Títol 4 Car"/>
    <w:basedOn w:val="Lletraperdefectedelpargraf"/>
    <w:link w:val="Ttol4"/>
    <w:uiPriority w:val="9"/>
    <w:semiHidden/>
    <w:rsid w:val="004F4459"/>
    <w:rPr>
      <w:rFonts w:eastAsiaTheme="majorEastAsia" w:cstheme="majorBidi"/>
      <w:i/>
      <w:iCs/>
      <w:color w:val="2E74B5" w:themeColor="accent1" w:themeShade="BF"/>
    </w:rPr>
  </w:style>
  <w:style w:type="character" w:customStyle="1" w:styleId="Ttol5Car">
    <w:name w:val="Títol 5 Car"/>
    <w:basedOn w:val="Lletraperdefectedelpargraf"/>
    <w:link w:val="Ttol5"/>
    <w:uiPriority w:val="9"/>
    <w:semiHidden/>
    <w:rsid w:val="004F4459"/>
    <w:rPr>
      <w:rFonts w:eastAsiaTheme="majorEastAsia" w:cstheme="majorBidi"/>
      <w:color w:val="2E74B5" w:themeColor="accent1" w:themeShade="BF"/>
    </w:rPr>
  </w:style>
  <w:style w:type="character" w:customStyle="1" w:styleId="Ttol6Car">
    <w:name w:val="Títol 6 Car"/>
    <w:basedOn w:val="Lletraperdefectedelpargraf"/>
    <w:link w:val="Ttol6"/>
    <w:uiPriority w:val="9"/>
    <w:semiHidden/>
    <w:rsid w:val="004F4459"/>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F4459"/>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F4459"/>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F4459"/>
    <w:rPr>
      <w:rFonts w:eastAsiaTheme="majorEastAsia" w:cstheme="majorBidi"/>
      <w:color w:val="272727" w:themeColor="text1" w:themeTint="D8"/>
    </w:rPr>
  </w:style>
  <w:style w:type="paragraph" w:styleId="Ttol">
    <w:name w:val="Title"/>
    <w:basedOn w:val="Normal"/>
    <w:next w:val="Normal"/>
    <w:link w:val="TtolCar"/>
    <w:uiPriority w:val="10"/>
    <w:qFormat/>
    <w:rsid w:val="004F4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F4459"/>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F4459"/>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F44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4459"/>
    <w:pPr>
      <w:spacing w:before="160"/>
      <w:jc w:val="center"/>
    </w:pPr>
    <w:rPr>
      <w:i/>
      <w:iCs/>
      <w:color w:val="404040" w:themeColor="text1" w:themeTint="BF"/>
    </w:rPr>
  </w:style>
  <w:style w:type="character" w:customStyle="1" w:styleId="CitaCar">
    <w:name w:val="Cita Car"/>
    <w:basedOn w:val="Lletraperdefectedelpargraf"/>
    <w:link w:val="Cita"/>
    <w:uiPriority w:val="29"/>
    <w:rsid w:val="004F4459"/>
    <w:rPr>
      <w:i/>
      <w:iCs/>
      <w:color w:val="404040" w:themeColor="text1" w:themeTint="BF"/>
    </w:rPr>
  </w:style>
  <w:style w:type="paragraph" w:styleId="Pargrafdellista">
    <w:name w:val="List Paragraph"/>
    <w:basedOn w:val="Normal"/>
    <w:uiPriority w:val="34"/>
    <w:qFormat/>
    <w:rsid w:val="004F4459"/>
    <w:pPr>
      <w:ind w:left="720"/>
      <w:contextualSpacing/>
    </w:pPr>
  </w:style>
  <w:style w:type="character" w:styleId="mfasiintens">
    <w:name w:val="Intense Emphasis"/>
    <w:basedOn w:val="Lletraperdefectedelpargraf"/>
    <w:uiPriority w:val="21"/>
    <w:qFormat/>
    <w:rsid w:val="004F4459"/>
    <w:rPr>
      <w:i/>
      <w:iCs/>
      <w:color w:val="2E74B5" w:themeColor="accent1" w:themeShade="BF"/>
    </w:rPr>
  </w:style>
  <w:style w:type="paragraph" w:styleId="Citaintensa">
    <w:name w:val="Intense Quote"/>
    <w:basedOn w:val="Normal"/>
    <w:next w:val="Normal"/>
    <w:link w:val="CitaintensaCar"/>
    <w:uiPriority w:val="30"/>
    <w:qFormat/>
    <w:rsid w:val="004F445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4F4459"/>
    <w:rPr>
      <w:i/>
      <w:iCs/>
      <w:color w:val="2E74B5" w:themeColor="accent1" w:themeShade="BF"/>
    </w:rPr>
  </w:style>
  <w:style w:type="character" w:styleId="Refernciaintensa">
    <w:name w:val="Intense Reference"/>
    <w:basedOn w:val="Lletraperdefectedelpargraf"/>
    <w:uiPriority w:val="32"/>
    <w:qFormat/>
    <w:rsid w:val="004F4459"/>
    <w:rPr>
      <w:b/>
      <w:bCs/>
      <w:smallCaps/>
      <w:color w:val="2E74B5" w:themeColor="accent1" w:themeShade="BF"/>
      <w:spacing w:val="5"/>
    </w:rPr>
  </w:style>
  <w:style w:type="table" w:styleId="Taulaambquadrcula">
    <w:name w:val="Table Grid"/>
    <w:basedOn w:val="Taulanormal"/>
    <w:uiPriority w:val="59"/>
    <w:rsid w:val="0086410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7604C8"/>
    <w:pPr>
      <w:spacing w:after="0" w:line="240" w:lineRule="auto"/>
    </w:pPr>
    <w:rPr>
      <w:kern w:val="0"/>
      <w14:ligatures w14:val="none"/>
    </w:rPr>
  </w:style>
  <w:style w:type="character" w:styleId="Refernciadecomentari">
    <w:name w:val="annotation reference"/>
    <w:basedOn w:val="Lletraperdefectedelpargraf"/>
    <w:uiPriority w:val="99"/>
    <w:semiHidden/>
    <w:unhideWhenUsed/>
    <w:rsid w:val="00137433"/>
    <w:rPr>
      <w:sz w:val="16"/>
      <w:szCs w:val="16"/>
    </w:rPr>
  </w:style>
  <w:style w:type="paragraph" w:styleId="Textdecomentari">
    <w:name w:val="annotation text"/>
    <w:basedOn w:val="Normal"/>
    <w:link w:val="TextdecomentariCar"/>
    <w:uiPriority w:val="99"/>
    <w:unhideWhenUsed/>
    <w:rsid w:val="00137433"/>
    <w:pPr>
      <w:spacing w:line="240" w:lineRule="auto"/>
    </w:pPr>
    <w:rPr>
      <w:sz w:val="20"/>
      <w:szCs w:val="20"/>
    </w:rPr>
  </w:style>
  <w:style w:type="character" w:customStyle="1" w:styleId="TextdecomentariCar">
    <w:name w:val="Text de comentari Car"/>
    <w:basedOn w:val="Lletraperdefectedelpargraf"/>
    <w:link w:val="Textdecomentari"/>
    <w:uiPriority w:val="99"/>
    <w:rsid w:val="00137433"/>
    <w:rPr>
      <w:kern w:val="0"/>
      <w:sz w:val="20"/>
      <w:szCs w:val="20"/>
      <w14:ligatures w14:val="none"/>
    </w:rPr>
  </w:style>
  <w:style w:type="paragraph" w:styleId="Temadelcomentari">
    <w:name w:val="annotation subject"/>
    <w:basedOn w:val="Textdecomentari"/>
    <w:next w:val="Textdecomentari"/>
    <w:link w:val="TemadelcomentariCar"/>
    <w:uiPriority w:val="99"/>
    <w:semiHidden/>
    <w:unhideWhenUsed/>
    <w:rsid w:val="00137433"/>
    <w:rPr>
      <w:b/>
      <w:bCs/>
    </w:rPr>
  </w:style>
  <w:style w:type="character" w:customStyle="1" w:styleId="TemadelcomentariCar">
    <w:name w:val="Tema del comentari Car"/>
    <w:basedOn w:val="TextdecomentariCar"/>
    <w:link w:val="Temadelcomentari"/>
    <w:uiPriority w:val="99"/>
    <w:semiHidden/>
    <w:rsid w:val="0013743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947</Words>
  <Characters>5399</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XALOC</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4</cp:revision>
  <dcterms:created xsi:type="dcterms:W3CDTF">2026-07-07T08:03:00Z</dcterms:created>
  <dcterms:modified xsi:type="dcterms:W3CDTF">2026-07-30T11:19:00Z</dcterms:modified>
</cp:coreProperties>
</file>