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B8760" w14:textId="77777777" w:rsidR="0018472A" w:rsidRDefault="0018472A" w:rsidP="000E7539">
      <w:pPr>
        <w:rPr>
          <w:rFonts w:ascii="Calibri" w:eastAsia="Calibri" w:hAnsi="Calibri" w:cs="Calibri"/>
          <w:b/>
          <w:bCs/>
          <w:u w:val="single"/>
        </w:rPr>
      </w:pPr>
    </w:p>
    <w:p w14:paraId="30D5192F" w14:textId="77777777" w:rsidR="0018472A" w:rsidRDefault="00761A30">
      <w:pPr>
        <w:jc w:val="center"/>
        <w:rPr>
          <w:rFonts w:ascii="Calibri" w:eastAsia="Calibri" w:hAnsi="Calibri" w:cs="Calibri"/>
          <w:b/>
          <w:bCs/>
          <w:u w:val="single"/>
        </w:rPr>
      </w:pPr>
      <w:r>
        <w:rPr>
          <w:rFonts w:ascii="Calibri" w:eastAsia="Calibri" w:hAnsi="Calibri" w:cs="Calibri"/>
          <w:b/>
          <w:bCs/>
          <w:u w:val="single"/>
        </w:rPr>
        <w:t>RESOLUCIÓN</w:t>
      </w:r>
    </w:p>
    <w:p w14:paraId="7A33F976" w14:textId="77777777" w:rsidR="0018472A" w:rsidRDefault="0018472A">
      <w:pPr>
        <w:rPr>
          <w:rFonts w:ascii="Calibri" w:eastAsia="Calibri" w:hAnsi="Calibri" w:cs="Calibri"/>
          <w:b/>
          <w:bCs/>
          <w:u w:val="single"/>
        </w:rPr>
      </w:pPr>
    </w:p>
    <w:p w14:paraId="36F61875" w14:textId="77777777" w:rsidR="0018472A" w:rsidRDefault="00761A30">
      <w:pPr>
        <w:jc w:val="center"/>
        <w:rPr>
          <w:rFonts w:ascii="Calibri" w:eastAsia="Calibri" w:hAnsi="Calibri" w:cs="Calibri"/>
          <w:b/>
          <w:bCs/>
        </w:rPr>
      </w:pPr>
      <w:r>
        <w:rPr>
          <w:rFonts w:ascii="Calibri" w:eastAsia="Calibri" w:hAnsi="Calibri" w:cs="Calibri"/>
          <w:b/>
          <w:bCs/>
        </w:rPr>
        <w:t>ANTECEDENTES DE HECHO</w:t>
      </w:r>
    </w:p>
    <w:p w14:paraId="1A150C42" w14:textId="4D6FAA8E" w:rsidR="0018472A" w:rsidRDefault="00761A30">
      <w:pPr>
        <w:jc w:val="both"/>
        <w:rPr>
          <w:rFonts w:ascii="Calibri" w:eastAsia="Calibri" w:hAnsi="Calibri" w:cs="Calibri"/>
        </w:rPr>
      </w:pPr>
      <w:r>
        <w:rPr>
          <w:rFonts w:ascii="Calibri" w:eastAsia="Calibri" w:hAnsi="Calibri" w:cs="Calibri"/>
          <w:b/>
          <w:bCs/>
        </w:rPr>
        <w:t>I.-</w:t>
      </w:r>
      <w:r>
        <w:rPr>
          <w:rFonts w:ascii="Calibri" w:eastAsia="Calibri" w:hAnsi="Calibri" w:cs="Calibri"/>
        </w:rPr>
        <w:t xml:space="preserve"> La Asociación Cultural TGK es una entidad estudiantil, sin ánimo de lucro, vinculada a La Escuela Técnica Superior de Ingeniería de las Telecomunicaciones de Barcelona de la UPC que, desde el año 1978, organiza anualmente el festival universitario Telecogresca, constituyendo uno de los eventos universitarios con más tradición y más multitudinarios de todo el estado. Consta inscrita en el Registro de </w:t>
      </w:r>
      <w:proofErr w:type="spellStart"/>
      <w:r>
        <w:rPr>
          <w:rFonts w:ascii="Calibri" w:eastAsia="Calibri" w:hAnsi="Calibri" w:cs="Calibri"/>
        </w:rPr>
        <w:t>asociaciones</w:t>
      </w:r>
      <w:proofErr w:type="spellEnd"/>
      <w:r>
        <w:rPr>
          <w:rFonts w:ascii="Calibri" w:eastAsia="Calibri" w:hAnsi="Calibri" w:cs="Calibri"/>
        </w:rPr>
        <w:t xml:space="preserve"> de la Generali</w:t>
      </w:r>
      <w:r w:rsidR="00A22836">
        <w:rPr>
          <w:rFonts w:ascii="Calibri" w:eastAsia="Calibri" w:hAnsi="Calibri" w:cs="Calibri"/>
        </w:rPr>
        <w:t>t</w:t>
      </w:r>
      <w:r>
        <w:rPr>
          <w:rFonts w:ascii="Calibri" w:eastAsia="Calibri" w:hAnsi="Calibri" w:cs="Calibri"/>
        </w:rPr>
        <w:t>a</w:t>
      </w:r>
      <w:r w:rsidR="00A22836">
        <w:rPr>
          <w:rFonts w:ascii="Calibri" w:eastAsia="Calibri" w:hAnsi="Calibri" w:cs="Calibri"/>
        </w:rPr>
        <w:t>t</w:t>
      </w:r>
      <w:r>
        <w:rPr>
          <w:rFonts w:ascii="Calibri" w:eastAsia="Calibri" w:hAnsi="Calibri" w:cs="Calibri"/>
        </w:rPr>
        <w:t xml:space="preserve"> de Cataluña, con el número 47.028, y en el Registro de Asociaciones de la UPC, con el número 128, y </w:t>
      </w:r>
      <w:proofErr w:type="spellStart"/>
      <w:r>
        <w:rPr>
          <w:rFonts w:ascii="Calibri" w:eastAsia="Calibri" w:hAnsi="Calibri" w:cs="Calibri"/>
        </w:rPr>
        <w:t>bajo</w:t>
      </w:r>
      <w:proofErr w:type="spellEnd"/>
      <w:r>
        <w:rPr>
          <w:rFonts w:ascii="Calibri" w:eastAsia="Calibri" w:hAnsi="Calibri" w:cs="Calibri"/>
        </w:rPr>
        <w:t xml:space="preserve"> la </w:t>
      </w:r>
      <w:proofErr w:type="spellStart"/>
      <w:r>
        <w:rPr>
          <w:rFonts w:ascii="Calibri" w:eastAsia="Calibri" w:hAnsi="Calibri" w:cs="Calibri"/>
        </w:rPr>
        <w:t>denominación</w:t>
      </w:r>
      <w:proofErr w:type="spellEnd"/>
      <w:r>
        <w:rPr>
          <w:rFonts w:ascii="Calibri" w:eastAsia="Calibri" w:hAnsi="Calibri" w:cs="Calibri"/>
        </w:rPr>
        <w:t xml:space="preserve"> </w:t>
      </w:r>
      <w:proofErr w:type="spellStart"/>
      <w:r>
        <w:rPr>
          <w:rFonts w:ascii="Calibri" w:eastAsia="Calibri" w:hAnsi="Calibri" w:cs="Calibri"/>
        </w:rPr>
        <w:t>Asociació</w:t>
      </w:r>
      <w:proofErr w:type="spellEnd"/>
      <w:r>
        <w:rPr>
          <w:rFonts w:ascii="Calibri" w:eastAsia="Calibri" w:hAnsi="Calibri" w:cs="Calibri"/>
        </w:rPr>
        <w:t xml:space="preserve"> Cultural </w:t>
      </w:r>
      <w:proofErr w:type="spellStart"/>
      <w:r>
        <w:rPr>
          <w:rFonts w:ascii="Calibri" w:eastAsia="Calibri" w:hAnsi="Calibri" w:cs="Calibri"/>
        </w:rPr>
        <w:t>Telecogresca</w:t>
      </w:r>
      <w:proofErr w:type="spellEnd"/>
      <w:r>
        <w:rPr>
          <w:rFonts w:ascii="Calibri" w:eastAsia="Calibri" w:hAnsi="Calibri" w:cs="Calibri"/>
        </w:rPr>
        <w:t xml:space="preserve">.   </w:t>
      </w:r>
    </w:p>
    <w:p w14:paraId="34840BF4" w14:textId="77777777" w:rsidR="0018472A" w:rsidRDefault="00761A30">
      <w:pPr>
        <w:jc w:val="both"/>
        <w:rPr>
          <w:rFonts w:ascii="Calibri" w:eastAsia="Calibri" w:hAnsi="Calibri" w:cs="Calibri"/>
        </w:rPr>
      </w:pPr>
      <w:r>
        <w:rPr>
          <w:rFonts w:ascii="Calibri" w:eastAsia="Calibri" w:hAnsi="Calibri" w:cs="Calibri"/>
          <w:b/>
          <w:bCs/>
        </w:rPr>
        <w:t>II.-</w:t>
      </w:r>
      <w:r>
        <w:rPr>
          <w:rFonts w:ascii="Calibri" w:eastAsia="Calibri" w:hAnsi="Calibri" w:cs="Calibri"/>
        </w:rPr>
        <w:t xml:space="preserve"> El evento tiene un carácter marcadamente cultural, social y de cohesión de la comunidad universitaria, integrando actividades artísticas, musicales y de dinamización institucional. </w:t>
      </w:r>
    </w:p>
    <w:p w14:paraId="48CB7086" w14:textId="77777777" w:rsidR="0018472A" w:rsidRDefault="00761A30">
      <w:pPr>
        <w:jc w:val="both"/>
        <w:rPr>
          <w:rFonts w:ascii="Calibri" w:eastAsia="Calibri" w:hAnsi="Calibri" w:cs="Calibri"/>
        </w:rPr>
      </w:pPr>
      <w:r>
        <w:rPr>
          <w:rFonts w:ascii="Calibri" w:eastAsia="Calibri" w:hAnsi="Calibri" w:cs="Calibri"/>
          <w:b/>
          <w:bCs/>
        </w:rPr>
        <w:t>III.-</w:t>
      </w:r>
      <w:r>
        <w:rPr>
          <w:rFonts w:ascii="Calibri" w:eastAsia="Calibri" w:hAnsi="Calibri" w:cs="Calibri"/>
        </w:rPr>
        <w:t xml:space="preserve"> Las últimas ediciones del evento se han celebrado en el Parc del Fòrum de Barcelona, gestionado por la mercantil Barcelona de Serveis Municipals, en adelante BSM, participada íntegramente por el Ayuntamiento de Barcelona, para poder garantizar un espacio seguro y adecuado a los más de 100.000 asistentes que han participado.  </w:t>
      </w:r>
    </w:p>
    <w:p w14:paraId="3FA89933" w14:textId="77777777" w:rsidR="0018472A" w:rsidRDefault="00761A30">
      <w:pPr>
        <w:jc w:val="both"/>
        <w:rPr>
          <w:rFonts w:ascii="Calibri" w:eastAsia="Calibri" w:hAnsi="Calibri" w:cs="Calibri"/>
        </w:rPr>
      </w:pPr>
      <w:r>
        <w:rPr>
          <w:rFonts w:ascii="Calibri" w:eastAsia="Calibri" w:hAnsi="Calibri" w:cs="Calibri"/>
          <w:b/>
          <w:bCs/>
        </w:rPr>
        <w:t>IV.-</w:t>
      </w:r>
      <w:r>
        <w:rPr>
          <w:rFonts w:ascii="Calibri" w:eastAsia="Calibri" w:hAnsi="Calibri" w:cs="Calibri"/>
        </w:rPr>
        <w:t xml:space="preserve"> En relación a la edición de este 2026, prevista para el día 28 de marzo, se ha producido un aumento sobrevenido y significativo de costes asociados a: </w:t>
      </w:r>
    </w:p>
    <w:p w14:paraId="420A0F2C" w14:textId="77777777" w:rsidR="0018472A" w:rsidRDefault="00761A30">
      <w:pPr>
        <w:spacing w:after="0"/>
        <w:jc w:val="both"/>
        <w:rPr>
          <w:rFonts w:ascii="Calibri" w:eastAsia="Calibri" w:hAnsi="Calibri" w:cs="Calibri"/>
        </w:rPr>
      </w:pPr>
      <w:r>
        <w:rPr>
          <w:rFonts w:ascii="Calibri" w:eastAsia="Calibri" w:hAnsi="Calibri" w:cs="Calibri"/>
        </w:rPr>
        <w:t>-</w:t>
      </w:r>
      <w:r>
        <w:rPr>
          <w:rFonts w:ascii="Calibri" w:eastAsia="Calibri" w:hAnsi="Calibri" w:cs="Calibri"/>
        </w:rPr>
        <w:tab/>
        <w:t xml:space="preserve">La cesión y adecuación de espacios. </w:t>
      </w:r>
    </w:p>
    <w:p w14:paraId="16F4D611" w14:textId="77777777" w:rsidR="0018472A" w:rsidRDefault="00761A30">
      <w:pPr>
        <w:spacing w:after="0"/>
        <w:jc w:val="both"/>
        <w:rPr>
          <w:rFonts w:ascii="Calibri" w:eastAsia="Calibri" w:hAnsi="Calibri" w:cs="Calibri"/>
        </w:rPr>
      </w:pPr>
      <w:r>
        <w:rPr>
          <w:rFonts w:ascii="Calibri" w:eastAsia="Calibri" w:hAnsi="Calibri" w:cs="Calibri"/>
        </w:rPr>
        <w:t>-</w:t>
      </w:r>
      <w:r>
        <w:rPr>
          <w:rFonts w:ascii="Calibri" w:eastAsia="Calibri" w:hAnsi="Calibri" w:cs="Calibri"/>
        </w:rPr>
        <w:tab/>
        <w:t xml:space="preserve">Los servicios de seguridad y control de accesos. </w:t>
      </w:r>
    </w:p>
    <w:p w14:paraId="49C4FDCD" w14:textId="77777777" w:rsidR="0018472A" w:rsidRDefault="00761A30">
      <w:pPr>
        <w:spacing w:after="0"/>
        <w:jc w:val="both"/>
        <w:rPr>
          <w:rFonts w:ascii="Calibri" w:eastAsia="Calibri" w:hAnsi="Calibri" w:cs="Calibri"/>
        </w:rPr>
      </w:pPr>
      <w:r>
        <w:rPr>
          <w:rFonts w:ascii="Calibri" w:eastAsia="Calibri" w:hAnsi="Calibri" w:cs="Calibri"/>
        </w:rPr>
        <w:t>-</w:t>
      </w:r>
      <w:r>
        <w:rPr>
          <w:rFonts w:ascii="Calibri" w:eastAsia="Calibri" w:hAnsi="Calibri" w:cs="Calibri"/>
        </w:rPr>
        <w:tab/>
        <w:t xml:space="preserve">Los servicios técnicos (sonido, iluminación, asistencia médica e infraestructura). </w:t>
      </w:r>
    </w:p>
    <w:p w14:paraId="25498115" w14:textId="77777777" w:rsidR="0018472A" w:rsidRDefault="00761A30">
      <w:pPr>
        <w:spacing w:after="0"/>
        <w:jc w:val="both"/>
        <w:rPr>
          <w:rFonts w:ascii="Calibri" w:eastAsia="Calibri" w:hAnsi="Calibri" w:cs="Calibri"/>
        </w:rPr>
      </w:pPr>
      <w:r>
        <w:rPr>
          <w:rFonts w:ascii="Calibri" w:eastAsia="Calibri" w:hAnsi="Calibri" w:cs="Calibri"/>
        </w:rPr>
        <w:t>-</w:t>
      </w:r>
      <w:r>
        <w:rPr>
          <w:rFonts w:ascii="Calibri" w:eastAsia="Calibri" w:hAnsi="Calibri" w:cs="Calibri"/>
        </w:rPr>
        <w:tab/>
        <w:t xml:space="preserve">Los materiales y dispositivos de seguridad. </w:t>
      </w:r>
    </w:p>
    <w:p w14:paraId="0FE9D3C8" w14:textId="77777777" w:rsidR="0018472A" w:rsidRDefault="0018472A">
      <w:pPr>
        <w:spacing w:after="0"/>
        <w:jc w:val="both"/>
        <w:rPr>
          <w:rFonts w:ascii="Calibri" w:eastAsia="Calibri" w:hAnsi="Calibri" w:cs="Calibri"/>
        </w:rPr>
      </w:pPr>
    </w:p>
    <w:p w14:paraId="186E4845" w14:textId="77777777" w:rsidR="0018472A" w:rsidRDefault="00761A30">
      <w:pPr>
        <w:jc w:val="both"/>
        <w:rPr>
          <w:rFonts w:ascii="Calibri" w:eastAsia="Calibri" w:hAnsi="Calibri" w:cs="Calibri"/>
        </w:rPr>
      </w:pPr>
      <w:r>
        <w:rPr>
          <w:rFonts w:ascii="Calibri" w:eastAsia="Calibri" w:hAnsi="Calibri" w:cs="Calibri"/>
        </w:rPr>
        <w:t xml:space="preserve">Este incremento responde a la actualización de las condiciones económicas establecidas por BSM, tanto por la cesión de los espacios como por los servicios vinculados a su uso.  </w:t>
      </w:r>
    </w:p>
    <w:p w14:paraId="59D743C6" w14:textId="77777777" w:rsidR="0018472A" w:rsidRDefault="00761A30">
      <w:pPr>
        <w:jc w:val="both"/>
        <w:rPr>
          <w:rFonts w:ascii="Calibri" w:eastAsia="Calibri" w:hAnsi="Calibri" w:cs="Calibri"/>
        </w:rPr>
      </w:pPr>
      <w:r>
        <w:rPr>
          <w:rFonts w:ascii="Calibri" w:eastAsia="Calibri" w:hAnsi="Calibri" w:cs="Calibri"/>
          <w:b/>
          <w:bCs/>
        </w:rPr>
        <w:t>V.-</w:t>
      </w:r>
      <w:r>
        <w:rPr>
          <w:rFonts w:ascii="Calibri" w:eastAsia="Calibri" w:hAnsi="Calibri" w:cs="Calibri"/>
        </w:rPr>
        <w:t xml:space="preserve"> Dada su relevancia, desde un punto de vista social y cultural, y con la voluntad de fomentar la continuidad de un proyecto asociativo vinculado estrechamente a la UPC, resulta de interés subvencionar, con carácter excepcional, puntual y no recurrente, una parte de los costes sobrevenidos derivados del incremento de las exigencias técnicas, de seguridad y logística indispensables para garantizar la integridad de los asistentes y el correcto desarrollo del acto en un contexto de concurrencia masiva.</w:t>
      </w:r>
    </w:p>
    <w:p w14:paraId="324FF26D" w14:textId="4CCA319D" w:rsidR="0018472A" w:rsidRDefault="00761A30">
      <w:pPr>
        <w:jc w:val="both"/>
        <w:rPr>
          <w:rFonts w:ascii="Calibri" w:eastAsia="Calibri" w:hAnsi="Calibri" w:cs="Calibri"/>
        </w:rPr>
      </w:pPr>
      <w:r>
        <w:rPr>
          <w:rFonts w:ascii="Calibri" w:eastAsia="Calibri" w:hAnsi="Calibri" w:cs="Calibri"/>
          <w:b/>
          <w:bCs/>
        </w:rPr>
        <w:lastRenderedPageBreak/>
        <w:t xml:space="preserve">VI.- </w:t>
      </w:r>
      <w:r>
        <w:rPr>
          <w:rFonts w:ascii="Calibri" w:eastAsia="Calibri" w:hAnsi="Calibri" w:cs="Calibri"/>
        </w:rPr>
        <w:t xml:space="preserve">El importe de la subvención es de 35.000.-euros, que se abonarán de forma anticipada, para que la beneficiaria pueda hacer frente a los gastos de organización y desarrollo del certamen. </w:t>
      </w:r>
    </w:p>
    <w:p w14:paraId="4013FDDD" w14:textId="77777777" w:rsidR="0018472A" w:rsidRDefault="0018472A">
      <w:pPr>
        <w:jc w:val="both"/>
        <w:rPr>
          <w:rFonts w:ascii="Calibri" w:eastAsia="Calibri" w:hAnsi="Calibri" w:cs="Calibri"/>
        </w:rPr>
      </w:pPr>
    </w:p>
    <w:p w14:paraId="59FEDEF3" w14:textId="77777777" w:rsidR="0018472A" w:rsidRDefault="00761A30">
      <w:pPr>
        <w:jc w:val="center"/>
        <w:rPr>
          <w:rFonts w:ascii="Calibri" w:eastAsia="Calibri" w:hAnsi="Calibri" w:cs="Calibri"/>
          <w:b/>
          <w:bCs/>
        </w:rPr>
      </w:pPr>
      <w:r>
        <w:rPr>
          <w:rFonts w:ascii="Calibri" w:eastAsia="Calibri" w:hAnsi="Calibri" w:cs="Calibri"/>
          <w:b/>
          <w:bCs/>
        </w:rPr>
        <w:t>FUNDAMENTOS DE DERECHO</w:t>
      </w:r>
    </w:p>
    <w:p w14:paraId="21BBFE0D" w14:textId="77777777" w:rsidR="0018472A" w:rsidRDefault="00761A30">
      <w:pPr>
        <w:jc w:val="both"/>
        <w:rPr>
          <w:rFonts w:ascii="Calibri" w:eastAsia="Calibri" w:hAnsi="Calibri" w:cs="Calibri"/>
        </w:rPr>
      </w:pPr>
      <w:r>
        <w:rPr>
          <w:rFonts w:ascii="Calibri" w:eastAsia="Calibri" w:hAnsi="Calibri" w:cs="Calibri"/>
          <w:b/>
          <w:bCs/>
        </w:rPr>
        <w:t xml:space="preserve">PRIMERO.- </w:t>
      </w:r>
      <w:r>
        <w:rPr>
          <w:rFonts w:ascii="Calibri" w:eastAsia="Calibri" w:hAnsi="Calibri" w:cs="Calibri"/>
        </w:rPr>
        <w:t xml:space="preserve">La subvención se concede en virtud de las facultades de fomento y promoción de actividades de carácter cultural y social de la comunidad universitaria, previstas de acuerdo con:  </w:t>
      </w:r>
    </w:p>
    <w:p w14:paraId="440DF02B" w14:textId="77777777" w:rsidR="0018472A" w:rsidRDefault="00761A30">
      <w:pPr>
        <w:jc w:val="both"/>
        <w:rPr>
          <w:rFonts w:ascii="Calibri" w:eastAsia="Calibri" w:hAnsi="Calibri" w:cs="Calibri"/>
        </w:rPr>
      </w:pPr>
      <w:r>
        <w:rPr>
          <w:rFonts w:ascii="Calibri" w:eastAsia="Calibri" w:hAnsi="Calibri" w:cs="Calibri"/>
        </w:rPr>
        <w:t xml:space="preserve">- El artículo 19.2 de la Ley Orgánica 2/2023, de 22 de marzo, del Sistema Universitario, en adelante LOSU, que establece que las universidades fomentarán el protagonismo activo en la vida universitaria, favoreciendo un aprendizaje integral mediante actividades de carácter cultural, deportivo, de representación estudiantil, solidarias, de voluntariado y de cooperación al desarrollo. </w:t>
      </w:r>
    </w:p>
    <w:p w14:paraId="65C38B58" w14:textId="77777777" w:rsidR="0018472A" w:rsidRDefault="00761A30">
      <w:pPr>
        <w:jc w:val="both"/>
        <w:rPr>
          <w:rFonts w:ascii="Calibri" w:eastAsia="Calibri" w:hAnsi="Calibri" w:cs="Calibri"/>
        </w:rPr>
      </w:pPr>
      <w:r>
        <w:rPr>
          <w:rFonts w:ascii="Calibri" w:eastAsia="Calibri" w:hAnsi="Calibri" w:cs="Calibri"/>
        </w:rPr>
        <w:t xml:space="preserve">- El artículo 34.2 LOSU que dispone que las universidades promoverán y facilitarán la participación del estudiantado en actividades de representación y asociacionismo estudiantil, así como su implicación activa en la vida y actividad universitarias. </w:t>
      </w:r>
    </w:p>
    <w:p w14:paraId="19C59420" w14:textId="77777777" w:rsidR="0018472A" w:rsidRDefault="00761A30">
      <w:pPr>
        <w:jc w:val="both"/>
        <w:rPr>
          <w:rFonts w:ascii="Calibri" w:eastAsia="Calibri" w:hAnsi="Calibri" w:cs="Calibri"/>
        </w:rPr>
      </w:pPr>
      <w:r>
        <w:rPr>
          <w:rFonts w:ascii="Calibri" w:eastAsia="Calibri" w:hAnsi="Calibri" w:cs="Calibri"/>
        </w:rPr>
        <w:t xml:space="preserve">- El artículo 166.1 de los Estatutos de la UPC que prevé que la Universidad se abre a la vida cultural de su entorno, fomenta los actos y las expresiones culturales y artísticas y promueve la actividad y el deporte.  </w:t>
      </w:r>
    </w:p>
    <w:p w14:paraId="4BD04B58" w14:textId="77777777" w:rsidR="0018472A" w:rsidRDefault="00761A30">
      <w:pPr>
        <w:jc w:val="both"/>
        <w:rPr>
          <w:rFonts w:ascii="Calibri" w:eastAsia="Calibri" w:hAnsi="Calibri" w:cs="Calibri"/>
        </w:rPr>
      </w:pPr>
      <w:r>
        <w:rPr>
          <w:rFonts w:ascii="Calibri" w:eastAsia="Calibri" w:hAnsi="Calibri" w:cs="Calibri"/>
          <w:b/>
          <w:bCs/>
        </w:rPr>
        <w:t xml:space="preserve">SEGUNDO.- </w:t>
      </w:r>
      <w:r>
        <w:rPr>
          <w:rFonts w:ascii="Calibri" w:eastAsia="Calibri" w:hAnsi="Calibri" w:cs="Calibri"/>
        </w:rPr>
        <w:t xml:space="preserve">El artículo 22.2 c) de la Ley 38/2003, de 17 de noviembre, general de subvenciones, en adelante LGS, establece que, con carácter excepcional, se podrán conceder aquellas subvenciones en que se acrediten razones de interés público, social, económico o cultural. </w:t>
      </w:r>
    </w:p>
    <w:p w14:paraId="10E73FE5" w14:textId="77777777" w:rsidR="0018472A" w:rsidRDefault="00761A30">
      <w:pPr>
        <w:jc w:val="both"/>
        <w:rPr>
          <w:rFonts w:ascii="Calibri" w:eastAsia="Calibri" w:hAnsi="Calibri" w:cs="Calibri"/>
        </w:rPr>
      </w:pPr>
      <w:r>
        <w:rPr>
          <w:rFonts w:ascii="Calibri" w:eastAsia="Calibri" w:hAnsi="Calibri" w:cs="Calibri"/>
        </w:rPr>
        <w:t xml:space="preserve">El artículo 90.3 c) del Decreto Legislativo 3/2002, de 24 de diciembre, por el que se aprueba el texto refundido de la Ley de finanzas públicas de Cataluña, en adelante TRLFPC, establece que la concurrencia no es preceptiva en la concesión de subvenciones si por la especificidad y las características del beneficiario o de la actividad subvencionada no es posible, de una manera objetivable,  promover la concurrencia pública.  </w:t>
      </w:r>
    </w:p>
    <w:p w14:paraId="128AEE44" w14:textId="77777777" w:rsidR="0018472A" w:rsidRDefault="00761A30">
      <w:pPr>
        <w:spacing w:before="240" w:after="240"/>
        <w:jc w:val="both"/>
        <w:rPr>
          <w:rFonts w:ascii="Calibri" w:eastAsia="Calibri" w:hAnsi="Calibri" w:cs="Calibri"/>
        </w:rPr>
      </w:pPr>
      <w:r>
        <w:rPr>
          <w:rFonts w:ascii="Calibri" w:eastAsia="Calibri" w:hAnsi="Calibri" w:cs="Calibri"/>
        </w:rPr>
        <w:t xml:space="preserve">La subvención no puede ser sometida a convocatoria pública, dado que la actividad que resulta de interés subvencionar se prepara, se organiza y se desarrolla por la beneficiaria y se concede, de forma excepcional, para asegurar la celebración de este año de un certamen que se considera de interés público y social por la Universidad.  </w:t>
      </w:r>
    </w:p>
    <w:p w14:paraId="76E35169" w14:textId="77777777" w:rsidR="0018472A" w:rsidRDefault="00761A30">
      <w:pPr>
        <w:jc w:val="both"/>
        <w:rPr>
          <w:rFonts w:ascii="Calibri" w:eastAsia="Calibri" w:hAnsi="Calibri" w:cs="Calibri"/>
        </w:rPr>
      </w:pPr>
      <w:r>
        <w:rPr>
          <w:rFonts w:ascii="Calibri" w:eastAsia="Calibri" w:hAnsi="Calibri" w:cs="Calibri"/>
          <w:b/>
          <w:bCs/>
        </w:rPr>
        <w:lastRenderedPageBreak/>
        <w:t>TERCERO.-</w:t>
      </w:r>
      <w:r>
        <w:rPr>
          <w:rFonts w:ascii="Calibri" w:eastAsia="Calibri" w:hAnsi="Calibri" w:cs="Calibri"/>
        </w:rPr>
        <w:t xml:space="preserve"> La subvención se regirá por la LGS, el Real Decreto 887/2006, de 21 de julio, por el que se aprueba el Reglamento de la LGS; el TRLFPC; la Ley 40/2015, de 1 de octubre, de Régimen Jurídico del Sector Público; los artículos 24 y 25 de las bases de ejecución del presupuesto de 2026 de la UPC, así como las restantes normas de derecho administrativo que,  en su caso, serán aplicables y, en su defecto, las restantes normas de derecho privado.</w:t>
      </w:r>
    </w:p>
    <w:p w14:paraId="09B71784" w14:textId="77777777" w:rsidR="0018472A" w:rsidRDefault="00761A30">
      <w:pPr>
        <w:jc w:val="both"/>
        <w:rPr>
          <w:rFonts w:ascii="Calibri" w:eastAsia="Calibri" w:hAnsi="Calibri" w:cs="Calibri"/>
        </w:rPr>
      </w:pPr>
      <w:r>
        <w:rPr>
          <w:rFonts w:ascii="Calibri" w:eastAsia="Calibri" w:hAnsi="Calibri" w:cs="Calibri"/>
          <w:b/>
          <w:bCs/>
        </w:rPr>
        <w:t xml:space="preserve">CUARTO.- </w:t>
      </w:r>
      <w:r>
        <w:rPr>
          <w:rFonts w:ascii="Calibri" w:eastAsia="Calibri" w:hAnsi="Calibri" w:cs="Calibri"/>
        </w:rPr>
        <w:t xml:space="preserve">Las condiciones, la forma de pago y las obligaciones de la beneficiaria quedarán establecidas en el convenio regulador, de acuerdo con el artículo 28 LGS.  </w:t>
      </w:r>
    </w:p>
    <w:p w14:paraId="500DEBDC" w14:textId="77777777" w:rsidR="0018472A" w:rsidRDefault="00761A30">
      <w:pPr>
        <w:jc w:val="both"/>
        <w:rPr>
          <w:rFonts w:ascii="Calibri" w:eastAsia="Calibri" w:hAnsi="Calibri" w:cs="Calibri"/>
        </w:rPr>
      </w:pPr>
      <w:r>
        <w:rPr>
          <w:rFonts w:ascii="Calibri" w:eastAsia="Calibri" w:hAnsi="Calibri" w:cs="Calibri"/>
          <w:b/>
          <w:bCs/>
        </w:rPr>
        <w:t xml:space="preserve">QUINTO.- </w:t>
      </w:r>
      <w:r>
        <w:rPr>
          <w:rFonts w:ascii="Calibri" w:eastAsia="Calibri" w:hAnsi="Calibri" w:cs="Calibri"/>
        </w:rPr>
        <w:t xml:space="preserve">En virtud de lo dispuesto en los artículos 228.b) y 230 de los Estatutos vigentes de la universidad, el rector es competente para autorizar los gastos u ordenar los pagos, en el ámbito de sus competencias. </w:t>
      </w:r>
    </w:p>
    <w:p w14:paraId="411E26A5" w14:textId="77777777" w:rsidR="0018472A" w:rsidRDefault="00761A30">
      <w:pPr>
        <w:jc w:val="both"/>
        <w:rPr>
          <w:rFonts w:ascii="Calibri" w:eastAsia="Calibri" w:hAnsi="Calibri" w:cs="Calibri"/>
        </w:rPr>
      </w:pPr>
      <w:r>
        <w:rPr>
          <w:rFonts w:ascii="Calibri" w:eastAsia="Calibri" w:hAnsi="Calibri" w:cs="Calibri"/>
          <w:b/>
          <w:bCs/>
        </w:rPr>
        <w:t xml:space="preserve">SEXTO.- </w:t>
      </w:r>
      <w:r>
        <w:rPr>
          <w:rFonts w:ascii="Calibri" w:eastAsia="Calibri" w:hAnsi="Calibri" w:cs="Calibri"/>
        </w:rPr>
        <w:t xml:space="preserve">De acuerdo con el certificado que acredita la disponibilidad de crédito a cargo de la partida presupuestal: </w:t>
      </w:r>
    </w:p>
    <w:tbl>
      <w:tblPr>
        <w:tblStyle w:val="a"/>
        <w:tblW w:w="76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50"/>
        <w:gridCol w:w="2415"/>
        <w:gridCol w:w="2655"/>
      </w:tblGrid>
      <w:tr w:rsidR="0018472A" w14:paraId="32A70015" w14:textId="77777777">
        <w:trPr>
          <w:trHeight w:val="510"/>
        </w:trPr>
        <w:tc>
          <w:tcPr>
            <w:tcW w:w="255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3CBD6BF9"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Centro Gestor</w:t>
            </w:r>
          </w:p>
        </w:tc>
        <w:tc>
          <w:tcPr>
            <w:tcW w:w="2415" w:type="dxa"/>
            <w:tcBorders>
              <w:top w:val="single" w:sz="5" w:space="0" w:color="000000"/>
              <w:left w:val="nil"/>
              <w:bottom w:val="single" w:sz="5" w:space="0" w:color="000000"/>
              <w:right w:val="single" w:sz="5" w:space="0" w:color="000000"/>
            </w:tcBorders>
            <w:tcMar>
              <w:top w:w="0" w:type="dxa"/>
              <w:left w:w="0" w:type="dxa"/>
              <w:bottom w:w="0" w:type="dxa"/>
              <w:right w:w="0" w:type="dxa"/>
            </w:tcMar>
          </w:tcPr>
          <w:p w14:paraId="49E3F5BD"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Posición Presupuestaria</w:t>
            </w:r>
          </w:p>
        </w:tc>
        <w:tc>
          <w:tcPr>
            <w:tcW w:w="2655" w:type="dxa"/>
            <w:tcBorders>
              <w:top w:val="single" w:sz="5" w:space="0" w:color="000000"/>
              <w:left w:val="nil"/>
              <w:bottom w:val="single" w:sz="5" w:space="0" w:color="000000"/>
              <w:right w:val="single" w:sz="5" w:space="0" w:color="000000"/>
            </w:tcBorders>
            <w:tcMar>
              <w:top w:w="0" w:type="dxa"/>
              <w:left w:w="0" w:type="dxa"/>
              <w:bottom w:w="0" w:type="dxa"/>
              <w:right w:w="0" w:type="dxa"/>
            </w:tcMar>
          </w:tcPr>
          <w:p w14:paraId="49573C09"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Fondo</w:t>
            </w:r>
          </w:p>
        </w:tc>
      </w:tr>
      <w:tr w:rsidR="0018472A" w14:paraId="12F9C85B" w14:textId="77777777">
        <w:trPr>
          <w:trHeight w:val="510"/>
        </w:trPr>
        <w:tc>
          <w:tcPr>
            <w:tcW w:w="255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4BBB0529" w14:textId="77777777" w:rsidR="0018472A" w:rsidRDefault="00761A30">
            <w:pPr>
              <w:spacing w:before="200" w:after="200"/>
              <w:ind w:left="140"/>
              <w:jc w:val="both"/>
              <w:rPr>
                <w:rFonts w:ascii="Calibri" w:eastAsia="Calibri" w:hAnsi="Calibri" w:cs="Calibri"/>
                <w:color w:val="222222"/>
              </w:rPr>
            </w:pPr>
            <w:r>
              <w:rPr>
                <w:rFonts w:ascii="Calibri" w:eastAsia="Calibri" w:hAnsi="Calibri" w:cs="Calibri"/>
                <w:color w:val="222222"/>
              </w:rPr>
              <w:t>002013</w:t>
            </w:r>
          </w:p>
        </w:tc>
        <w:tc>
          <w:tcPr>
            <w:tcW w:w="2415" w:type="dxa"/>
            <w:tcBorders>
              <w:top w:val="nil"/>
              <w:left w:val="nil"/>
              <w:bottom w:val="single" w:sz="5" w:space="0" w:color="000000"/>
              <w:right w:val="single" w:sz="5" w:space="0" w:color="000000"/>
            </w:tcBorders>
            <w:tcMar>
              <w:top w:w="0" w:type="dxa"/>
              <w:left w:w="0" w:type="dxa"/>
              <w:bottom w:w="0" w:type="dxa"/>
              <w:right w:w="0" w:type="dxa"/>
            </w:tcMar>
          </w:tcPr>
          <w:p w14:paraId="60C1E66F" w14:textId="77777777" w:rsidR="0018472A" w:rsidRDefault="00761A30">
            <w:pPr>
              <w:spacing w:before="200" w:after="200"/>
              <w:ind w:left="140"/>
              <w:jc w:val="both"/>
              <w:rPr>
                <w:rFonts w:ascii="Calibri" w:eastAsia="Calibri" w:hAnsi="Calibri" w:cs="Calibri"/>
                <w:color w:val="222222"/>
              </w:rPr>
            </w:pPr>
            <w:r>
              <w:rPr>
                <w:rFonts w:ascii="Calibri" w:eastAsia="Calibri" w:hAnsi="Calibri" w:cs="Calibri"/>
                <w:color w:val="222222"/>
              </w:rPr>
              <w:t>G/48920/GEN</w:t>
            </w:r>
          </w:p>
        </w:tc>
        <w:tc>
          <w:tcPr>
            <w:tcW w:w="2655" w:type="dxa"/>
            <w:tcBorders>
              <w:top w:val="nil"/>
              <w:left w:val="nil"/>
              <w:bottom w:val="single" w:sz="5" w:space="0" w:color="000000"/>
              <w:right w:val="single" w:sz="5" w:space="0" w:color="000000"/>
            </w:tcBorders>
            <w:tcMar>
              <w:top w:w="0" w:type="dxa"/>
              <w:left w:w="0" w:type="dxa"/>
              <w:bottom w:w="0" w:type="dxa"/>
              <w:right w:w="0" w:type="dxa"/>
            </w:tcMar>
          </w:tcPr>
          <w:p w14:paraId="09B229C9"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F22978</w:t>
            </w:r>
          </w:p>
        </w:tc>
      </w:tr>
    </w:tbl>
    <w:p w14:paraId="138817B7" w14:textId="77777777" w:rsidR="0018472A" w:rsidRDefault="0018472A">
      <w:pPr>
        <w:jc w:val="both"/>
        <w:rPr>
          <w:rFonts w:ascii="Calibri" w:eastAsia="Calibri" w:hAnsi="Calibri" w:cs="Calibri"/>
        </w:rPr>
      </w:pPr>
    </w:p>
    <w:p w14:paraId="670273FC" w14:textId="77777777" w:rsidR="0018472A" w:rsidRDefault="00761A30">
      <w:pPr>
        <w:jc w:val="both"/>
        <w:rPr>
          <w:rFonts w:ascii="Calibri" w:eastAsia="Calibri" w:hAnsi="Calibri" w:cs="Calibri"/>
        </w:rPr>
      </w:pPr>
      <w:r>
        <w:rPr>
          <w:rFonts w:ascii="Calibri" w:eastAsia="Calibri" w:hAnsi="Calibri" w:cs="Calibri"/>
        </w:rPr>
        <w:t xml:space="preserve">Por todo lo anterior, </w:t>
      </w:r>
    </w:p>
    <w:p w14:paraId="642886B3" w14:textId="77777777" w:rsidR="0018472A" w:rsidRDefault="0018472A">
      <w:pPr>
        <w:jc w:val="both"/>
        <w:rPr>
          <w:rFonts w:ascii="Calibri" w:eastAsia="Calibri" w:hAnsi="Calibri" w:cs="Calibri"/>
          <w:b/>
          <w:bCs/>
        </w:rPr>
      </w:pPr>
    </w:p>
    <w:p w14:paraId="01C48069" w14:textId="77777777" w:rsidR="0018472A" w:rsidRDefault="00761A30">
      <w:pPr>
        <w:jc w:val="both"/>
        <w:rPr>
          <w:rFonts w:ascii="Calibri" w:eastAsia="Calibri" w:hAnsi="Calibri" w:cs="Calibri"/>
          <w:b/>
          <w:bCs/>
        </w:rPr>
      </w:pPr>
      <w:r>
        <w:rPr>
          <w:rFonts w:ascii="Calibri" w:eastAsia="Calibri" w:hAnsi="Calibri" w:cs="Calibri"/>
          <w:b/>
          <w:bCs/>
        </w:rPr>
        <w:t xml:space="preserve">RESUELVO: </w:t>
      </w:r>
    </w:p>
    <w:p w14:paraId="6A7EE787" w14:textId="77777777" w:rsidR="0018472A" w:rsidRDefault="00761A30">
      <w:pPr>
        <w:jc w:val="both"/>
        <w:rPr>
          <w:rFonts w:ascii="Calibri" w:eastAsia="Calibri" w:hAnsi="Calibri" w:cs="Calibri"/>
        </w:rPr>
      </w:pPr>
      <w:r>
        <w:rPr>
          <w:rFonts w:ascii="Calibri" w:eastAsia="Calibri" w:hAnsi="Calibri" w:cs="Calibri"/>
          <w:b/>
          <w:bCs/>
        </w:rPr>
        <w:t xml:space="preserve">PRIMERO.- </w:t>
      </w:r>
      <w:r>
        <w:rPr>
          <w:rFonts w:ascii="Calibri" w:eastAsia="Calibri" w:hAnsi="Calibri" w:cs="Calibri"/>
        </w:rPr>
        <w:t xml:space="preserve">Conceder a la Asociación Cultural TGK una subvención directa por importe de 35.000.-euros, destinada a compensar el incremento de costes asociados a la preparación, organización y desarrollo de la edición 2026 de la Telecogresca. La subvención se concede con carácter excepcional sin generar ningún derecho a percibir subvenciones en ejercicios posteriores.  </w:t>
      </w:r>
    </w:p>
    <w:p w14:paraId="07537E87" w14:textId="77429AEF" w:rsidR="0018472A" w:rsidRDefault="00761A30">
      <w:pPr>
        <w:jc w:val="both"/>
        <w:rPr>
          <w:rFonts w:ascii="Calibri" w:eastAsia="Calibri" w:hAnsi="Calibri" w:cs="Calibri"/>
        </w:rPr>
      </w:pPr>
      <w:r>
        <w:rPr>
          <w:rFonts w:ascii="Calibri" w:eastAsia="Calibri" w:hAnsi="Calibri" w:cs="Calibri"/>
          <w:b/>
          <w:bCs/>
        </w:rPr>
        <w:t xml:space="preserve">SEGUNDO.- </w:t>
      </w:r>
      <w:r>
        <w:rPr>
          <w:rFonts w:ascii="Calibri" w:eastAsia="Calibri" w:hAnsi="Calibri" w:cs="Calibri"/>
        </w:rPr>
        <w:t>Aprobar el gasto correspondiente con un presupuesto de 35.000.-euros a cargo de la aplicación presupuestaria:</w:t>
      </w:r>
    </w:p>
    <w:tbl>
      <w:tblPr>
        <w:tblStyle w:val="a0"/>
        <w:tblW w:w="762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50"/>
        <w:gridCol w:w="2415"/>
        <w:gridCol w:w="2655"/>
      </w:tblGrid>
      <w:tr w:rsidR="0018472A" w14:paraId="6CA5D45F" w14:textId="77777777">
        <w:trPr>
          <w:trHeight w:val="510"/>
        </w:trPr>
        <w:tc>
          <w:tcPr>
            <w:tcW w:w="255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2929C41B"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Centro Gestor</w:t>
            </w:r>
          </w:p>
        </w:tc>
        <w:tc>
          <w:tcPr>
            <w:tcW w:w="2415" w:type="dxa"/>
            <w:tcBorders>
              <w:top w:val="single" w:sz="5" w:space="0" w:color="000000"/>
              <w:left w:val="nil"/>
              <w:bottom w:val="single" w:sz="5" w:space="0" w:color="000000"/>
              <w:right w:val="single" w:sz="5" w:space="0" w:color="000000"/>
            </w:tcBorders>
            <w:tcMar>
              <w:top w:w="0" w:type="dxa"/>
              <w:left w:w="0" w:type="dxa"/>
              <w:bottom w:w="0" w:type="dxa"/>
              <w:right w:w="0" w:type="dxa"/>
            </w:tcMar>
          </w:tcPr>
          <w:p w14:paraId="42550917"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Posición Presupuestaria</w:t>
            </w:r>
          </w:p>
        </w:tc>
        <w:tc>
          <w:tcPr>
            <w:tcW w:w="2655" w:type="dxa"/>
            <w:tcBorders>
              <w:top w:val="single" w:sz="5" w:space="0" w:color="000000"/>
              <w:left w:val="nil"/>
              <w:bottom w:val="single" w:sz="5" w:space="0" w:color="000000"/>
              <w:right w:val="single" w:sz="5" w:space="0" w:color="000000"/>
            </w:tcBorders>
            <w:tcMar>
              <w:top w:w="0" w:type="dxa"/>
              <w:left w:w="0" w:type="dxa"/>
              <w:bottom w:w="0" w:type="dxa"/>
              <w:right w:w="0" w:type="dxa"/>
            </w:tcMar>
          </w:tcPr>
          <w:p w14:paraId="534A838F"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Fondo</w:t>
            </w:r>
          </w:p>
        </w:tc>
      </w:tr>
      <w:tr w:rsidR="0018472A" w14:paraId="1393F137" w14:textId="77777777">
        <w:trPr>
          <w:trHeight w:val="510"/>
        </w:trPr>
        <w:tc>
          <w:tcPr>
            <w:tcW w:w="2550" w:type="dxa"/>
            <w:tcBorders>
              <w:top w:val="nil"/>
              <w:left w:val="single" w:sz="5" w:space="0" w:color="000000"/>
              <w:bottom w:val="single" w:sz="5" w:space="0" w:color="000000"/>
              <w:right w:val="single" w:sz="5" w:space="0" w:color="000000"/>
            </w:tcBorders>
            <w:tcMar>
              <w:top w:w="0" w:type="dxa"/>
              <w:left w:w="0" w:type="dxa"/>
              <w:bottom w:w="0" w:type="dxa"/>
              <w:right w:w="0" w:type="dxa"/>
            </w:tcMar>
          </w:tcPr>
          <w:p w14:paraId="30D12F08" w14:textId="77777777" w:rsidR="0018472A" w:rsidRDefault="00761A30">
            <w:pPr>
              <w:spacing w:before="200" w:after="200"/>
              <w:ind w:left="140"/>
              <w:jc w:val="both"/>
              <w:rPr>
                <w:rFonts w:ascii="Calibri" w:eastAsia="Calibri" w:hAnsi="Calibri" w:cs="Calibri"/>
                <w:color w:val="222222"/>
              </w:rPr>
            </w:pPr>
            <w:r>
              <w:rPr>
                <w:rFonts w:ascii="Calibri" w:eastAsia="Calibri" w:hAnsi="Calibri" w:cs="Calibri"/>
                <w:color w:val="222222"/>
              </w:rPr>
              <w:t>002013</w:t>
            </w:r>
          </w:p>
        </w:tc>
        <w:tc>
          <w:tcPr>
            <w:tcW w:w="2415" w:type="dxa"/>
            <w:tcBorders>
              <w:top w:val="nil"/>
              <w:left w:val="nil"/>
              <w:bottom w:val="single" w:sz="5" w:space="0" w:color="000000"/>
              <w:right w:val="single" w:sz="5" w:space="0" w:color="000000"/>
            </w:tcBorders>
            <w:tcMar>
              <w:top w:w="0" w:type="dxa"/>
              <w:left w:w="0" w:type="dxa"/>
              <w:bottom w:w="0" w:type="dxa"/>
              <w:right w:w="0" w:type="dxa"/>
            </w:tcMar>
          </w:tcPr>
          <w:p w14:paraId="64061CBF" w14:textId="77777777" w:rsidR="0018472A" w:rsidRDefault="00761A30">
            <w:pPr>
              <w:spacing w:before="200" w:after="200"/>
              <w:ind w:left="140"/>
              <w:jc w:val="both"/>
              <w:rPr>
                <w:rFonts w:ascii="Calibri" w:eastAsia="Calibri" w:hAnsi="Calibri" w:cs="Calibri"/>
                <w:color w:val="222222"/>
              </w:rPr>
            </w:pPr>
            <w:r>
              <w:rPr>
                <w:rFonts w:ascii="Calibri" w:eastAsia="Calibri" w:hAnsi="Calibri" w:cs="Calibri"/>
                <w:color w:val="222222"/>
              </w:rPr>
              <w:t>G/48920/GEN</w:t>
            </w:r>
          </w:p>
        </w:tc>
        <w:tc>
          <w:tcPr>
            <w:tcW w:w="2655" w:type="dxa"/>
            <w:tcBorders>
              <w:top w:val="nil"/>
              <w:left w:val="nil"/>
              <w:bottom w:val="single" w:sz="5" w:space="0" w:color="000000"/>
              <w:right w:val="single" w:sz="5" w:space="0" w:color="000000"/>
            </w:tcBorders>
            <w:tcMar>
              <w:top w:w="0" w:type="dxa"/>
              <w:left w:w="0" w:type="dxa"/>
              <w:bottom w:w="0" w:type="dxa"/>
              <w:right w:w="0" w:type="dxa"/>
            </w:tcMar>
          </w:tcPr>
          <w:p w14:paraId="5989B93B" w14:textId="77777777" w:rsidR="0018472A" w:rsidRDefault="00761A30">
            <w:pPr>
              <w:spacing w:before="140" w:after="0"/>
              <w:ind w:left="140"/>
              <w:jc w:val="both"/>
              <w:rPr>
                <w:rFonts w:ascii="Calibri" w:eastAsia="Calibri" w:hAnsi="Calibri" w:cs="Calibri"/>
                <w:color w:val="222222"/>
              </w:rPr>
            </w:pPr>
            <w:r>
              <w:rPr>
                <w:rFonts w:ascii="Calibri" w:eastAsia="Calibri" w:hAnsi="Calibri" w:cs="Calibri"/>
                <w:color w:val="222222"/>
              </w:rPr>
              <w:t>F22978</w:t>
            </w:r>
          </w:p>
        </w:tc>
      </w:tr>
    </w:tbl>
    <w:p w14:paraId="2D998A39" w14:textId="77777777" w:rsidR="0018472A" w:rsidRDefault="0018472A">
      <w:pPr>
        <w:jc w:val="both"/>
        <w:rPr>
          <w:rFonts w:ascii="Calibri" w:eastAsia="Calibri" w:hAnsi="Calibri" w:cs="Calibri"/>
        </w:rPr>
      </w:pPr>
    </w:p>
    <w:p w14:paraId="76586BDE" w14:textId="77777777" w:rsidR="0018472A" w:rsidRDefault="00761A30">
      <w:pPr>
        <w:jc w:val="both"/>
        <w:rPr>
          <w:rFonts w:ascii="Calibri" w:eastAsia="Calibri" w:hAnsi="Calibri" w:cs="Calibri"/>
        </w:rPr>
      </w:pPr>
      <w:r>
        <w:rPr>
          <w:rFonts w:ascii="Calibri" w:eastAsia="Calibri" w:hAnsi="Calibri" w:cs="Calibri"/>
          <w:b/>
          <w:bCs/>
        </w:rPr>
        <w:t>TERCERO.-</w:t>
      </w:r>
      <w:r>
        <w:rPr>
          <w:rFonts w:ascii="Calibri" w:eastAsia="Calibri" w:hAnsi="Calibri" w:cs="Calibri"/>
        </w:rPr>
        <w:t xml:space="preserve"> Publicar esta resolución en la página web institucional de la UPC y notificarla a la entidad beneficiaria. </w:t>
      </w:r>
    </w:p>
    <w:p w14:paraId="392F2892" w14:textId="77777777" w:rsidR="0018472A" w:rsidRDefault="00761A30">
      <w:pPr>
        <w:jc w:val="both"/>
        <w:rPr>
          <w:rFonts w:ascii="Calibri" w:eastAsia="Calibri" w:hAnsi="Calibri" w:cs="Calibri"/>
        </w:rPr>
      </w:pPr>
      <w:r>
        <w:rPr>
          <w:rFonts w:ascii="Calibri" w:eastAsia="Calibri" w:hAnsi="Calibri" w:cs="Calibri"/>
        </w:rPr>
        <w:t xml:space="preserve">Esta resolución es definitiva y agota la vía administrativa, y puede ser impugnada mediante la interposición de un recurso contencioso administrativo, en el plazo de dos meses a contar desde el día siguiente a su publicación, ante la Sección de lo Contencioso-Administrativo del Tribunal de Instancia de Barcelona, sin perjuicio de la posibilidad de interponer potestativamente recurso de reposición ante el órgano que la ha dictado,  en el plazo de un mes a contar a partir del día siguiente a su publicación.  </w:t>
      </w:r>
    </w:p>
    <w:p w14:paraId="61344BDE" w14:textId="77777777" w:rsidR="0018472A" w:rsidRDefault="0018472A">
      <w:pPr>
        <w:jc w:val="both"/>
        <w:rPr>
          <w:rFonts w:ascii="Calibri" w:eastAsia="Calibri" w:hAnsi="Calibri" w:cs="Calibri"/>
        </w:rPr>
      </w:pPr>
    </w:p>
    <w:p w14:paraId="2E4F73E4" w14:textId="77777777" w:rsidR="0018472A" w:rsidRDefault="0018472A">
      <w:pPr>
        <w:jc w:val="both"/>
        <w:rPr>
          <w:rFonts w:ascii="Calibri" w:eastAsia="Calibri" w:hAnsi="Calibri" w:cs="Calibri"/>
        </w:rPr>
      </w:pPr>
    </w:p>
    <w:p w14:paraId="700632B3" w14:textId="77777777" w:rsidR="00E16AEB" w:rsidRDefault="00E16AEB">
      <w:pPr>
        <w:jc w:val="both"/>
        <w:rPr>
          <w:rFonts w:ascii="Calibri" w:eastAsia="Calibri" w:hAnsi="Calibri" w:cs="Calibri"/>
        </w:rPr>
      </w:pPr>
    </w:p>
    <w:p w14:paraId="37C630D5" w14:textId="77777777" w:rsidR="00E16AEB" w:rsidRDefault="00E16AEB">
      <w:pPr>
        <w:jc w:val="both"/>
        <w:rPr>
          <w:rFonts w:ascii="Calibri" w:eastAsia="Calibri" w:hAnsi="Calibri" w:cs="Calibri"/>
        </w:rPr>
      </w:pPr>
    </w:p>
    <w:p w14:paraId="391DCF6A" w14:textId="77777777" w:rsidR="0018472A" w:rsidRDefault="00761A30">
      <w:pPr>
        <w:jc w:val="both"/>
        <w:rPr>
          <w:rFonts w:ascii="Calibri" w:eastAsia="Calibri" w:hAnsi="Calibri" w:cs="Calibri"/>
        </w:rPr>
      </w:pPr>
      <w:r>
        <w:rPr>
          <w:rFonts w:ascii="Calibri" w:eastAsia="Calibri" w:hAnsi="Calibri" w:cs="Calibri"/>
        </w:rPr>
        <w:t xml:space="preserve">Francesc Torres </w:t>
      </w:r>
    </w:p>
    <w:p w14:paraId="47AAEA54" w14:textId="1264E370" w:rsidR="0018472A" w:rsidRDefault="00761A30">
      <w:pPr>
        <w:jc w:val="both"/>
        <w:rPr>
          <w:rFonts w:ascii="Calibri" w:eastAsia="Calibri" w:hAnsi="Calibri" w:cs="Calibri"/>
        </w:rPr>
      </w:pPr>
      <w:r>
        <w:rPr>
          <w:rFonts w:ascii="Calibri" w:eastAsia="Calibri" w:hAnsi="Calibri" w:cs="Calibri"/>
        </w:rPr>
        <w:t>Rector</w:t>
      </w:r>
    </w:p>
    <w:sectPr w:rsidR="0018472A">
      <w:headerReference w:type="default" r:id="rId7"/>
      <w:footerReference w:type="default" r:id="rId8"/>
      <w:pgSz w:w="11906" w:h="16838"/>
      <w:pgMar w:top="1417" w:right="1701" w:bottom="1417" w:left="1701"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4265E" w14:textId="77777777" w:rsidR="009D2ED1" w:rsidRDefault="009D2ED1">
      <w:pPr>
        <w:spacing w:after="0" w:line="240" w:lineRule="auto"/>
      </w:pPr>
      <w:r>
        <w:separator/>
      </w:r>
    </w:p>
  </w:endnote>
  <w:endnote w:type="continuationSeparator" w:id="0">
    <w:p w14:paraId="34D7CE3A" w14:textId="77777777" w:rsidR="009D2ED1" w:rsidRDefault="009D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embedRegular r:id="rId1" w:fontKey="{3113AB68-584C-4B20-BD8D-92BDF30B282B}"/>
    <w:embedBold r:id="rId2" w:fontKey="{27B2F4AA-69EF-4796-BD0F-2AB8D4002A52}"/>
    <w:embedItalic r:id="rId3" w:fontKey="{788138B3-EB56-490B-9D89-D5AEFCC26277}"/>
  </w:font>
  <w:font w:name="Play">
    <w:charset w:val="00"/>
    <w:family w:val="auto"/>
    <w:pitch w:val="default"/>
    <w:embedRegular r:id="rId4" w:fontKey="{84BD958D-3E70-4B98-BFE6-94BD752B4DC6}"/>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C2938994-2ADC-40E1-A19F-ECE7ADBBF998}"/>
  </w:font>
  <w:font w:name="Calibri">
    <w:panose1 w:val="020F0502020204030204"/>
    <w:charset w:val="00"/>
    <w:family w:val="swiss"/>
    <w:pitch w:val="variable"/>
    <w:sig w:usb0="E4002EFF" w:usb1="C200247B" w:usb2="00000009" w:usb3="00000000" w:csb0="000001FF" w:csb1="00000000"/>
    <w:embedRegular r:id="rId6" w:fontKey="{EAA02968-9565-454E-AEC9-DFC9FA8D9606}"/>
    <w:embedBold r:id="rId7" w:fontKey="{7A5D9580-7138-4C7F-849E-B617E92AF3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496FC" w14:textId="77777777" w:rsidR="0018472A" w:rsidRDefault="0018472A">
    <w:pPr>
      <w:pBdr>
        <w:top w:val="nil"/>
        <w:left w:val="nil"/>
        <w:bottom w:val="nil"/>
        <w:right w:val="nil"/>
        <w:between w:val="nil"/>
      </w:pBdr>
      <w:tabs>
        <w:tab w:val="center" w:pos="4252"/>
        <w:tab w:val="right" w:pos="8504"/>
      </w:tabs>
      <w:spacing w:after="0" w:line="240" w:lineRule="auto"/>
      <w:jc w:val="center"/>
      <w:rPr>
        <w:color w:val="000000"/>
      </w:rPr>
    </w:pPr>
  </w:p>
  <w:p w14:paraId="5FF149B1" w14:textId="77777777" w:rsidR="0018472A" w:rsidRDefault="0018472A">
    <w:pPr>
      <w:pBdr>
        <w:top w:val="nil"/>
        <w:left w:val="nil"/>
        <w:bottom w:val="nil"/>
        <w:right w:val="nil"/>
        <w:between w:val="nil"/>
      </w:pBdr>
      <w:tabs>
        <w:tab w:val="center" w:pos="4252"/>
        <w:tab w:val="right" w:pos="8504"/>
      </w:tabs>
      <w:spacing w:after="0" w:line="240" w:lineRule="auto"/>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D720B" w14:textId="77777777" w:rsidR="009D2ED1" w:rsidRDefault="009D2ED1">
      <w:pPr>
        <w:spacing w:after="0" w:line="240" w:lineRule="auto"/>
      </w:pPr>
      <w:r>
        <w:separator/>
      </w:r>
    </w:p>
  </w:footnote>
  <w:footnote w:type="continuationSeparator" w:id="0">
    <w:p w14:paraId="6A8A6C6C" w14:textId="77777777" w:rsidR="009D2ED1" w:rsidRDefault="009D2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B155A" w14:textId="77777777" w:rsidR="0018472A" w:rsidRDefault="00761A30">
    <w:pPr>
      <w:pBdr>
        <w:top w:val="nil"/>
        <w:left w:val="nil"/>
        <w:bottom w:val="nil"/>
        <w:right w:val="nil"/>
        <w:between w:val="nil"/>
      </w:pBdr>
      <w:tabs>
        <w:tab w:val="center" w:pos="4252"/>
        <w:tab w:val="right" w:pos="8504"/>
      </w:tabs>
      <w:spacing w:after="0" w:line="240" w:lineRule="auto"/>
      <w:rPr>
        <w:color w:val="000000"/>
      </w:rPr>
    </w:pPr>
    <w:r>
      <w:rPr>
        <w:noProof/>
        <w:color w:val="000000"/>
      </w:rPr>
      <w:drawing>
        <wp:inline distT="0" distB="0" distL="0" distR="0" wp14:anchorId="2E6123BC" wp14:editId="5FA4B9C3">
          <wp:extent cx="2158365" cy="64643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58365" cy="646430"/>
                  </a:xfrm>
                  <a:prstGeom prst="rect">
                    <a:avLst/>
                  </a:prstGeom>
                  <a:ln/>
                </pic:spPr>
              </pic:pic>
            </a:graphicData>
          </a:graphic>
        </wp:inline>
      </w:drawing>
    </w:r>
  </w:p>
  <w:p w14:paraId="73AECD59" w14:textId="77777777" w:rsidR="0018472A" w:rsidRDefault="0018472A">
    <w:pPr>
      <w:pBdr>
        <w:top w:val="nil"/>
        <w:left w:val="nil"/>
        <w:bottom w:val="nil"/>
        <w:right w:val="nil"/>
        <w:between w:val="nil"/>
      </w:pBdr>
      <w:tabs>
        <w:tab w:val="center" w:pos="4252"/>
        <w:tab w:val="right" w:pos="8504"/>
      </w:tabs>
      <w:spacing w:after="0" w:line="240" w:lineRule="auto"/>
      <w:rPr>
        <w:color w:val="000000"/>
      </w:rPr>
    </w:pPr>
  </w:p>
  <w:p w14:paraId="1408BD41" w14:textId="77777777" w:rsidR="0018472A" w:rsidRDefault="0018472A">
    <w:pPr>
      <w:pBdr>
        <w:top w:val="nil"/>
        <w:left w:val="nil"/>
        <w:bottom w:val="nil"/>
        <w:right w:val="nil"/>
        <w:between w:val="nil"/>
      </w:pBdr>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72A"/>
    <w:rsid w:val="000E7539"/>
    <w:rsid w:val="0018472A"/>
    <w:rsid w:val="00224448"/>
    <w:rsid w:val="00761A30"/>
    <w:rsid w:val="007B3349"/>
    <w:rsid w:val="0095133B"/>
    <w:rsid w:val="00985C25"/>
    <w:rsid w:val="009D2ED1"/>
    <w:rsid w:val="00A22836"/>
    <w:rsid w:val="00B5269A"/>
    <w:rsid w:val="00E16AEB"/>
    <w:rsid w:val="00F04AC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C4745"/>
  <w15:docId w15:val="{1707BFFB-984A-449E-BEBF-5137E1F9F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ca" w:eastAsia="ca-E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ol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ol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ol4">
    <w:name w:val="heading 4"/>
    <w:basedOn w:val="Normal"/>
    <w:next w:val="Normal"/>
    <w:uiPriority w:val="9"/>
    <w:semiHidden/>
    <w:unhideWhenUsed/>
    <w:qFormat/>
    <w:pPr>
      <w:keepNext/>
      <w:keepLines/>
      <w:spacing w:before="80" w:after="40"/>
      <w:outlineLvl w:val="3"/>
    </w:pPr>
    <w:rPr>
      <w:i/>
      <w:iCs/>
      <w:color w:val="0F4761"/>
    </w:rPr>
  </w:style>
  <w:style w:type="paragraph" w:styleId="Ttol5">
    <w:name w:val="heading 5"/>
    <w:basedOn w:val="Normal"/>
    <w:next w:val="Normal"/>
    <w:uiPriority w:val="9"/>
    <w:semiHidden/>
    <w:unhideWhenUsed/>
    <w:qFormat/>
    <w:pPr>
      <w:keepNext/>
      <w:keepLines/>
      <w:spacing w:before="80" w:after="40"/>
      <w:outlineLvl w:val="4"/>
    </w:pPr>
    <w:rPr>
      <w:color w:val="0F4761"/>
    </w:rPr>
  </w:style>
  <w:style w:type="paragraph" w:styleId="Ttol6">
    <w:name w:val="heading 6"/>
    <w:basedOn w:val="Normal"/>
    <w:next w:val="Normal"/>
    <w:uiPriority w:val="9"/>
    <w:semiHidden/>
    <w:unhideWhenUsed/>
    <w:qFormat/>
    <w:pPr>
      <w:keepNext/>
      <w:keepLines/>
      <w:spacing w:before="40" w:after="0"/>
      <w:outlineLvl w:val="5"/>
    </w:pPr>
    <w:rPr>
      <w:i/>
      <w:iCs/>
      <w:color w:val="595959"/>
    </w:rPr>
  </w:style>
  <w:style w:type="paragraph" w:styleId="Ttol7">
    <w:name w:val="heading 7"/>
    <w:basedOn w:val="Normal"/>
    <w:next w:val="Normal"/>
    <w:link w:val="Ttol7Car"/>
    <w:uiPriority w:val="9"/>
    <w:semiHidden/>
    <w:unhideWhenUsed/>
    <w:qFormat/>
    <w:rsid w:val="0046709C"/>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6709C"/>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6709C"/>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ol">
    <w:name w:val="Title"/>
    <w:basedOn w:val="Normal"/>
    <w:next w:val="Normal"/>
    <w:uiPriority w:val="10"/>
    <w:qFormat/>
    <w:pPr>
      <w:spacing w:after="80" w:line="240" w:lineRule="auto"/>
    </w:pPr>
    <w:rPr>
      <w:rFonts w:ascii="Play" w:eastAsia="Play" w:hAnsi="Play" w:cs="Play"/>
      <w:sz w:val="56"/>
      <w:szCs w:val="56"/>
    </w:rPr>
  </w:style>
  <w:style w:type="character" w:customStyle="1" w:styleId="Ttol1Car">
    <w:name w:val="Títol 1 Car"/>
    <w:basedOn w:val="Lletraperdefectedelpargraf"/>
    <w:uiPriority w:val="9"/>
    <w:rsid w:val="0046709C"/>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uiPriority w:val="9"/>
    <w:semiHidden/>
    <w:rsid w:val="0046709C"/>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uiPriority w:val="9"/>
    <w:semiHidden/>
    <w:rsid w:val="0046709C"/>
    <w:rPr>
      <w:rFonts w:eastAsiaTheme="majorEastAsia" w:cstheme="majorBidi"/>
      <w:color w:val="0F4761" w:themeColor="accent1" w:themeShade="BF"/>
      <w:sz w:val="28"/>
      <w:szCs w:val="28"/>
    </w:rPr>
  </w:style>
  <w:style w:type="character" w:customStyle="1" w:styleId="Ttol4Car">
    <w:name w:val="Títol 4 Car"/>
    <w:basedOn w:val="Lletraperdefectedelpargraf"/>
    <w:uiPriority w:val="9"/>
    <w:semiHidden/>
    <w:rsid w:val="0046709C"/>
    <w:rPr>
      <w:rFonts w:eastAsiaTheme="majorEastAsia" w:cstheme="majorBidi"/>
      <w:i/>
      <w:iCs/>
      <w:color w:val="0F4761" w:themeColor="accent1" w:themeShade="BF"/>
    </w:rPr>
  </w:style>
  <w:style w:type="character" w:customStyle="1" w:styleId="Ttol5Car">
    <w:name w:val="Títol 5 Car"/>
    <w:basedOn w:val="Lletraperdefectedelpargraf"/>
    <w:uiPriority w:val="9"/>
    <w:semiHidden/>
    <w:rsid w:val="0046709C"/>
    <w:rPr>
      <w:rFonts w:eastAsiaTheme="majorEastAsia" w:cstheme="majorBidi"/>
      <w:color w:val="0F4761" w:themeColor="accent1" w:themeShade="BF"/>
    </w:rPr>
  </w:style>
  <w:style w:type="character" w:customStyle="1" w:styleId="Ttol6Car">
    <w:name w:val="Títol 6 Car"/>
    <w:basedOn w:val="Lletraperdefectedelpargraf"/>
    <w:uiPriority w:val="9"/>
    <w:semiHidden/>
    <w:rsid w:val="0046709C"/>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6709C"/>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6709C"/>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6709C"/>
    <w:rPr>
      <w:rFonts w:eastAsiaTheme="majorEastAsia" w:cstheme="majorBidi"/>
      <w:color w:val="272727" w:themeColor="text1" w:themeTint="D8"/>
    </w:rPr>
  </w:style>
  <w:style w:type="character" w:customStyle="1" w:styleId="TtolCar">
    <w:name w:val="Títol Car"/>
    <w:basedOn w:val="Lletraperdefectedelpargraf"/>
    <w:uiPriority w:val="10"/>
    <w:rsid w:val="0046709C"/>
    <w:rPr>
      <w:rFonts w:asciiTheme="majorHAnsi" w:eastAsiaTheme="majorEastAsia" w:hAnsiTheme="majorHAnsi" w:cstheme="majorBidi"/>
      <w:spacing w:val="-10"/>
      <w:kern w:val="28"/>
      <w:sz w:val="56"/>
      <w:szCs w:val="56"/>
    </w:rPr>
  </w:style>
  <w:style w:type="character" w:customStyle="1" w:styleId="SubttolCar">
    <w:name w:val="Subtítol Car"/>
    <w:basedOn w:val="Lletraperdefectedelpargraf"/>
    <w:uiPriority w:val="11"/>
    <w:rsid w:val="0046709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709C"/>
    <w:pPr>
      <w:spacing w:before="160"/>
      <w:jc w:val="center"/>
    </w:pPr>
    <w:rPr>
      <w:i/>
      <w:iCs/>
      <w:color w:val="404040" w:themeColor="text1" w:themeTint="BF"/>
    </w:rPr>
  </w:style>
  <w:style w:type="character" w:customStyle="1" w:styleId="CitaCar">
    <w:name w:val="Cita Car"/>
    <w:basedOn w:val="Lletraperdefectedelpargraf"/>
    <w:link w:val="Cita"/>
    <w:uiPriority w:val="29"/>
    <w:rsid w:val="0046709C"/>
    <w:rPr>
      <w:i/>
      <w:iCs/>
      <w:color w:val="404040" w:themeColor="text1" w:themeTint="BF"/>
    </w:rPr>
  </w:style>
  <w:style w:type="paragraph" w:styleId="Pargrafdellista">
    <w:name w:val="List Paragraph"/>
    <w:basedOn w:val="Normal"/>
    <w:uiPriority w:val="34"/>
    <w:qFormat/>
    <w:rsid w:val="0046709C"/>
    <w:pPr>
      <w:ind w:left="720"/>
      <w:contextualSpacing/>
    </w:pPr>
  </w:style>
  <w:style w:type="character" w:styleId="mfasiintens">
    <w:name w:val="Intense Emphasis"/>
    <w:basedOn w:val="Lletraperdefectedelpargraf"/>
    <w:uiPriority w:val="21"/>
    <w:qFormat/>
    <w:rsid w:val="0046709C"/>
    <w:rPr>
      <w:i/>
      <w:iCs/>
      <w:color w:val="0F4761" w:themeColor="accent1" w:themeShade="BF"/>
    </w:rPr>
  </w:style>
  <w:style w:type="paragraph" w:styleId="Citaintensa">
    <w:name w:val="Intense Quote"/>
    <w:basedOn w:val="Normal"/>
    <w:next w:val="Normal"/>
    <w:link w:val="CitaintensaCar"/>
    <w:uiPriority w:val="30"/>
    <w:qFormat/>
    <w:rsid w:val="004670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46709C"/>
    <w:rPr>
      <w:i/>
      <w:iCs/>
      <w:color w:val="0F4761" w:themeColor="accent1" w:themeShade="BF"/>
    </w:rPr>
  </w:style>
  <w:style w:type="character" w:styleId="Refernciaintensa">
    <w:name w:val="Intense Reference"/>
    <w:basedOn w:val="Lletraperdefectedelpargraf"/>
    <w:uiPriority w:val="32"/>
    <w:qFormat/>
    <w:rsid w:val="0046709C"/>
    <w:rPr>
      <w:b/>
      <w:bCs/>
      <w:smallCaps/>
      <w:color w:val="0F4761" w:themeColor="accent1" w:themeShade="BF"/>
      <w:spacing w:val="5"/>
    </w:rPr>
  </w:style>
  <w:style w:type="paragraph" w:styleId="Capalera">
    <w:name w:val="header"/>
    <w:basedOn w:val="Normal"/>
    <w:link w:val="CapaleraCar"/>
    <w:uiPriority w:val="99"/>
    <w:unhideWhenUsed/>
    <w:rsid w:val="00D8164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D81641"/>
  </w:style>
  <w:style w:type="paragraph" w:styleId="Peu">
    <w:name w:val="footer"/>
    <w:basedOn w:val="Normal"/>
    <w:link w:val="PeuCar"/>
    <w:uiPriority w:val="99"/>
    <w:unhideWhenUsed/>
    <w:rsid w:val="00D81641"/>
    <w:pPr>
      <w:tabs>
        <w:tab w:val="center" w:pos="4252"/>
        <w:tab w:val="right" w:pos="8504"/>
      </w:tabs>
      <w:spacing w:after="0" w:line="240" w:lineRule="auto"/>
    </w:pPr>
  </w:style>
  <w:style w:type="character" w:customStyle="1" w:styleId="PeuCar">
    <w:name w:val="Peu Car"/>
    <w:basedOn w:val="Lletraperdefectedelpargraf"/>
    <w:link w:val="Peu"/>
    <w:uiPriority w:val="99"/>
    <w:rsid w:val="00D81641"/>
  </w:style>
  <w:style w:type="character" w:styleId="Refernciadecomentari">
    <w:name w:val="annotation reference"/>
    <w:basedOn w:val="Lletraperdefectedelpargraf"/>
    <w:uiPriority w:val="99"/>
    <w:semiHidden/>
    <w:unhideWhenUsed/>
    <w:rsid w:val="00A61957"/>
    <w:rPr>
      <w:sz w:val="16"/>
      <w:szCs w:val="16"/>
    </w:rPr>
  </w:style>
  <w:style w:type="paragraph" w:styleId="Textdecomentari">
    <w:name w:val="annotation text"/>
    <w:basedOn w:val="Normal"/>
    <w:link w:val="TextdecomentariCar"/>
    <w:uiPriority w:val="99"/>
    <w:semiHidden/>
    <w:unhideWhenUsed/>
    <w:rsid w:val="00A61957"/>
    <w:pPr>
      <w:spacing w:line="240" w:lineRule="auto"/>
    </w:pPr>
    <w:rPr>
      <w:sz w:val="20"/>
      <w:szCs w:val="20"/>
    </w:rPr>
  </w:style>
  <w:style w:type="character" w:customStyle="1" w:styleId="TextdecomentariCar">
    <w:name w:val="Text de comentari Car"/>
    <w:basedOn w:val="Lletraperdefectedelpargraf"/>
    <w:link w:val="Textdecomentari"/>
    <w:uiPriority w:val="99"/>
    <w:semiHidden/>
    <w:rsid w:val="00A61957"/>
    <w:rPr>
      <w:sz w:val="20"/>
      <w:szCs w:val="20"/>
    </w:rPr>
  </w:style>
  <w:style w:type="paragraph" w:styleId="Temadelcomentari">
    <w:name w:val="annotation subject"/>
    <w:basedOn w:val="Textdecomentari"/>
    <w:next w:val="Textdecomentari"/>
    <w:link w:val="TemadelcomentariCar"/>
    <w:uiPriority w:val="99"/>
    <w:semiHidden/>
    <w:unhideWhenUsed/>
    <w:rsid w:val="00A61957"/>
    <w:rPr>
      <w:b/>
      <w:bCs/>
    </w:rPr>
  </w:style>
  <w:style w:type="character" w:customStyle="1" w:styleId="TemadelcomentariCar">
    <w:name w:val="Tema del comentari Car"/>
    <w:basedOn w:val="TextdecomentariCar"/>
    <w:link w:val="Temadelcomentari"/>
    <w:uiPriority w:val="99"/>
    <w:semiHidden/>
    <w:rsid w:val="00A61957"/>
    <w:rPr>
      <w:b/>
      <w:bCs/>
      <w:sz w:val="20"/>
      <w:szCs w:val="20"/>
    </w:rPr>
  </w:style>
  <w:style w:type="paragraph" w:styleId="Revisi">
    <w:name w:val="Revision"/>
    <w:hidden/>
    <w:uiPriority w:val="99"/>
    <w:semiHidden/>
    <w:rsid w:val="00513CBB"/>
    <w:pPr>
      <w:spacing w:after="0" w:line="240" w:lineRule="auto"/>
    </w:pPr>
  </w:style>
  <w:style w:type="paragraph" w:styleId="Subttol">
    <w:name w:val="Subtitle"/>
    <w:basedOn w:val="Normal"/>
    <w:next w:val="Normal"/>
    <w:uiPriority w:val="11"/>
    <w:qFormat/>
    <w:rPr>
      <w:color w:val="595959"/>
      <w:sz w:val="28"/>
      <w:szCs w:val="28"/>
    </w:rPr>
  </w:style>
  <w:style w:type="table" w:customStyle="1" w:styleId="a">
    <w:basedOn w:val="TableNormal"/>
    <w:tblPr>
      <w:tblStyleRowBandSize w:val="1"/>
      <w:tblStyleColBandSize w:val="1"/>
    </w:tblPr>
    <w:tcPr>
      <w:shd w:val="clear" w:color="auto" w:fill="FFFFFF"/>
    </w:tcPr>
  </w:style>
  <w:style w:type="table" w:customStyle="1" w:styleId="a0">
    <w:basedOn w:val="TableNormal"/>
    <w:tblPr>
      <w:tblStyleRowBandSize w:val="1"/>
      <w:tblStyleColBandSize w:val="1"/>
    </w:tblPr>
    <w:tcPr>
      <w:shd w:val="clear" w:color="auto" w:fill="FFFFFF"/>
    </w:tcPr>
  </w:style>
  <w:style w:type="character" w:styleId="Textdelcontenidor">
    <w:name w:val="Placeholder Text"/>
    <w:basedOn w:val="Lletraperdefectedelpargraf"/>
    <w:uiPriority w:val="99"/>
    <w:semiHidden/>
    <w:rsid w:val="000E753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Fl7f1ZM82JowqJJuiXXYu/WCSg==">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1014</Words>
  <Characters>5785</Characters>
  <Application>Microsoft Office Word</Application>
  <DocSecurity>0</DocSecurity>
  <Lines>48</Lines>
  <Paragraphs>13</Paragraphs>
  <ScaleCrop>false</ScaleCrop>
  <Company>UPC</Company>
  <LinksUpToDate>false</LinksUpToDate>
  <CharactersWithSpaces>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Oriol Morato Sierra</dc:creator>
  <cp:lastModifiedBy>Serveis Jurídics</cp:lastModifiedBy>
  <cp:revision>2</cp:revision>
  <dcterms:created xsi:type="dcterms:W3CDTF">2026-07-14T06:30:00Z</dcterms:created>
  <dcterms:modified xsi:type="dcterms:W3CDTF">2026-07-14T06:36:00Z</dcterms:modified>
</cp:coreProperties>
</file>