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63C2" w14:textId="23D0A906" w:rsidR="00C937A6" w:rsidRPr="002872F5" w:rsidRDefault="002872F5" w:rsidP="002872F5">
      <w:pPr>
        <w:jc w:val="both"/>
        <w:rPr>
          <w:rFonts w:ascii="Arial" w:hAnsi="Arial" w:cs="Arial"/>
          <w:b/>
          <w:bCs/>
        </w:rPr>
      </w:pPr>
      <w:r>
        <w:rPr>
          <w:rFonts w:ascii="Arial" w:hAnsi="Arial"/>
          <w:b/>
        </w:rPr>
        <w:t>Convocatoria de subvenciones para actuaciones municipales por nevadas, año 2026</w:t>
      </w:r>
    </w:p>
    <w:p w14:paraId="058519E1" w14:textId="77777777" w:rsidR="002872F5" w:rsidRPr="002872F5" w:rsidRDefault="002872F5" w:rsidP="002872F5">
      <w:pPr>
        <w:jc w:val="both"/>
        <w:rPr>
          <w:rFonts w:ascii="Arial" w:hAnsi="Arial" w:cs="Arial"/>
          <w:b/>
          <w:bCs/>
        </w:rPr>
      </w:pPr>
      <w:r>
        <w:rPr>
          <w:rFonts w:ascii="Arial" w:hAnsi="Arial"/>
          <w:b/>
        </w:rPr>
        <w:t>1. Objeto y finalidad</w:t>
      </w:r>
    </w:p>
    <w:p w14:paraId="5E3E8E99" w14:textId="18494925" w:rsidR="002872F5" w:rsidRPr="002872F5" w:rsidRDefault="002872F5" w:rsidP="002872F5">
      <w:pPr>
        <w:jc w:val="both"/>
        <w:rPr>
          <w:rFonts w:ascii="Arial" w:hAnsi="Arial" w:cs="Arial"/>
        </w:rPr>
      </w:pPr>
      <w:r>
        <w:rPr>
          <w:rFonts w:ascii="Arial" w:hAnsi="Arial"/>
        </w:rPr>
        <w:t xml:space="preserve">Subvenciones en régimen de concurrencia competitiva para los ayuntamientos y mancomunidades incluidos en el ámbito territorial de la </w:t>
      </w:r>
      <w:proofErr w:type="spellStart"/>
      <w:r>
        <w:rPr>
          <w:rFonts w:ascii="Arial" w:hAnsi="Arial"/>
        </w:rPr>
        <w:t>Diputació</w:t>
      </w:r>
      <w:proofErr w:type="spellEnd"/>
      <w:r>
        <w:rPr>
          <w:rFonts w:ascii="Arial" w:hAnsi="Arial"/>
        </w:rPr>
        <w:t xml:space="preserve"> de Girona, destinadas a la financiación de actuaciones municipales por nevadas, de acuerdo con las bases específicas reguladoras aprobadas inicialmente por el Pleno de la </w:t>
      </w:r>
      <w:proofErr w:type="spellStart"/>
      <w:r>
        <w:rPr>
          <w:rFonts w:ascii="Arial" w:hAnsi="Arial"/>
        </w:rPr>
        <w:t>Diputació</w:t>
      </w:r>
      <w:proofErr w:type="spellEnd"/>
      <w:r>
        <w:rPr>
          <w:rFonts w:ascii="Arial" w:hAnsi="Arial"/>
        </w:rPr>
        <w:t xml:space="preserve"> en la sesión del día 17 de marzo de 2026, publicadas en el </w:t>
      </w:r>
      <w:r>
        <w:rPr>
          <w:rFonts w:ascii="Arial" w:hAnsi="Arial"/>
          <w:i/>
          <w:iCs/>
        </w:rPr>
        <w:t>Boletín Oficial de la Provincia de Girona</w:t>
      </w:r>
      <w:r>
        <w:rPr>
          <w:rFonts w:ascii="Arial" w:hAnsi="Arial"/>
        </w:rPr>
        <w:t xml:space="preserve"> (BOPG) núm. 55, de 20 de marzo de 2026, y, en extracto, </w:t>
      </w:r>
      <w:r w:rsidR="00B05D8C">
        <w:rPr>
          <w:rFonts w:ascii="Arial" w:hAnsi="Arial"/>
        </w:rPr>
        <w:t>en el</w:t>
      </w:r>
      <w:r>
        <w:rPr>
          <w:rFonts w:ascii="Arial" w:hAnsi="Arial"/>
        </w:rPr>
        <w:t xml:space="preserve"> </w:t>
      </w:r>
      <w:r>
        <w:rPr>
          <w:rFonts w:ascii="Arial" w:hAnsi="Arial"/>
          <w:i/>
          <w:iCs/>
        </w:rPr>
        <w:t>Diario Oficial de la Generalitat de Catalunya</w:t>
      </w:r>
      <w:r>
        <w:rPr>
          <w:rFonts w:ascii="Arial" w:hAnsi="Arial"/>
        </w:rPr>
        <w:t xml:space="preserve"> núm. 9633, de 26 marzo de 2026.</w:t>
      </w:r>
    </w:p>
    <w:p w14:paraId="20F176D3" w14:textId="77777777" w:rsidR="002872F5" w:rsidRPr="002872F5" w:rsidRDefault="002872F5" w:rsidP="002872F5">
      <w:pPr>
        <w:jc w:val="both"/>
        <w:rPr>
          <w:rFonts w:ascii="Arial" w:hAnsi="Arial" w:cs="Arial"/>
        </w:rPr>
      </w:pPr>
      <w:r>
        <w:rPr>
          <w:rFonts w:ascii="Arial" w:hAnsi="Arial"/>
        </w:rPr>
        <w:t>De acuerdo con la base reguladora 10a, no se establecerán criterios de valoración, dado que se trata de subvenciones en régimen de concurrencia no competitiva.</w:t>
      </w:r>
    </w:p>
    <w:p w14:paraId="6A683E10" w14:textId="77777777" w:rsidR="002872F5" w:rsidRPr="002872F5" w:rsidRDefault="002872F5" w:rsidP="002872F5">
      <w:pPr>
        <w:jc w:val="both"/>
        <w:rPr>
          <w:rFonts w:ascii="Arial" w:hAnsi="Arial" w:cs="Arial"/>
          <w:b/>
          <w:bCs/>
        </w:rPr>
      </w:pPr>
      <w:r>
        <w:rPr>
          <w:rFonts w:ascii="Arial" w:hAnsi="Arial"/>
          <w:b/>
        </w:rPr>
        <w:t>2. Dotación económica y determinación de la aplicación presupuestaria</w:t>
      </w:r>
    </w:p>
    <w:p w14:paraId="3C21DB9B" w14:textId="77777777" w:rsidR="002872F5" w:rsidRPr="002872F5" w:rsidRDefault="002872F5" w:rsidP="002872F5">
      <w:pPr>
        <w:jc w:val="both"/>
        <w:rPr>
          <w:rFonts w:ascii="Arial" w:hAnsi="Arial" w:cs="Arial"/>
        </w:rPr>
      </w:pPr>
      <w:r>
        <w:rPr>
          <w:rFonts w:ascii="Arial" w:hAnsi="Arial"/>
        </w:rPr>
        <w:t>El importe total destinado a la convocatoria es de 402.000,00 €. Las aplicaciones presupuestarias a las que se carga el crédito presupuestario, los importes y las anualidades son los que se detallan a continuación.</w:t>
      </w:r>
    </w:p>
    <w:tbl>
      <w:tblPr>
        <w:tblW w:w="0" w:type="auto"/>
        <w:tblInd w:w="-5" w:type="dxa"/>
        <w:tblCellMar>
          <w:left w:w="70" w:type="dxa"/>
          <w:right w:w="70" w:type="dxa"/>
        </w:tblCellMar>
        <w:tblLook w:val="04A0" w:firstRow="1" w:lastRow="0" w:firstColumn="1" w:lastColumn="0" w:noHBand="0" w:noVBand="1"/>
      </w:tblPr>
      <w:tblGrid>
        <w:gridCol w:w="585"/>
        <w:gridCol w:w="1967"/>
        <w:gridCol w:w="4536"/>
        <w:gridCol w:w="1411"/>
      </w:tblGrid>
      <w:tr w:rsidR="002872F5" w:rsidRPr="002872F5" w14:paraId="4DE2DBD9" w14:textId="77777777" w:rsidTr="00BA0E4C">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79F2A372" w14:textId="77777777" w:rsidR="002872F5" w:rsidRPr="002872F5" w:rsidRDefault="002872F5" w:rsidP="00BA0E4C">
            <w:pPr>
              <w:jc w:val="both"/>
              <w:rPr>
                <w:rFonts w:ascii="Arial" w:hAnsi="Arial" w:cs="Arial"/>
                <w:b/>
                <w:bCs/>
                <w:sz w:val="20"/>
                <w:szCs w:val="20"/>
              </w:rPr>
            </w:pPr>
            <w:r>
              <w:rPr>
                <w:rFonts w:ascii="Arial" w:hAnsi="Arial"/>
                <w:b/>
                <w:sz w:val="20"/>
              </w:rPr>
              <w:t>Año</w:t>
            </w:r>
          </w:p>
        </w:tc>
        <w:tc>
          <w:tcPr>
            <w:tcW w:w="1967" w:type="dxa"/>
            <w:tcBorders>
              <w:top w:val="single" w:sz="4" w:space="0" w:color="auto"/>
              <w:left w:val="single" w:sz="4" w:space="0" w:color="auto"/>
              <w:bottom w:val="single" w:sz="4" w:space="0" w:color="auto"/>
              <w:right w:val="single" w:sz="4" w:space="0" w:color="auto"/>
            </w:tcBorders>
            <w:vAlign w:val="center"/>
            <w:hideMark/>
          </w:tcPr>
          <w:p w14:paraId="6C7539F5" w14:textId="77777777" w:rsidR="002872F5" w:rsidRPr="002872F5" w:rsidRDefault="002872F5" w:rsidP="00BA0E4C">
            <w:pPr>
              <w:jc w:val="both"/>
              <w:rPr>
                <w:rFonts w:ascii="Arial" w:hAnsi="Arial" w:cs="Arial"/>
                <w:b/>
                <w:bCs/>
                <w:sz w:val="20"/>
                <w:szCs w:val="20"/>
              </w:rPr>
            </w:pPr>
            <w:r>
              <w:rPr>
                <w:rFonts w:ascii="Arial" w:hAnsi="Arial"/>
                <w:b/>
                <w:sz w:val="20"/>
              </w:rPr>
              <w:t>Aplicación presupuestaria</w:t>
            </w:r>
          </w:p>
        </w:tc>
        <w:tc>
          <w:tcPr>
            <w:tcW w:w="4536" w:type="dxa"/>
            <w:tcBorders>
              <w:top w:val="single" w:sz="4" w:space="0" w:color="auto"/>
              <w:left w:val="nil"/>
              <w:bottom w:val="single" w:sz="4" w:space="0" w:color="auto"/>
              <w:right w:val="single" w:sz="4" w:space="0" w:color="auto"/>
            </w:tcBorders>
            <w:vAlign w:val="center"/>
            <w:hideMark/>
          </w:tcPr>
          <w:p w14:paraId="683D5B6C" w14:textId="77777777" w:rsidR="002872F5" w:rsidRPr="002872F5" w:rsidRDefault="002872F5" w:rsidP="00BA0E4C">
            <w:pPr>
              <w:jc w:val="both"/>
              <w:rPr>
                <w:rFonts w:ascii="Arial" w:hAnsi="Arial" w:cs="Arial"/>
                <w:b/>
                <w:bCs/>
                <w:sz w:val="20"/>
                <w:szCs w:val="20"/>
              </w:rPr>
            </w:pPr>
            <w:r>
              <w:rPr>
                <w:rFonts w:ascii="Arial" w:hAnsi="Arial"/>
                <w:b/>
                <w:sz w:val="20"/>
              </w:rPr>
              <w:t>Descripción</w:t>
            </w:r>
          </w:p>
        </w:tc>
        <w:tc>
          <w:tcPr>
            <w:tcW w:w="1411" w:type="dxa"/>
            <w:tcBorders>
              <w:top w:val="single" w:sz="4" w:space="0" w:color="auto"/>
              <w:left w:val="nil"/>
              <w:bottom w:val="single" w:sz="4" w:space="0" w:color="auto"/>
              <w:right w:val="single" w:sz="4" w:space="0" w:color="auto"/>
            </w:tcBorders>
            <w:vAlign w:val="center"/>
            <w:hideMark/>
          </w:tcPr>
          <w:p w14:paraId="14E91BF9" w14:textId="77777777" w:rsidR="002872F5" w:rsidRPr="002872F5" w:rsidRDefault="002872F5" w:rsidP="00BA0E4C">
            <w:pPr>
              <w:jc w:val="both"/>
              <w:rPr>
                <w:rFonts w:ascii="Arial" w:hAnsi="Arial" w:cs="Arial"/>
                <w:b/>
                <w:bCs/>
                <w:sz w:val="20"/>
                <w:szCs w:val="20"/>
              </w:rPr>
            </w:pPr>
            <w:r>
              <w:rPr>
                <w:rFonts w:ascii="Arial" w:hAnsi="Arial"/>
                <w:b/>
                <w:sz w:val="20"/>
              </w:rPr>
              <w:t>Importe</w:t>
            </w:r>
          </w:p>
        </w:tc>
      </w:tr>
      <w:tr w:rsidR="002872F5" w:rsidRPr="002872F5" w14:paraId="403BDA22"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1318FD1C" w14:textId="77777777" w:rsidR="002872F5" w:rsidRPr="002872F5" w:rsidRDefault="002872F5" w:rsidP="00BA0E4C">
            <w:pPr>
              <w:jc w:val="both"/>
              <w:rPr>
                <w:rFonts w:ascii="Arial" w:hAnsi="Arial" w:cs="Arial"/>
                <w:sz w:val="20"/>
                <w:szCs w:val="20"/>
              </w:rPr>
            </w:pPr>
            <w:r>
              <w:rPr>
                <w:rFonts w:ascii="Arial" w:hAnsi="Arial"/>
                <w:sz w:val="20"/>
              </w:rPr>
              <w:t>2026</w:t>
            </w:r>
          </w:p>
        </w:tc>
        <w:tc>
          <w:tcPr>
            <w:tcW w:w="1967" w:type="dxa"/>
            <w:tcBorders>
              <w:top w:val="nil"/>
              <w:left w:val="single" w:sz="4" w:space="0" w:color="auto"/>
              <w:bottom w:val="single" w:sz="4" w:space="0" w:color="auto"/>
              <w:right w:val="single" w:sz="4" w:space="0" w:color="auto"/>
            </w:tcBorders>
            <w:vAlign w:val="center"/>
            <w:hideMark/>
          </w:tcPr>
          <w:p w14:paraId="40B2D684" w14:textId="77777777" w:rsidR="002872F5" w:rsidRPr="002872F5" w:rsidRDefault="002872F5" w:rsidP="00BA0E4C">
            <w:pPr>
              <w:jc w:val="both"/>
              <w:rPr>
                <w:rFonts w:ascii="Arial" w:hAnsi="Arial" w:cs="Arial"/>
                <w:sz w:val="20"/>
                <w:szCs w:val="20"/>
              </w:rPr>
            </w:pPr>
            <w:r>
              <w:rPr>
                <w:rFonts w:ascii="Arial" w:hAnsi="Arial"/>
                <w:sz w:val="20"/>
              </w:rPr>
              <w:t>210 94200 4620300</w:t>
            </w:r>
          </w:p>
        </w:tc>
        <w:tc>
          <w:tcPr>
            <w:tcW w:w="4536" w:type="dxa"/>
            <w:tcBorders>
              <w:top w:val="nil"/>
              <w:left w:val="nil"/>
              <w:bottom w:val="single" w:sz="4" w:space="0" w:color="auto"/>
              <w:right w:val="single" w:sz="4" w:space="0" w:color="auto"/>
            </w:tcBorders>
            <w:vAlign w:val="center"/>
            <w:hideMark/>
          </w:tcPr>
          <w:p w14:paraId="27DC5A66" w14:textId="77777777" w:rsidR="002872F5" w:rsidRPr="002872F5" w:rsidRDefault="002872F5" w:rsidP="00BA0E4C">
            <w:pPr>
              <w:jc w:val="both"/>
              <w:rPr>
                <w:rFonts w:ascii="Arial" w:hAnsi="Arial" w:cs="Arial"/>
                <w:sz w:val="20"/>
                <w:szCs w:val="20"/>
              </w:rPr>
            </w:pPr>
            <w:r>
              <w:rPr>
                <w:rFonts w:ascii="Arial" w:hAnsi="Arial"/>
                <w:sz w:val="20"/>
              </w:rPr>
              <w:t>CC-Ayudas a ayuntamientos para gastos corrientes por nevadas y heladas</w:t>
            </w:r>
          </w:p>
        </w:tc>
        <w:tc>
          <w:tcPr>
            <w:tcW w:w="1411" w:type="dxa"/>
            <w:tcBorders>
              <w:top w:val="nil"/>
              <w:left w:val="nil"/>
              <w:bottom w:val="single" w:sz="4" w:space="0" w:color="auto"/>
              <w:right w:val="single" w:sz="4" w:space="0" w:color="auto"/>
            </w:tcBorders>
            <w:vAlign w:val="center"/>
            <w:hideMark/>
          </w:tcPr>
          <w:p w14:paraId="4B84C9BB" w14:textId="77777777" w:rsidR="002872F5" w:rsidRPr="002872F5" w:rsidRDefault="002872F5" w:rsidP="002872F5">
            <w:pPr>
              <w:jc w:val="right"/>
              <w:rPr>
                <w:rFonts w:ascii="Arial" w:hAnsi="Arial" w:cs="Arial"/>
                <w:sz w:val="20"/>
                <w:szCs w:val="20"/>
              </w:rPr>
            </w:pPr>
            <w:r>
              <w:rPr>
                <w:rFonts w:ascii="Arial" w:hAnsi="Arial"/>
                <w:sz w:val="20"/>
              </w:rPr>
              <w:t>200.000,00 €</w:t>
            </w:r>
          </w:p>
        </w:tc>
      </w:tr>
      <w:tr w:rsidR="002872F5" w:rsidRPr="002872F5" w14:paraId="6CAB0B98"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532C23F7" w14:textId="77777777" w:rsidR="002872F5" w:rsidRPr="002872F5" w:rsidRDefault="002872F5" w:rsidP="00BA0E4C">
            <w:pPr>
              <w:jc w:val="both"/>
              <w:rPr>
                <w:rFonts w:ascii="Arial" w:hAnsi="Arial" w:cs="Arial"/>
                <w:sz w:val="20"/>
                <w:szCs w:val="20"/>
              </w:rPr>
            </w:pPr>
            <w:r>
              <w:rPr>
                <w:rFonts w:ascii="Arial" w:hAnsi="Arial"/>
                <w:sz w:val="20"/>
              </w:rPr>
              <w:t>2026</w:t>
            </w:r>
          </w:p>
        </w:tc>
        <w:tc>
          <w:tcPr>
            <w:tcW w:w="1967" w:type="dxa"/>
            <w:tcBorders>
              <w:top w:val="nil"/>
              <w:left w:val="single" w:sz="4" w:space="0" w:color="auto"/>
              <w:bottom w:val="single" w:sz="4" w:space="0" w:color="auto"/>
              <w:right w:val="single" w:sz="4" w:space="0" w:color="auto"/>
            </w:tcBorders>
            <w:vAlign w:val="center"/>
            <w:hideMark/>
          </w:tcPr>
          <w:p w14:paraId="5F6C9DDC" w14:textId="77777777" w:rsidR="002872F5" w:rsidRPr="002872F5" w:rsidRDefault="002872F5" w:rsidP="00BA0E4C">
            <w:pPr>
              <w:jc w:val="both"/>
              <w:rPr>
                <w:rFonts w:ascii="Arial" w:hAnsi="Arial" w:cs="Arial"/>
                <w:sz w:val="20"/>
                <w:szCs w:val="20"/>
              </w:rPr>
            </w:pPr>
            <w:r>
              <w:rPr>
                <w:rFonts w:ascii="Arial" w:hAnsi="Arial"/>
                <w:sz w:val="20"/>
              </w:rPr>
              <w:t>210 94300 4630000</w:t>
            </w:r>
          </w:p>
        </w:tc>
        <w:tc>
          <w:tcPr>
            <w:tcW w:w="4536" w:type="dxa"/>
            <w:tcBorders>
              <w:top w:val="nil"/>
              <w:left w:val="nil"/>
              <w:bottom w:val="single" w:sz="4" w:space="0" w:color="auto"/>
              <w:right w:val="single" w:sz="4" w:space="0" w:color="auto"/>
            </w:tcBorders>
            <w:vAlign w:val="center"/>
            <w:hideMark/>
          </w:tcPr>
          <w:p w14:paraId="64F0E6AC" w14:textId="77777777" w:rsidR="002872F5" w:rsidRPr="002872F5" w:rsidRDefault="002872F5" w:rsidP="00BA0E4C">
            <w:pPr>
              <w:jc w:val="both"/>
              <w:rPr>
                <w:rFonts w:ascii="Arial" w:hAnsi="Arial" w:cs="Arial"/>
                <w:sz w:val="20"/>
                <w:szCs w:val="20"/>
              </w:rPr>
            </w:pPr>
            <w:r>
              <w:rPr>
                <w:rFonts w:ascii="Arial" w:hAnsi="Arial"/>
                <w:sz w:val="20"/>
              </w:rPr>
              <w:t>CC-Ayudas a mancomunidades para gastos corrientes por nevadas y heladas</w:t>
            </w:r>
          </w:p>
        </w:tc>
        <w:tc>
          <w:tcPr>
            <w:tcW w:w="1411" w:type="dxa"/>
            <w:tcBorders>
              <w:top w:val="nil"/>
              <w:left w:val="nil"/>
              <w:bottom w:val="single" w:sz="4" w:space="0" w:color="auto"/>
              <w:right w:val="single" w:sz="4" w:space="0" w:color="auto"/>
            </w:tcBorders>
            <w:vAlign w:val="center"/>
            <w:hideMark/>
          </w:tcPr>
          <w:p w14:paraId="08CE47F4" w14:textId="77777777" w:rsidR="002872F5" w:rsidRPr="002872F5" w:rsidRDefault="002872F5" w:rsidP="002872F5">
            <w:pPr>
              <w:jc w:val="right"/>
              <w:rPr>
                <w:rFonts w:ascii="Arial" w:hAnsi="Arial" w:cs="Arial"/>
                <w:sz w:val="20"/>
                <w:szCs w:val="20"/>
              </w:rPr>
            </w:pPr>
            <w:r>
              <w:rPr>
                <w:rFonts w:ascii="Arial" w:hAnsi="Arial"/>
                <w:sz w:val="20"/>
              </w:rPr>
              <w:t>1.000,00 €</w:t>
            </w:r>
          </w:p>
        </w:tc>
      </w:tr>
      <w:tr w:rsidR="002872F5" w:rsidRPr="002872F5" w14:paraId="22036D45"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78E8A9A5" w14:textId="77777777" w:rsidR="002872F5" w:rsidRPr="002872F5" w:rsidRDefault="002872F5" w:rsidP="00BA0E4C">
            <w:pPr>
              <w:jc w:val="both"/>
              <w:rPr>
                <w:rFonts w:ascii="Arial" w:hAnsi="Arial" w:cs="Arial"/>
                <w:sz w:val="20"/>
                <w:szCs w:val="20"/>
              </w:rPr>
            </w:pPr>
            <w:r>
              <w:rPr>
                <w:rFonts w:ascii="Arial" w:hAnsi="Arial"/>
                <w:sz w:val="20"/>
              </w:rPr>
              <w:t>2026</w:t>
            </w:r>
          </w:p>
        </w:tc>
        <w:tc>
          <w:tcPr>
            <w:tcW w:w="1967" w:type="dxa"/>
            <w:tcBorders>
              <w:top w:val="nil"/>
              <w:left w:val="single" w:sz="4" w:space="0" w:color="auto"/>
              <w:bottom w:val="single" w:sz="4" w:space="0" w:color="auto"/>
              <w:right w:val="single" w:sz="4" w:space="0" w:color="auto"/>
            </w:tcBorders>
            <w:vAlign w:val="center"/>
            <w:hideMark/>
          </w:tcPr>
          <w:p w14:paraId="10C120A5" w14:textId="77777777" w:rsidR="002872F5" w:rsidRPr="002872F5" w:rsidRDefault="002872F5" w:rsidP="00BA0E4C">
            <w:pPr>
              <w:jc w:val="both"/>
              <w:rPr>
                <w:rFonts w:ascii="Arial" w:hAnsi="Arial" w:cs="Arial"/>
                <w:sz w:val="20"/>
                <w:szCs w:val="20"/>
              </w:rPr>
            </w:pPr>
            <w:r>
              <w:rPr>
                <w:rFonts w:ascii="Arial" w:hAnsi="Arial"/>
                <w:sz w:val="20"/>
              </w:rPr>
              <w:t>210 94200 7620300</w:t>
            </w:r>
          </w:p>
        </w:tc>
        <w:tc>
          <w:tcPr>
            <w:tcW w:w="4536" w:type="dxa"/>
            <w:tcBorders>
              <w:top w:val="nil"/>
              <w:left w:val="nil"/>
              <w:bottom w:val="single" w:sz="4" w:space="0" w:color="auto"/>
              <w:right w:val="single" w:sz="4" w:space="0" w:color="auto"/>
            </w:tcBorders>
            <w:vAlign w:val="center"/>
            <w:hideMark/>
          </w:tcPr>
          <w:p w14:paraId="5C0E1D9A" w14:textId="77777777" w:rsidR="002872F5" w:rsidRPr="002872F5" w:rsidRDefault="002872F5" w:rsidP="00BA0E4C">
            <w:pPr>
              <w:jc w:val="both"/>
              <w:rPr>
                <w:rFonts w:ascii="Arial" w:hAnsi="Arial" w:cs="Arial"/>
                <w:sz w:val="20"/>
                <w:szCs w:val="20"/>
              </w:rPr>
            </w:pPr>
            <w:r>
              <w:rPr>
                <w:rFonts w:ascii="Arial" w:hAnsi="Arial"/>
                <w:sz w:val="20"/>
              </w:rPr>
              <w:t>CC-Ayudas a ayuntamientos para inversiones por nevadas y heladas</w:t>
            </w:r>
          </w:p>
        </w:tc>
        <w:tc>
          <w:tcPr>
            <w:tcW w:w="1411" w:type="dxa"/>
            <w:tcBorders>
              <w:top w:val="nil"/>
              <w:left w:val="nil"/>
              <w:bottom w:val="single" w:sz="4" w:space="0" w:color="auto"/>
              <w:right w:val="single" w:sz="4" w:space="0" w:color="auto"/>
            </w:tcBorders>
            <w:vAlign w:val="center"/>
            <w:hideMark/>
          </w:tcPr>
          <w:p w14:paraId="2492779C" w14:textId="77777777" w:rsidR="002872F5" w:rsidRPr="002872F5" w:rsidRDefault="002872F5" w:rsidP="002872F5">
            <w:pPr>
              <w:jc w:val="right"/>
              <w:rPr>
                <w:rFonts w:ascii="Arial" w:hAnsi="Arial" w:cs="Arial"/>
                <w:sz w:val="20"/>
                <w:szCs w:val="20"/>
              </w:rPr>
            </w:pPr>
            <w:r>
              <w:rPr>
                <w:rFonts w:ascii="Arial" w:hAnsi="Arial"/>
                <w:sz w:val="20"/>
              </w:rPr>
              <w:t>150.000,00 €</w:t>
            </w:r>
          </w:p>
        </w:tc>
      </w:tr>
      <w:tr w:rsidR="002872F5" w:rsidRPr="002872F5" w14:paraId="593E7D55"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7883C27C" w14:textId="77777777" w:rsidR="002872F5" w:rsidRPr="002872F5" w:rsidRDefault="002872F5" w:rsidP="00BA0E4C">
            <w:pPr>
              <w:jc w:val="both"/>
              <w:rPr>
                <w:rFonts w:ascii="Arial" w:hAnsi="Arial" w:cs="Arial"/>
                <w:sz w:val="20"/>
                <w:szCs w:val="20"/>
              </w:rPr>
            </w:pPr>
            <w:r>
              <w:rPr>
                <w:rFonts w:ascii="Arial" w:hAnsi="Arial"/>
                <w:sz w:val="20"/>
              </w:rPr>
              <w:t>2026</w:t>
            </w:r>
          </w:p>
        </w:tc>
        <w:tc>
          <w:tcPr>
            <w:tcW w:w="1967" w:type="dxa"/>
            <w:tcBorders>
              <w:top w:val="nil"/>
              <w:left w:val="single" w:sz="4" w:space="0" w:color="auto"/>
              <w:bottom w:val="single" w:sz="4" w:space="0" w:color="auto"/>
              <w:right w:val="single" w:sz="4" w:space="0" w:color="auto"/>
            </w:tcBorders>
            <w:vAlign w:val="center"/>
            <w:hideMark/>
          </w:tcPr>
          <w:p w14:paraId="71C907C1" w14:textId="77777777" w:rsidR="002872F5" w:rsidRPr="002872F5" w:rsidRDefault="002872F5" w:rsidP="00BA0E4C">
            <w:pPr>
              <w:jc w:val="both"/>
              <w:rPr>
                <w:rFonts w:ascii="Arial" w:hAnsi="Arial" w:cs="Arial"/>
                <w:sz w:val="20"/>
                <w:szCs w:val="20"/>
              </w:rPr>
            </w:pPr>
            <w:r>
              <w:rPr>
                <w:rFonts w:ascii="Arial" w:hAnsi="Arial"/>
                <w:sz w:val="20"/>
              </w:rPr>
              <w:t>210 94300 7630000</w:t>
            </w:r>
          </w:p>
        </w:tc>
        <w:tc>
          <w:tcPr>
            <w:tcW w:w="4536" w:type="dxa"/>
            <w:tcBorders>
              <w:top w:val="nil"/>
              <w:left w:val="nil"/>
              <w:bottom w:val="single" w:sz="4" w:space="0" w:color="auto"/>
              <w:right w:val="single" w:sz="4" w:space="0" w:color="auto"/>
            </w:tcBorders>
            <w:vAlign w:val="center"/>
            <w:hideMark/>
          </w:tcPr>
          <w:p w14:paraId="483B68EE" w14:textId="77777777" w:rsidR="002872F5" w:rsidRPr="002872F5" w:rsidRDefault="002872F5" w:rsidP="00BA0E4C">
            <w:pPr>
              <w:jc w:val="both"/>
              <w:rPr>
                <w:rFonts w:ascii="Arial" w:hAnsi="Arial" w:cs="Arial"/>
                <w:sz w:val="20"/>
                <w:szCs w:val="20"/>
              </w:rPr>
            </w:pPr>
            <w:r>
              <w:rPr>
                <w:rFonts w:ascii="Arial" w:hAnsi="Arial"/>
                <w:sz w:val="20"/>
              </w:rPr>
              <w:t>CC-Ayudas a mancomunidades para inversiones por nevadas y heladas</w:t>
            </w:r>
          </w:p>
        </w:tc>
        <w:tc>
          <w:tcPr>
            <w:tcW w:w="1411" w:type="dxa"/>
            <w:tcBorders>
              <w:top w:val="nil"/>
              <w:left w:val="nil"/>
              <w:bottom w:val="single" w:sz="4" w:space="0" w:color="auto"/>
              <w:right w:val="single" w:sz="4" w:space="0" w:color="auto"/>
            </w:tcBorders>
            <w:vAlign w:val="center"/>
            <w:hideMark/>
          </w:tcPr>
          <w:p w14:paraId="2A354901" w14:textId="77777777" w:rsidR="002872F5" w:rsidRPr="002872F5" w:rsidRDefault="002872F5" w:rsidP="002872F5">
            <w:pPr>
              <w:jc w:val="right"/>
              <w:rPr>
                <w:rFonts w:ascii="Arial" w:hAnsi="Arial" w:cs="Arial"/>
                <w:sz w:val="20"/>
                <w:szCs w:val="20"/>
              </w:rPr>
            </w:pPr>
            <w:r>
              <w:rPr>
                <w:rFonts w:ascii="Arial" w:hAnsi="Arial"/>
                <w:sz w:val="20"/>
              </w:rPr>
              <w:t>1.000,00 €</w:t>
            </w:r>
          </w:p>
        </w:tc>
      </w:tr>
      <w:tr w:rsidR="002872F5" w:rsidRPr="002872F5" w14:paraId="717604F7" w14:textId="77777777" w:rsidTr="00BA0E4C">
        <w:trPr>
          <w:trHeight w:val="570"/>
        </w:trPr>
        <w:tc>
          <w:tcPr>
            <w:tcW w:w="0" w:type="auto"/>
            <w:tcBorders>
              <w:top w:val="nil"/>
              <w:left w:val="single" w:sz="4" w:space="0" w:color="auto"/>
              <w:bottom w:val="single" w:sz="4" w:space="0" w:color="auto"/>
              <w:right w:val="single" w:sz="4" w:space="0" w:color="auto"/>
            </w:tcBorders>
            <w:vAlign w:val="center"/>
          </w:tcPr>
          <w:p w14:paraId="4D5B1B24" w14:textId="77777777" w:rsidR="002872F5" w:rsidRPr="002872F5" w:rsidRDefault="002872F5" w:rsidP="00BA0E4C">
            <w:pPr>
              <w:jc w:val="both"/>
              <w:rPr>
                <w:rFonts w:ascii="Arial" w:hAnsi="Arial" w:cs="Arial"/>
                <w:sz w:val="20"/>
                <w:szCs w:val="20"/>
              </w:rPr>
            </w:pPr>
            <w:r>
              <w:rPr>
                <w:rFonts w:ascii="Arial" w:hAnsi="Arial"/>
                <w:sz w:val="20"/>
              </w:rPr>
              <w:t>2027</w:t>
            </w:r>
          </w:p>
        </w:tc>
        <w:tc>
          <w:tcPr>
            <w:tcW w:w="1967" w:type="dxa"/>
            <w:tcBorders>
              <w:top w:val="nil"/>
              <w:left w:val="single" w:sz="4" w:space="0" w:color="auto"/>
              <w:bottom w:val="single" w:sz="4" w:space="0" w:color="auto"/>
              <w:right w:val="single" w:sz="4" w:space="0" w:color="auto"/>
            </w:tcBorders>
            <w:vAlign w:val="center"/>
            <w:hideMark/>
          </w:tcPr>
          <w:p w14:paraId="3B2D182F" w14:textId="77777777" w:rsidR="002872F5" w:rsidRPr="002872F5" w:rsidRDefault="002872F5" w:rsidP="00BA0E4C">
            <w:pPr>
              <w:jc w:val="both"/>
              <w:rPr>
                <w:rFonts w:ascii="Arial" w:hAnsi="Arial" w:cs="Arial"/>
                <w:sz w:val="20"/>
                <w:szCs w:val="20"/>
              </w:rPr>
            </w:pPr>
            <w:r>
              <w:rPr>
                <w:rFonts w:ascii="Arial" w:hAnsi="Arial"/>
                <w:sz w:val="20"/>
              </w:rPr>
              <w:t>210 94200 7620300</w:t>
            </w:r>
          </w:p>
        </w:tc>
        <w:tc>
          <w:tcPr>
            <w:tcW w:w="4536" w:type="dxa"/>
            <w:tcBorders>
              <w:top w:val="nil"/>
              <w:left w:val="nil"/>
              <w:bottom w:val="single" w:sz="4" w:space="0" w:color="auto"/>
              <w:right w:val="single" w:sz="4" w:space="0" w:color="auto"/>
            </w:tcBorders>
            <w:vAlign w:val="center"/>
            <w:hideMark/>
          </w:tcPr>
          <w:p w14:paraId="4C059053" w14:textId="77777777" w:rsidR="002872F5" w:rsidRPr="002872F5" w:rsidRDefault="002872F5" w:rsidP="00BA0E4C">
            <w:pPr>
              <w:jc w:val="both"/>
              <w:rPr>
                <w:rFonts w:ascii="Arial" w:hAnsi="Arial" w:cs="Arial"/>
                <w:sz w:val="20"/>
                <w:szCs w:val="20"/>
              </w:rPr>
            </w:pPr>
            <w:r>
              <w:rPr>
                <w:rFonts w:ascii="Arial" w:hAnsi="Arial"/>
                <w:sz w:val="20"/>
              </w:rPr>
              <w:t>CC-Ayudas a ayuntamientos para inversiones por nevadas y heladas</w:t>
            </w:r>
          </w:p>
        </w:tc>
        <w:tc>
          <w:tcPr>
            <w:tcW w:w="1411" w:type="dxa"/>
            <w:tcBorders>
              <w:top w:val="nil"/>
              <w:left w:val="nil"/>
              <w:bottom w:val="single" w:sz="4" w:space="0" w:color="auto"/>
              <w:right w:val="single" w:sz="4" w:space="0" w:color="auto"/>
            </w:tcBorders>
            <w:vAlign w:val="center"/>
            <w:hideMark/>
          </w:tcPr>
          <w:p w14:paraId="0C7EA469" w14:textId="77777777" w:rsidR="002872F5" w:rsidRPr="002872F5" w:rsidRDefault="002872F5" w:rsidP="002872F5">
            <w:pPr>
              <w:jc w:val="right"/>
              <w:rPr>
                <w:rFonts w:ascii="Arial" w:hAnsi="Arial" w:cs="Arial"/>
                <w:sz w:val="20"/>
                <w:szCs w:val="20"/>
              </w:rPr>
            </w:pPr>
            <w:r>
              <w:rPr>
                <w:rFonts w:ascii="Arial" w:hAnsi="Arial"/>
                <w:sz w:val="20"/>
              </w:rPr>
              <w:t>50.000,00 €</w:t>
            </w:r>
          </w:p>
        </w:tc>
      </w:tr>
      <w:tr w:rsidR="002872F5" w:rsidRPr="002872F5" w14:paraId="7E88C797" w14:textId="77777777" w:rsidTr="00BA0E4C">
        <w:trPr>
          <w:trHeight w:val="374"/>
        </w:trPr>
        <w:tc>
          <w:tcPr>
            <w:tcW w:w="0" w:type="auto"/>
            <w:tcBorders>
              <w:top w:val="nil"/>
              <w:left w:val="single" w:sz="4" w:space="0" w:color="auto"/>
              <w:bottom w:val="single" w:sz="4" w:space="0" w:color="auto"/>
              <w:right w:val="single" w:sz="4" w:space="0" w:color="auto"/>
            </w:tcBorders>
            <w:vAlign w:val="center"/>
          </w:tcPr>
          <w:p w14:paraId="57A97A1B" w14:textId="77777777" w:rsidR="002872F5" w:rsidRPr="002872F5" w:rsidRDefault="002872F5" w:rsidP="00BA0E4C">
            <w:pPr>
              <w:jc w:val="both"/>
              <w:rPr>
                <w:rFonts w:ascii="Arial" w:hAnsi="Arial" w:cs="Arial"/>
                <w:sz w:val="20"/>
                <w:szCs w:val="20"/>
              </w:rPr>
            </w:pPr>
          </w:p>
        </w:tc>
        <w:tc>
          <w:tcPr>
            <w:tcW w:w="1967" w:type="dxa"/>
            <w:tcBorders>
              <w:top w:val="nil"/>
              <w:left w:val="single" w:sz="4" w:space="0" w:color="auto"/>
              <w:bottom w:val="single" w:sz="4" w:space="0" w:color="auto"/>
              <w:right w:val="single" w:sz="4" w:space="0" w:color="auto"/>
            </w:tcBorders>
            <w:vAlign w:val="center"/>
            <w:hideMark/>
          </w:tcPr>
          <w:p w14:paraId="1BBE39C0" w14:textId="77777777" w:rsidR="002872F5" w:rsidRPr="002872F5" w:rsidRDefault="002872F5" w:rsidP="00BA0E4C">
            <w:pPr>
              <w:jc w:val="both"/>
              <w:rPr>
                <w:rFonts w:ascii="Arial" w:hAnsi="Arial" w:cs="Arial"/>
                <w:sz w:val="20"/>
                <w:szCs w:val="20"/>
              </w:rPr>
            </w:pPr>
          </w:p>
        </w:tc>
        <w:tc>
          <w:tcPr>
            <w:tcW w:w="4536" w:type="dxa"/>
            <w:tcBorders>
              <w:top w:val="nil"/>
              <w:left w:val="nil"/>
              <w:bottom w:val="single" w:sz="4" w:space="0" w:color="auto"/>
              <w:right w:val="single" w:sz="4" w:space="0" w:color="auto"/>
            </w:tcBorders>
            <w:vAlign w:val="center"/>
            <w:hideMark/>
          </w:tcPr>
          <w:p w14:paraId="6BBA295A" w14:textId="77777777" w:rsidR="002872F5" w:rsidRPr="002872F5" w:rsidRDefault="002872F5" w:rsidP="00BA0E4C">
            <w:pPr>
              <w:jc w:val="both"/>
              <w:rPr>
                <w:rFonts w:ascii="Arial" w:hAnsi="Arial" w:cs="Arial"/>
                <w:b/>
                <w:bCs/>
                <w:sz w:val="20"/>
                <w:szCs w:val="20"/>
              </w:rPr>
            </w:pPr>
            <w:r>
              <w:rPr>
                <w:rFonts w:ascii="Arial" w:hAnsi="Arial"/>
                <w:b/>
                <w:sz w:val="20"/>
              </w:rPr>
              <w:t>Total</w:t>
            </w:r>
          </w:p>
        </w:tc>
        <w:tc>
          <w:tcPr>
            <w:tcW w:w="1411" w:type="dxa"/>
            <w:tcBorders>
              <w:top w:val="nil"/>
              <w:left w:val="nil"/>
              <w:bottom w:val="single" w:sz="4" w:space="0" w:color="auto"/>
              <w:right w:val="single" w:sz="4" w:space="0" w:color="auto"/>
            </w:tcBorders>
            <w:vAlign w:val="center"/>
            <w:hideMark/>
          </w:tcPr>
          <w:p w14:paraId="5FD16126" w14:textId="77777777" w:rsidR="002872F5" w:rsidRPr="002872F5" w:rsidRDefault="002872F5" w:rsidP="002872F5">
            <w:pPr>
              <w:jc w:val="right"/>
              <w:rPr>
                <w:rFonts w:ascii="Arial" w:hAnsi="Arial" w:cs="Arial"/>
                <w:b/>
                <w:bCs/>
                <w:sz w:val="20"/>
                <w:szCs w:val="20"/>
              </w:rPr>
            </w:pPr>
            <w:r>
              <w:rPr>
                <w:rFonts w:ascii="Arial" w:hAnsi="Arial"/>
                <w:b/>
                <w:sz w:val="20"/>
              </w:rPr>
              <w:t>402.000,00 €</w:t>
            </w:r>
          </w:p>
        </w:tc>
      </w:tr>
    </w:tbl>
    <w:p w14:paraId="605DF56C" w14:textId="77777777" w:rsidR="002872F5" w:rsidRPr="002872F5" w:rsidRDefault="002872F5" w:rsidP="002872F5">
      <w:pPr>
        <w:jc w:val="both"/>
        <w:rPr>
          <w:rFonts w:ascii="Arial" w:hAnsi="Arial" w:cs="Arial"/>
        </w:rPr>
      </w:pPr>
    </w:p>
    <w:p w14:paraId="0F9D1CF5" w14:textId="77777777" w:rsidR="002872F5" w:rsidRPr="002872F5" w:rsidRDefault="002872F5" w:rsidP="002872F5">
      <w:pPr>
        <w:jc w:val="both"/>
        <w:rPr>
          <w:rFonts w:ascii="Arial" w:hAnsi="Arial" w:cs="Arial"/>
        </w:rPr>
      </w:pPr>
      <w:r>
        <w:rPr>
          <w:rFonts w:ascii="Arial" w:hAnsi="Arial"/>
        </w:rPr>
        <w:t>La distribución de estos importes tiene carácter estimativo, y podrán redistribuirse entre las aplicaciones presupuestarias anteriores en el mismo acto de concesión de las subvenciones.</w:t>
      </w:r>
    </w:p>
    <w:p w14:paraId="196CABFD" w14:textId="77777777" w:rsidR="002872F5" w:rsidRPr="002872F5" w:rsidRDefault="002872F5" w:rsidP="002872F5">
      <w:pPr>
        <w:jc w:val="both"/>
        <w:rPr>
          <w:rFonts w:ascii="Arial" w:hAnsi="Arial" w:cs="Arial"/>
        </w:rPr>
      </w:pPr>
      <w:r>
        <w:rPr>
          <w:rFonts w:ascii="Arial" w:hAnsi="Arial"/>
        </w:rPr>
        <w:t xml:space="preserve">Con el fin de atender un mayor número de solicitudes de subvención o de otorgar un mayor importe en las subvenciones, este crédito podrá ser ampliado con una cuantía adicional de como máximo 200.000,00 €, derivada de transferencias de crédito o de modificaciones presupuestarias. La efectividad de la cuantía adicional estará </w:t>
      </w:r>
      <w:r>
        <w:rPr>
          <w:rFonts w:ascii="Arial" w:hAnsi="Arial"/>
        </w:rPr>
        <w:lastRenderedPageBreak/>
        <w:t>condicionada a la correspondiente declaración de disponibilidad de crédito, previamente a la resolución de las subvenciones y a la aprobación del aumento de la convocatoria.</w:t>
      </w:r>
    </w:p>
    <w:p w14:paraId="790EB93C" w14:textId="77777777" w:rsidR="002872F5" w:rsidRPr="002872F5" w:rsidRDefault="002872F5" w:rsidP="002872F5">
      <w:pPr>
        <w:jc w:val="both"/>
        <w:rPr>
          <w:rFonts w:ascii="Arial" w:hAnsi="Arial" w:cs="Arial"/>
          <w:b/>
          <w:bCs/>
        </w:rPr>
      </w:pPr>
      <w:r>
        <w:rPr>
          <w:rFonts w:ascii="Arial" w:hAnsi="Arial"/>
          <w:b/>
        </w:rPr>
        <w:t>3. Plazo de presentación de solicitudes</w:t>
      </w:r>
    </w:p>
    <w:p w14:paraId="44E53912" w14:textId="77777777" w:rsidR="002872F5" w:rsidRPr="002872F5" w:rsidRDefault="002872F5" w:rsidP="002872F5">
      <w:pPr>
        <w:jc w:val="both"/>
        <w:rPr>
          <w:rFonts w:ascii="Arial" w:hAnsi="Arial" w:cs="Arial"/>
        </w:rPr>
      </w:pPr>
      <w:r>
        <w:rPr>
          <w:rFonts w:ascii="Arial" w:hAnsi="Arial"/>
        </w:rPr>
        <w:t xml:space="preserve">Las solicitudes de subvención se podrán presentar del 4 al 29 de mayo de 2026, a través de la plataforma de tramitación de subvenciones disponible en el Portal de subvenciones de la </w:t>
      </w:r>
      <w:proofErr w:type="spellStart"/>
      <w:r>
        <w:rPr>
          <w:rFonts w:ascii="Arial" w:hAnsi="Arial"/>
        </w:rPr>
        <w:t>Diputació</w:t>
      </w:r>
      <w:proofErr w:type="spellEnd"/>
      <w:r>
        <w:rPr>
          <w:rFonts w:ascii="Arial" w:hAnsi="Arial"/>
        </w:rPr>
        <w:t xml:space="preserve"> de Girona (</w:t>
      </w:r>
      <w:r>
        <w:rPr>
          <w:rFonts w:ascii="Arial" w:hAnsi="Arial"/>
          <w:i/>
          <w:iCs/>
        </w:rPr>
        <w:t>https://seu.ddgi.cat/subvencions</w:t>
      </w:r>
      <w:r>
        <w:rPr>
          <w:rFonts w:ascii="Arial" w:hAnsi="Arial"/>
        </w:rPr>
        <w:t>), en la que podrán encontrarse los documentos y la solicitud específica de esta línea de subvenciones.</w:t>
      </w:r>
    </w:p>
    <w:p w14:paraId="28CB2E33" w14:textId="77777777" w:rsidR="002872F5" w:rsidRPr="002872F5" w:rsidRDefault="002872F5" w:rsidP="002872F5">
      <w:pPr>
        <w:jc w:val="both"/>
        <w:rPr>
          <w:rFonts w:ascii="Arial" w:hAnsi="Arial" w:cs="Arial"/>
        </w:rPr>
      </w:pPr>
      <w:r>
        <w:rPr>
          <w:rFonts w:ascii="Arial" w:hAnsi="Arial"/>
        </w:rPr>
        <w:t>La solicitud deberá acompañarse de la siguiente documentación anexa y en el formato que se especifica:</w:t>
      </w:r>
    </w:p>
    <w:p w14:paraId="15B81905" w14:textId="77777777" w:rsidR="002872F5" w:rsidRPr="002872F5" w:rsidRDefault="002872F5" w:rsidP="002872F5">
      <w:pPr>
        <w:pStyle w:val="Pargrafdellista"/>
        <w:numPr>
          <w:ilvl w:val="0"/>
          <w:numId w:val="7"/>
        </w:numPr>
        <w:spacing w:line="278" w:lineRule="auto"/>
        <w:jc w:val="both"/>
        <w:rPr>
          <w:rFonts w:ascii="Arial" w:hAnsi="Arial" w:cs="Arial"/>
        </w:rPr>
      </w:pPr>
      <w:r>
        <w:rPr>
          <w:rFonts w:ascii="Arial" w:hAnsi="Arial"/>
        </w:rPr>
        <w:t xml:space="preserve">Para los gastos corrientes: </w:t>
      </w:r>
    </w:p>
    <w:p w14:paraId="52A49B06" w14:textId="77777777" w:rsidR="002872F5" w:rsidRPr="002872F5" w:rsidRDefault="002872F5" w:rsidP="002872F5">
      <w:pPr>
        <w:pStyle w:val="Pargrafdellista"/>
        <w:numPr>
          <w:ilvl w:val="1"/>
          <w:numId w:val="7"/>
        </w:numPr>
        <w:spacing w:line="278" w:lineRule="auto"/>
        <w:jc w:val="both"/>
        <w:rPr>
          <w:rFonts w:ascii="Arial" w:hAnsi="Arial" w:cs="Arial"/>
        </w:rPr>
      </w:pPr>
      <w:r>
        <w:rPr>
          <w:rFonts w:ascii="Arial" w:hAnsi="Arial"/>
        </w:rPr>
        <w:t>Una memoria explicativa, en la que se especifiquen las actuaciones para las que se solicita financiación y que contenga el detalle del presupuesto de los gastos previstos (en formato PDF y con un tamaño máximo de 6 MB).</w:t>
      </w:r>
    </w:p>
    <w:p w14:paraId="0FDC1697" w14:textId="77777777" w:rsidR="002872F5" w:rsidRPr="002872F5" w:rsidRDefault="002872F5" w:rsidP="002872F5">
      <w:pPr>
        <w:pStyle w:val="Pargrafdellista"/>
        <w:numPr>
          <w:ilvl w:val="1"/>
          <w:numId w:val="7"/>
        </w:numPr>
        <w:spacing w:line="278" w:lineRule="auto"/>
        <w:jc w:val="both"/>
        <w:rPr>
          <w:rFonts w:ascii="Arial" w:hAnsi="Arial" w:cs="Arial"/>
        </w:rPr>
      </w:pPr>
      <w:r>
        <w:rPr>
          <w:rFonts w:ascii="Arial" w:hAnsi="Arial"/>
        </w:rPr>
        <w:t>De forma opcional: la cuenta justificativa y la relación de gastos.</w:t>
      </w:r>
    </w:p>
    <w:p w14:paraId="095B576E" w14:textId="77777777" w:rsidR="002872F5" w:rsidRPr="002872F5" w:rsidRDefault="002872F5" w:rsidP="002872F5">
      <w:pPr>
        <w:pStyle w:val="Pargrafdellista"/>
        <w:jc w:val="both"/>
        <w:rPr>
          <w:rFonts w:ascii="Arial" w:hAnsi="Arial" w:cs="Arial"/>
        </w:rPr>
      </w:pPr>
    </w:p>
    <w:p w14:paraId="1035CFC3" w14:textId="77777777" w:rsidR="002872F5" w:rsidRPr="002872F5" w:rsidRDefault="002872F5" w:rsidP="002872F5">
      <w:pPr>
        <w:pStyle w:val="Pargrafdellista"/>
        <w:numPr>
          <w:ilvl w:val="0"/>
          <w:numId w:val="7"/>
        </w:numPr>
        <w:spacing w:line="278" w:lineRule="auto"/>
        <w:jc w:val="both"/>
        <w:rPr>
          <w:rFonts w:ascii="Arial" w:hAnsi="Arial" w:cs="Arial"/>
        </w:rPr>
      </w:pPr>
      <w:r>
        <w:rPr>
          <w:rFonts w:ascii="Arial" w:hAnsi="Arial"/>
        </w:rPr>
        <w:t>Para los gastos de inversión: un proyecto técnico o memoria valorada, debidamente firmados por técnicos competentes (en formato PDF y con un tamaño máximo de 6 MB).</w:t>
      </w:r>
    </w:p>
    <w:p w14:paraId="7B70132D" w14:textId="77777777" w:rsidR="002872F5" w:rsidRPr="002872F5" w:rsidRDefault="002872F5" w:rsidP="002872F5">
      <w:pPr>
        <w:jc w:val="both"/>
        <w:rPr>
          <w:rFonts w:ascii="Arial" w:hAnsi="Arial" w:cs="Arial"/>
        </w:rPr>
      </w:pPr>
      <w:r>
        <w:rPr>
          <w:rFonts w:ascii="Arial" w:hAnsi="Arial"/>
        </w:rPr>
        <w:t>No se aceptarán contenedores de archivos o ficheros, ya sean en formato PDF y con documentos adjuntos o bien en formatos de compresión de tipo Zip o RAR. </w:t>
      </w:r>
    </w:p>
    <w:p w14:paraId="159C8D0D" w14:textId="77777777" w:rsidR="002872F5" w:rsidRPr="002872F5" w:rsidRDefault="002872F5" w:rsidP="002872F5">
      <w:pPr>
        <w:jc w:val="both"/>
        <w:rPr>
          <w:rFonts w:ascii="Arial" w:hAnsi="Arial" w:cs="Arial"/>
        </w:rPr>
      </w:pPr>
      <w:r>
        <w:rPr>
          <w:rFonts w:ascii="Arial" w:hAnsi="Arial"/>
        </w:rPr>
        <w:t>Cada solicitante podrá presentar una única solicitud y deberá referirse a una o a las dos líneas de subvención, gastos corrientes e inversiones a los que concurre. En caso de presentarse más de una solicitud, se tendrá en cuenta la última entrada dentro de plazo, y se considerará que la persona interesada desiste de las anteriores.</w:t>
      </w:r>
    </w:p>
    <w:p w14:paraId="31DBEE2F" w14:textId="77777777" w:rsidR="002872F5" w:rsidRPr="002872F5" w:rsidRDefault="002872F5" w:rsidP="002872F5">
      <w:pPr>
        <w:jc w:val="both"/>
        <w:rPr>
          <w:rFonts w:ascii="Arial" w:hAnsi="Arial" w:cs="Arial"/>
          <w:b/>
          <w:bCs/>
        </w:rPr>
      </w:pPr>
      <w:r>
        <w:rPr>
          <w:rFonts w:ascii="Arial" w:hAnsi="Arial"/>
          <w:b/>
        </w:rPr>
        <w:t>4. Importe de las subvenciones</w:t>
      </w:r>
    </w:p>
    <w:p w14:paraId="5D4D5F55" w14:textId="77777777" w:rsidR="002872F5" w:rsidRPr="002872F5" w:rsidRDefault="002872F5" w:rsidP="002872F5">
      <w:pPr>
        <w:jc w:val="both"/>
        <w:rPr>
          <w:rFonts w:ascii="Arial" w:hAnsi="Arial" w:cs="Arial"/>
        </w:rPr>
      </w:pPr>
      <w:r>
        <w:rPr>
          <w:rFonts w:ascii="Arial" w:hAnsi="Arial"/>
        </w:rPr>
        <w:t xml:space="preserve">La distribución de los fondos asignados en la correspondiente convocatoria se efectuará entre las solicitudes presentadas aplicando los siguientes criterios: </w:t>
      </w:r>
    </w:p>
    <w:p w14:paraId="7C4F2D0C" w14:textId="77777777" w:rsidR="002872F5" w:rsidRPr="002872F5" w:rsidRDefault="002872F5" w:rsidP="002872F5">
      <w:pPr>
        <w:jc w:val="both"/>
        <w:rPr>
          <w:rFonts w:ascii="Arial" w:hAnsi="Arial" w:cs="Arial"/>
          <w:u w:val="single"/>
        </w:rPr>
      </w:pPr>
      <w:r>
        <w:rPr>
          <w:rFonts w:ascii="Arial" w:hAnsi="Arial"/>
          <w:u w:val="single"/>
        </w:rPr>
        <w:t>Subvenciones a ayuntamientos</w:t>
      </w:r>
    </w:p>
    <w:p w14:paraId="04801827" w14:textId="77777777" w:rsidR="002872F5" w:rsidRPr="002872F5" w:rsidRDefault="002872F5" w:rsidP="002872F5">
      <w:pPr>
        <w:pStyle w:val="Pargrafdellista"/>
        <w:numPr>
          <w:ilvl w:val="0"/>
          <w:numId w:val="5"/>
        </w:numPr>
        <w:jc w:val="both"/>
        <w:rPr>
          <w:rFonts w:ascii="Arial" w:hAnsi="Arial" w:cs="Arial"/>
        </w:rPr>
      </w:pPr>
      <w:r>
        <w:rPr>
          <w:rFonts w:ascii="Arial" w:hAnsi="Arial"/>
        </w:rPr>
        <w:t xml:space="preserve">Las subvenciones no podrán exceder de los siguientes porcentajes, calculados sobre el presupuesto de los gastos subvencionables: </w:t>
      </w:r>
    </w:p>
    <w:tbl>
      <w:tblPr>
        <w:tblStyle w:val="Taulaambquadrcula"/>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3"/>
        <w:gridCol w:w="1925"/>
      </w:tblGrid>
      <w:tr w:rsidR="002872F5" w:rsidRPr="002872F5" w14:paraId="715A631D" w14:textId="77777777" w:rsidTr="00BA0E4C">
        <w:tc>
          <w:tcPr>
            <w:tcW w:w="3603" w:type="dxa"/>
          </w:tcPr>
          <w:p w14:paraId="412B4E22" w14:textId="77777777" w:rsidR="002872F5" w:rsidRPr="002872F5" w:rsidRDefault="002872F5" w:rsidP="00BA0E4C">
            <w:pPr>
              <w:spacing w:after="160" w:line="259" w:lineRule="auto"/>
              <w:jc w:val="both"/>
              <w:rPr>
                <w:rFonts w:ascii="Arial" w:hAnsi="Arial" w:cs="Arial"/>
                <w:sz w:val="22"/>
                <w:szCs w:val="22"/>
              </w:rPr>
            </w:pPr>
            <w:r>
              <w:rPr>
                <w:rFonts w:ascii="Arial" w:hAnsi="Arial"/>
                <w:sz w:val="22"/>
              </w:rPr>
              <w:t xml:space="preserve">Tramo de población del municipio: </w:t>
            </w:r>
          </w:p>
        </w:tc>
        <w:tc>
          <w:tcPr>
            <w:tcW w:w="1925" w:type="dxa"/>
          </w:tcPr>
          <w:p w14:paraId="35615082"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Porcentaje</w:t>
            </w:r>
          </w:p>
        </w:tc>
      </w:tr>
      <w:tr w:rsidR="002872F5" w:rsidRPr="002872F5" w14:paraId="6F2957A8" w14:textId="77777777" w:rsidTr="00BA0E4C">
        <w:tc>
          <w:tcPr>
            <w:tcW w:w="3603" w:type="dxa"/>
          </w:tcPr>
          <w:p w14:paraId="33995236"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Hasta 500 habitantes</w:t>
            </w:r>
          </w:p>
        </w:tc>
        <w:tc>
          <w:tcPr>
            <w:tcW w:w="1925" w:type="dxa"/>
          </w:tcPr>
          <w:p w14:paraId="1BF3B311"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hasta el 100 %</w:t>
            </w:r>
          </w:p>
        </w:tc>
      </w:tr>
      <w:tr w:rsidR="002872F5" w:rsidRPr="002872F5" w14:paraId="3D8112C3" w14:textId="77777777" w:rsidTr="00BA0E4C">
        <w:tc>
          <w:tcPr>
            <w:tcW w:w="3603" w:type="dxa"/>
          </w:tcPr>
          <w:p w14:paraId="2014C8FC"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De 501 a 2.000 habitantes</w:t>
            </w:r>
          </w:p>
        </w:tc>
        <w:tc>
          <w:tcPr>
            <w:tcW w:w="1925" w:type="dxa"/>
          </w:tcPr>
          <w:p w14:paraId="586F3640"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hasta el 95 %</w:t>
            </w:r>
          </w:p>
        </w:tc>
      </w:tr>
      <w:tr w:rsidR="002872F5" w:rsidRPr="002872F5" w14:paraId="030CD8FD" w14:textId="77777777" w:rsidTr="00BA0E4C">
        <w:tc>
          <w:tcPr>
            <w:tcW w:w="3603" w:type="dxa"/>
          </w:tcPr>
          <w:p w14:paraId="1BB990B1"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De 2.001 a 5.000 habitantes</w:t>
            </w:r>
          </w:p>
        </w:tc>
        <w:tc>
          <w:tcPr>
            <w:tcW w:w="1925" w:type="dxa"/>
          </w:tcPr>
          <w:p w14:paraId="38F0A593"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hasta el 80 %</w:t>
            </w:r>
          </w:p>
        </w:tc>
      </w:tr>
      <w:tr w:rsidR="002872F5" w:rsidRPr="002872F5" w14:paraId="439C1010" w14:textId="77777777" w:rsidTr="00BA0E4C">
        <w:tc>
          <w:tcPr>
            <w:tcW w:w="3603" w:type="dxa"/>
          </w:tcPr>
          <w:p w14:paraId="1EED1A8F"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De 5.001 a 10.000 habitantes</w:t>
            </w:r>
          </w:p>
        </w:tc>
        <w:tc>
          <w:tcPr>
            <w:tcW w:w="1925" w:type="dxa"/>
          </w:tcPr>
          <w:p w14:paraId="09209FB8"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hasta el 75 %</w:t>
            </w:r>
          </w:p>
        </w:tc>
      </w:tr>
      <w:tr w:rsidR="002872F5" w:rsidRPr="002872F5" w14:paraId="3EEBAC73" w14:textId="77777777" w:rsidTr="00BA0E4C">
        <w:tc>
          <w:tcPr>
            <w:tcW w:w="3603" w:type="dxa"/>
          </w:tcPr>
          <w:p w14:paraId="552114D2"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De 10.001 a 20.000 habitantes</w:t>
            </w:r>
          </w:p>
        </w:tc>
        <w:tc>
          <w:tcPr>
            <w:tcW w:w="1925" w:type="dxa"/>
          </w:tcPr>
          <w:p w14:paraId="7128A26A" w14:textId="77777777" w:rsidR="002872F5" w:rsidRPr="002872F5" w:rsidRDefault="002872F5" w:rsidP="00BA0E4C">
            <w:pPr>
              <w:jc w:val="both"/>
              <w:rPr>
                <w:rFonts w:ascii="Arial" w:hAnsi="Arial" w:cs="Arial"/>
                <w:kern w:val="0"/>
                <w:sz w:val="22"/>
                <w:szCs w:val="22"/>
                <w14:ligatures w14:val="none"/>
              </w:rPr>
            </w:pPr>
            <w:r>
              <w:rPr>
                <w:rFonts w:ascii="Arial" w:hAnsi="Arial"/>
                <w:sz w:val="22"/>
              </w:rPr>
              <w:t>hasta el 70 %</w:t>
            </w:r>
          </w:p>
        </w:tc>
      </w:tr>
      <w:tr w:rsidR="002872F5" w:rsidRPr="002872F5" w14:paraId="30EDDD06" w14:textId="77777777" w:rsidTr="00BA0E4C">
        <w:tc>
          <w:tcPr>
            <w:tcW w:w="3603" w:type="dxa"/>
          </w:tcPr>
          <w:p w14:paraId="751A659E" w14:textId="1A25AAD9" w:rsidR="002872F5" w:rsidRPr="002872F5" w:rsidRDefault="002872F5" w:rsidP="00BA0E4C">
            <w:pPr>
              <w:jc w:val="both"/>
              <w:rPr>
                <w:rFonts w:ascii="Arial" w:hAnsi="Arial" w:cs="Arial"/>
                <w:sz w:val="22"/>
                <w:szCs w:val="22"/>
              </w:rPr>
            </w:pPr>
            <w:r>
              <w:rPr>
                <w:rFonts w:ascii="Arial" w:hAnsi="Arial"/>
                <w:sz w:val="22"/>
              </w:rPr>
              <w:t>De más de 20.000 habitantes</w:t>
            </w:r>
          </w:p>
        </w:tc>
        <w:tc>
          <w:tcPr>
            <w:tcW w:w="1925" w:type="dxa"/>
          </w:tcPr>
          <w:p w14:paraId="10B95490" w14:textId="55EC029D" w:rsidR="002872F5" w:rsidRPr="002872F5" w:rsidRDefault="002872F5" w:rsidP="00BA0E4C">
            <w:pPr>
              <w:jc w:val="both"/>
              <w:rPr>
                <w:rFonts w:ascii="Arial" w:hAnsi="Arial" w:cs="Arial"/>
                <w:sz w:val="22"/>
                <w:szCs w:val="22"/>
              </w:rPr>
            </w:pPr>
            <w:r>
              <w:rPr>
                <w:rFonts w:ascii="Arial" w:hAnsi="Arial"/>
                <w:sz w:val="22"/>
              </w:rPr>
              <w:t>hasta el 50 %</w:t>
            </w:r>
          </w:p>
        </w:tc>
      </w:tr>
    </w:tbl>
    <w:p w14:paraId="391B1C8A" w14:textId="77777777" w:rsidR="00C937A6" w:rsidRDefault="00C937A6" w:rsidP="00C937A6">
      <w:pPr>
        <w:pStyle w:val="Pargrafdellista"/>
        <w:jc w:val="both"/>
        <w:rPr>
          <w:rFonts w:ascii="Arial" w:hAnsi="Arial" w:cs="Arial"/>
        </w:rPr>
      </w:pPr>
    </w:p>
    <w:p w14:paraId="41BE6A5C" w14:textId="16F110B8" w:rsidR="002872F5" w:rsidRPr="002872F5" w:rsidRDefault="002872F5" w:rsidP="002872F5">
      <w:pPr>
        <w:pStyle w:val="Pargrafdellista"/>
        <w:numPr>
          <w:ilvl w:val="0"/>
          <w:numId w:val="5"/>
        </w:numPr>
        <w:jc w:val="both"/>
        <w:rPr>
          <w:rFonts w:ascii="Arial" w:hAnsi="Arial" w:cs="Arial"/>
        </w:rPr>
      </w:pPr>
      <w:r>
        <w:rPr>
          <w:rFonts w:ascii="Arial" w:hAnsi="Arial"/>
        </w:rPr>
        <w:lastRenderedPageBreak/>
        <w:t>El importe de la subvención concedida para gastos corrientes no podrá ser superior a 75.000,00 euros ni inferior a 1.000,00 euros.</w:t>
      </w:r>
    </w:p>
    <w:p w14:paraId="41031D52" w14:textId="77777777" w:rsidR="002872F5" w:rsidRPr="002872F5" w:rsidRDefault="002872F5" w:rsidP="002872F5">
      <w:pPr>
        <w:pStyle w:val="Pargrafdellista"/>
        <w:numPr>
          <w:ilvl w:val="0"/>
          <w:numId w:val="5"/>
        </w:numPr>
        <w:jc w:val="both"/>
        <w:rPr>
          <w:rFonts w:ascii="Arial" w:hAnsi="Arial" w:cs="Arial"/>
        </w:rPr>
      </w:pPr>
      <w:r>
        <w:rPr>
          <w:rFonts w:ascii="Arial" w:hAnsi="Arial"/>
        </w:rPr>
        <w:t>El importe de la subvención concedida para inversiones no podrá ser superior a 50.000,00 euros ni inferior a 1.000,00 euros.</w:t>
      </w:r>
    </w:p>
    <w:p w14:paraId="2F889AB9" w14:textId="77777777" w:rsidR="002872F5" w:rsidRPr="002872F5" w:rsidRDefault="002872F5" w:rsidP="002872F5">
      <w:pPr>
        <w:jc w:val="both"/>
        <w:rPr>
          <w:rFonts w:ascii="Arial" w:hAnsi="Arial" w:cs="Arial"/>
          <w:u w:val="single"/>
        </w:rPr>
      </w:pPr>
      <w:r>
        <w:rPr>
          <w:rFonts w:ascii="Arial" w:hAnsi="Arial"/>
          <w:u w:val="single"/>
        </w:rPr>
        <w:t>Subvenciones a mancomunidades</w:t>
      </w:r>
    </w:p>
    <w:p w14:paraId="26A46D12" w14:textId="77777777" w:rsidR="002872F5" w:rsidRPr="002872F5" w:rsidRDefault="002872F5" w:rsidP="002872F5">
      <w:pPr>
        <w:pStyle w:val="Pargrafdellista"/>
        <w:numPr>
          <w:ilvl w:val="0"/>
          <w:numId w:val="6"/>
        </w:numPr>
        <w:jc w:val="both"/>
        <w:rPr>
          <w:rFonts w:ascii="Arial" w:hAnsi="Arial" w:cs="Arial"/>
        </w:rPr>
      </w:pPr>
      <w:r>
        <w:rPr>
          <w:rFonts w:ascii="Arial" w:hAnsi="Arial"/>
        </w:rPr>
        <w:t>El porcentaje máximo de financiación se calculará aplicando la media aritmética de los porcentajes que corresponderían individualmente a cada municipio que integra la mancomunidad, de acuerdo con el tramo de población.</w:t>
      </w:r>
    </w:p>
    <w:p w14:paraId="0CF9186B" w14:textId="77777777" w:rsidR="002872F5" w:rsidRPr="002872F5" w:rsidRDefault="002872F5" w:rsidP="002872F5">
      <w:pPr>
        <w:pStyle w:val="Pargrafdellista"/>
        <w:numPr>
          <w:ilvl w:val="0"/>
          <w:numId w:val="6"/>
        </w:numPr>
        <w:jc w:val="both"/>
        <w:rPr>
          <w:rFonts w:ascii="Arial" w:hAnsi="Arial" w:cs="Arial"/>
        </w:rPr>
      </w:pPr>
      <w:r>
        <w:rPr>
          <w:rFonts w:ascii="Arial" w:hAnsi="Arial"/>
        </w:rPr>
        <w:t>El importe de la subvención concedida no podrá ser superior a 75.000,00 euros ni inferior a 1.000,00 euros para cada una de las líneas.</w:t>
      </w:r>
    </w:p>
    <w:p w14:paraId="4B2A8248" w14:textId="77777777" w:rsidR="002872F5" w:rsidRPr="002872F5" w:rsidRDefault="002872F5" w:rsidP="002872F5">
      <w:pPr>
        <w:jc w:val="both"/>
        <w:rPr>
          <w:rFonts w:ascii="Arial" w:hAnsi="Arial" w:cs="Arial"/>
        </w:rPr>
      </w:pPr>
      <w:r>
        <w:rPr>
          <w:rFonts w:ascii="Arial" w:hAnsi="Arial"/>
        </w:rPr>
        <w:t xml:space="preserve">En caso de que las subvenciones a otorgar superen el importe del crédito asignado en la convocatoria, la subvención a otorgar a cada beneficiario se multiplicará por el porcentaje resultante de dividir el importe del crédito asignado en la convocatoria por el importe total de las subvenciones a otorgar. Quedarán excluidas las solicitudes que obtengan un resultado inferior al importe mínimo de 1.000,00 euros, y el importe del crédito asignado a la convocatoria se redistribuirá entre el resto de </w:t>
      </w:r>
      <w:proofErr w:type="gramStart"/>
      <w:r>
        <w:rPr>
          <w:rFonts w:ascii="Arial" w:hAnsi="Arial"/>
        </w:rPr>
        <w:t>solicitudes</w:t>
      </w:r>
      <w:proofErr w:type="gramEnd"/>
      <w:r>
        <w:rPr>
          <w:rFonts w:ascii="Arial" w:hAnsi="Arial"/>
        </w:rPr>
        <w:t xml:space="preserve"> aplicando la misma fórmula.</w:t>
      </w:r>
    </w:p>
    <w:p w14:paraId="38D4F3F3" w14:textId="77777777" w:rsidR="002872F5" w:rsidRPr="002872F5" w:rsidRDefault="002872F5" w:rsidP="002872F5">
      <w:pPr>
        <w:jc w:val="both"/>
        <w:rPr>
          <w:rFonts w:ascii="Arial" w:hAnsi="Arial" w:cs="Arial"/>
          <w:b/>
          <w:bCs/>
        </w:rPr>
      </w:pPr>
      <w:r>
        <w:rPr>
          <w:rFonts w:ascii="Arial" w:hAnsi="Arial"/>
          <w:b/>
        </w:rPr>
        <w:t>5. Ámbito temporal de las acciones subvencionables</w:t>
      </w:r>
    </w:p>
    <w:p w14:paraId="5C9F8B6A" w14:textId="77777777" w:rsidR="002872F5" w:rsidRPr="002872F5" w:rsidRDefault="002872F5" w:rsidP="002872F5">
      <w:pPr>
        <w:jc w:val="both"/>
        <w:rPr>
          <w:rFonts w:ascii="Arial" w:hAnsi="Arial" w:cs="Arial"/>
        </w:rPr>
      </w:pPr>
      <w:r>
        <w:rPr>
          <w:rFonts w:ascii="Arial" w:hAnsi="Arial"/>
        </w:rPr>
        <w:t>Se subvencionarán actuaciones, actividades o inversiones realizadas a partir del 1 de octubre de 2025 y hasta la fecha de justificación.</w:t>
      </w:r>
    </w:p>
    <w:p w14:paraId="6FB44F0D" w14:textId="77777777" w:rsidR="002872F5" w:rsidRPr="002872F5" w:rsidRDefault="002872F5" w:rsidP="002872F5">
      <w:pPr>
        <w:jc w:val="both"/>
        <w:rPr>
          <w:rFonts w:ascii="Arial" w:hAnsi="Arial" w:cs="Arial"/>
          <w:b/>
          <w:bCs/>
        </w:rPr>
      </w:pPr>
      <w:r>
        <w:rPr>
          <w:rFonts w:ascii="Arial" w:hAnsi="Arial"/>
          <w:b/>
        </w:rPr>
        <w:t>6. Plazo para justificar las subvenciones</w:t>
      </w:r>
    </w:p>
    <w:p w14:paraId="734994FD" w14:textId="77777777" w:rsidR="002872F5" w:rsidRPr="002872F5" w:rsidRDefault="002872F5" w:rsidP="002872F5">
      <w:pPr>
        <w:jc w:val="both"/>
        <w:rPr>
          <w:rFonts w:ascii="Arial" w:hAnsi="Arial" w:cs="Arial"/>
        </w:rPr>
      </w:pPr>
      <w:r>
        <w:rPr>
          <w:rFonts w:ascii="Arial" w:hAnsi="Arial"/>
        </w:rPr>
        <w:t xml:space="preserve">El plazo para justificar las actuaciones finaliza: </w:t>
      </w:r>
    </w:p>
    <w:p w14:paraId="68E5A412" w14:textId="77777777" w:rsidR="002872F5" w:rsidRPr="002872F5" w:rsidRDefault="002872F5" w:rsidP="002872F5">
      <w:pPr>
        <w:pStyle w:val="Pargrafdellista"/>
        <w:numPr>
          <w:ilvl w:val="0"/>
          <w:numId w:val="4"/>
        </w:numPr>
        <w:jc w:val="both"/>
        <w:rPr>
          <w:rFonts w:ascii="Arial" w:hAnsi="Arial" w:cs="Arial"/>
        </w:rPr>
      </w:pPr>
      <w:r>
        <w:rPr>
          <w:rFonts w:ascii="Arial" w:hAnsi="Arial"/>
        </w:rPr>
        <w:t>Para las subvenciones para gastos corrientes: el 30 de septiembre de 2026</w:t>
      </w:r>
    </w:p>
    <w:p w14:paraId="4CD4319C" w14:textId="77777777" w:rsidR="002872F5" w:rsidRPr="002872F5" w:rsidRDefault="002872F5" w:rsidP="002872F5">
      <w:pPr>
        <w:pStyle w:val="Pargrafdellista"/>
        <w:numPr>
          <w:ilvl w:val="0"/>
          <w:numId w:val="4"/>
        </w:numPr>
        <w:jc w:val="both"/>
        <w:rPr>
          <w:rFonts w:ascii="Arial" w:hAnsi="Arial" w:cs="Arial"/>
        </w:rPr>
      </w:pPr>
      <w:r>
        <w:rPr>
          <w:rFonts w:ascii="Arial" w:hAnsi="Arial"/>
        </w:rPr>
        <w:t>Para las subvenciones para inversiones: el 1 de marzo de 2027.</w:t>
      </w:r>
    </w:p>
    <w:p w14:paraId="03801D2B" w14:textId="77777777" w:rsidR="002872F5" w:rsidRPr="002872F5" w:rsidRDefault="002872F5" w:rsidP="002872F5">
      <w:pPr>
        <w:jc w:val="both"/>
        <w:rPr>
          <w:rFonts w:ascii="Arial" w:hAnsi="Arial" w:cs="Arial"/>
          <w:b/>
          <w:bCs/>
        </w:rPr>
      </w:pPr>
      <w:r>
        <w:rPr>
          <w:rFonts w:ascii="Arial" w:hAnsi="Arial"/>
          <w:b/>
        </w:rPr>
        <w:t>7. Plazo de resolución y notificación</w:t>
      </w:r>
    </w:p>
    <w:p w14:paraId="64EBB8E2" w14:textId="77777777" w:rsidR="002872F5" w:rsidRPr="002872F5" w:rsidRDefault="002872F5" w:rsidP="002872F5">
      <w:pPr>
        <w:jc w:val="both"/>
        <w:rPr>
          <w:rFonts w:ascii="Arial" w:hAnsi="Arial" w:cs="Arial"/>
          <w:b/>
          <w:bCs/>
        </w:rPr>
      </w:pPr>
      <w:r>
        <w:rPr>
          <w:rFonts w:ascii="Arial" w:hAnsi="Arial"/>
        </w:rPr>
        <w:t>El plazo para resolver sobre la convocatoria es el que determinan las bases. Una vez transcurrido dicho plazo sin que se haya adoptado una resolución, los solicitantes podrán entender desestimadas sus solicitudes por silencio administrativo.</w:t>
      </w:r>
    </w:p>
    <w:p w14:paraId="4220B422" w14:textId="77777777" w:rsidR="002872F5" w:rsidRPr="002872F5" w:rsidRDefault="002872F5" w:rsidP="002872F5">
      <w:pPr>
        <w:jc w:val="both"/>
        <w:rPr>
          <w:rFonts w:ascii="Arial" w:hAnsi="Arial" w:cs="Arial"/>
        </w:rPr>
      </w:pPr>
      <w:r>
        <w:rPr>
          <w:rFonts w:ascii="Arial" w:hAnsi="Arial"/>
        </w:rPr>
        <w:t>La resolución se notificará de forma individualizada a todos los beneficiarios, tal como se prevé en el artículo 41.1 de la Ley 39/2015, de 1 de octubre, del Procedimiento Administrativo Común de las Administraciones Públicas, y también a los peticionarios cuya solicitud se haya desestimado, en el plazo máximo de diez días hábiles a contar desde la fecha de adopción del acuerdo.</w:t>
      </w:r>
    </w:p>
    <w:p w14:paraId="7BAB43C1" w14:textId="77777777" w:rsidR="002872F5" w:rsidRPr="002872F5" w:rsidRDefault="002872F5" w:rsidP="002872F5">
      <w:pPr>
        <w:jc w:val="both"/>
        <w:rPr>
          <w:rFonts w:ascii="Arial" w:hAnsi="Arial" w:cs="Arial"/>
          <w:b/>
          <w:bCs/>
        </w:rPr>
      </w:pPr>
      <w:r>
        <w:rPr>
          <w:rFonts w:ascii="Arial" w:hAnsi="Arial"/>
          <w:b/>
        </w:rPr>
        <w:t>8. Régimen de recursos</w:t>
      </w:r>
    </w:p>
    <w:p w14:paraId="74534749" w14:textId="77777777" w:rsidR="002872F5" w:rsidRPr="002872F5" w:rsidRDefault="002872F5" w:rsidP="002872F5">
      <w:pPr>
        <w:jc w:val="both"/>
        <w:rPr>
          <w:rFonts w:ascii="Arial" w:hAnsi="Arial" w:cs="Arial"/>
        </w:rPr>
      </w:pPr>
      <w:r>
        <w:rPr>
          <w:rFonts w:ascii="Arial" w:hAnsi="Arial"/>
        </w:rPr>
        <w:t xml:space="preserve">La resolución de la convocatoria pone fin a la vía administrativa. Contra esta resolución cabe recurso contencioso-administrativo ante la sección contencioso-administrativa de los tribunales de instancia de Girona en el plazo de dos meses a contar del día siguiente a su notificación. Alternativamente, y de forma potestativa, se puede interponer recurso </w:t>
      </w:r>
      <w:r>
        <w:rPr>
          <w:rFonts w:ascii="Arial" w:hAnsi="Arial"/>
        </w:rPr>
        <w:lastRenderedPageBreak/>
        <w:t xml:space="preserve">de reposición ante la Junta de Gobierno de la </w:t>
      </w:r>
      <w:proofErr w:type="spellStart"/>
      <w:r>
        <w:rPr>
          <w:rFonts w:ascii="Arial" w:hAnsi="Arial"/>
        </w:rPr>
        <w:t>Diputació</w:t>
      </w:r>
      <w:proofErr w:type="spellEnd"/>
      <w:r>
        <w:rPr>
          <w:rFonts w:ascii="Arial" w:hAnsi="Arial"/>
        </w:rPr>
        <w:t xml:space="preserve"> de Girona en el plazo de un mes a contar del día siguiente a su notificación. </w:t>
      </w:r>
    </w:p>
    <w:p w14:paraId="39E2A53E" w14:textId="77777777" w:rsidR="002872F5" w:rsidRPr="002872F5" w:rsidRDefault="002872F5" w:rsidP="002872F5">
      <w:pPr>
        <w:jc w:val="both"/>
        <w:rPr>
          <w:rFonts w:ascii="Arial" w:hAnsi="Arial" w:cs="Arial"/>
          <w:b/>
          <w:bCs/>
        </w:rPr>
      </w:pPr>
      <w:r>
        <w:rPr>
          <w:rFonts w:ascii="Arial" w:hAnsi="Arial"/>
          <w:b/>
        </w:rPr>
        <w:t>9. Publicidad</w:t>
      </w:r>
    </w:p>
    <w:p w14:paraId="46EA20C0" w14:textId="77777777" w:rsidR="002872F5" w:rsidRPr="002872F5" w:rsidRDefault="002872F5" w:rsidP="002872F5">
      <w:pPr>
        <w:jc w:val="both"/>
        <w:rPr>
          <w:rFonts w:ascii="Arial" w:hAnsi="Arial" w:cs="Arial"/>
        </w:rPr>
      </w:pPr>
      <w:r>
        <w:rPr>
          <w:rFonts w:ascii="Arial" w:hAnsi="Arial"/>
        </w:rPr>
        <w:t xml:space="preserve">Esta convocatoria se publicará en el tablón de anuncios de la </w:t>
      </w:r>
      <w:proofErr w:type="spellStart"/>
      <w:r>
        <w:rPr>
          <w:rFonts w:ascii="Arial" w:hAnsi="Arial"/>
        </w:rPr>
        <w:t>Diputació</w:t>
      </w:r>
      <w:proofErr w:type="spellEnd"/>
      <w:r>
        <w:rPr>
          <w:rFonts w:ascii="Arial" w:hAnsi="Arial"/>
        </w:rPr>
        <w:t xml:space="preserve"> y, de acuerdo con lo establecido en el artículo 17.3 </w:t>
      </w:r>
      <w:r>
        <w:rPr>
          <w:rFonts w:ascii="Arial" w:hAnsi="Arial"/>
          <w:i/>
          <w:iCs/>
        </w:rPr>
        <w:t>b</w:t>
      </w:r>
      <w:r>
        <w:rPr>
          <w:rFonts w:ascii="Arial" w:hAnsi="Arial"/>
        </w:rPr>
        <w:t xml:space="preserve"> de la Ley 38/2003, General de Subvenciones, su extracto se publicará en el BOPG.</w:t>
      </w:r>
    </w:p>
    <w:p w14:paraId="1EF74ECD" w14:textId="77777777" w:rsidR="002872F5" w:rsidRPr="002872F5" w:rsidRDefault="002872F5" w:rsidP="002872F5">
      <w:pPr>
        <w:jc w:val="both"/>
        <w:rPr>
          <w:rFonts w:ascii="Arial" w:hAnsi="Arial" w:cs="Arial"/>
        </w:rPr>
      </w:pPr>
      <w:r>
        <w:rPr>
          <w:rFonts w:ascii="Arial" w:hAnsi="Arial"/>
        </w:rPr>
        <w:t>La convocatoria queda condicionada al hecho de que no se presenten alegaciones contra las bases específicas cuya estimación deba comportar un cambio en sus determinaciones.</w:t>
      </w:r>
    </w:p>
    <w:p w14:paraId="1096DB47" w14:textId="77777777" w:rsidR="002872F5" w:rsidRPr="002872F5" w:rsidRDefault="002872F5" w:rsidP="002872F5">
      <w:pPr>
        <w:rPr>
          <w:rFonts w:ascii="Arial" w:hAnsi="Arial" w:cs="Arial"/>
        </w:rPr>
      </w:pPr>
    </w:p>
    <w:p w14:paraId="3C7DCE8F" w14:textId="77777777" w:rsidR="0081563F" w:rsidRPr="002872F5" w:rsidRDefault="0081563F" w:rsidP="002872F5">
      <w:pPr>
        <w:rPr>
          <w:rFonts w:ascii="Arial" w:hAnsi="Arial" w:cs="Arial"/>
        </w:rPr>
      </w:pPr>
    </w:p>
    <w:p w14:paraId="319B0B9C" w14:textId="77777777" w:rsidR="00C937A6" w:rsidRPr="002872F5" w:rsidRDefault="00C937A6">
      <w:pPr>
        <w:rPr>
          <w:rFonts w:ascii="Arial" w:hAnsi="Arial" w:cs="Arial"/>
        </w:rPr>
      </w:pPr>
    </w:p>
    <w:sectPr w:rsidR="00C937A6" w:rsidRPr="002872F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A73C8" w14:textId="77777777" w:rsidR="00B318D2" w:rsidRDefault="00B318D2" w:rsidP="00F368A5">
      <w:pPr>
        <w:spacing w:after="0" w:line="240" w:lineRule="auto"/>
      </w:pPr>
      <w:r>
        <w:separator/>
      </w:r>
    </w:p>
  </w:endnote>
  <w:endnote w:type="continuationSeparator" w:id="0">
    <w:p w14:paraId="6B097D59" w14:textId="77777777" w:rsidR="00B318D2" w:rsidRDefault="00B318D2" w:rsidP="00F36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9AD20" w14:textId="77777777" w:rsidR="00B318D2" w:rsidRDefault="00B318D2" w:rsidP="00F368A5">
      <w:pPr>
        <w:spacing w:after="0" w:line="240" w:lineRule="auto"/>
      </w:pPr>
      <w:r>
        <w:separator/>
      </w:r>
    </w:p>
  </w:footnote>
  <w:footnote w:type="continuationSeparator" w:id="0">
    <w:p w14:paraId="7DEA61B9" w14:textId="77777777" w:rsidR="00B318D2" w:rsidRDefault="00B318D2" w:rsidP="00F36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4CF12" w14:textId="761F267C" w:rsidR="00F368A5" w:rsidRDefault="00F368A5">
    <w:pPr>
      <w:pStyle w:val="Capalera"/>
    </w:pPr>
    <w:r>
      <w:rPr>
        <w:noProof/>
      </w:rPr>
      <w:drawing>
        <wp:anchor distT="0" distB="0" distL="114300" distR="114300" simplePos="0" relativeHeight="251658240" behindDoc="1" locked="0" layoutInCell="1" allowOverlap="1" wp14:anchorId="24145278" wp14:editId="2B645476">
          <wp:simplePos x="0" y="0"/>
          <wp:positionH relativeFrom="column">
            <wp:posOffset>-1070610</wp:posOffset>
          </wp:positionH>
          <wp:positionV relativeFrom="paragraph">
            <wp:posOffset>-449580</wp:posOffset>
          </wp:positionV>
          <wp:extent cx="3238500" cy="1524000"/>
          <wp:effectExtent l="0" t="0" r="0" b="0"/>
          <wp:wrapTopAndBottom/>
          <wp:docPr id="1134287055" name="Imatge 1" descr="01logos_ddgi_apaisat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01logos_ddgi_apaisat_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8500" cy="1524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A41D6"/>
    <w:multiLevelType w:val="hybridMultilevel"/>
    <w:tmpl w:val="0666C504"/>
    <w:lvl w:ilvl="0" w:tplc="D1F439C6">
      <w:start w:val="1"/>
      <w:numFmt w:val="lowerLetter"/>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F4A4253"/>
    <w:multiLevelType w:val="hybridMultilevel"/>
    <w:tmpl w:val="2EBE9EFC"/>
    <w:lvl w:ilvl="0" w:tplc="C534D3BA">
      <w:start w:val="1"/>
      <w:numFmt w:val="lowerLetter"/>
      <w:lvlText w:val="%1)"/>
      <w:lvlJc w:val="left"/>
      <w:pPr>
        <w:ind w:left="720" w:hanging="360"/>
      </w:pPr>
      <w:rPr>
        <w:rFonts w:hint="default"/>
        <w:i/>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A946481"/>
    <w:multiLevelType w:val="hybridMultilevel"/>
    <w:tmpl w:val="993C3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50C54B62"/>
    <w:multiLevelType w:val="hybridMultilevel"/>
    <w:tmpl w:val="F6FCDF74"/>
    <w:lvl w:ilvl="0" w:tplc="9A22B29E">
      <w:start w:val="402"/>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26B549C"/>
    <w:multiLevelType w:val="hybridMultilevel"/>
    <w:tmpl w:val="17D498C4"/>
    <w:lvl w:ilvl="0" w:tplc="6D34ED54">
      <w:start w:val="1"/>
      <w:numFmt w:val="lowerLetter"/>
      <w:lvlText w:val="%1)"/>
      <w:lvlJc w:val="left"/>
      <w:pPr>
        <w:ind w:left="720" w:hanging="360"/>
      </w:pPr>
      <w:rPr>
        <w:rFonts w:hint="default"/>
        <w:i/>
        <w:iCs/>
      </w:rPr>
    </w:lvl>
    <w:lvl w:ilvl="1" w:tplc="2D267708">
      <w:start w:val="1"/>
      <w:numFmt w:val="lowerLetter"/>
      <w:lvlText w:val="%2."/>
      <w:lvlJc w:val="left"/>
      <w:pPr>
        <w:ind w:left="1440" w:hanging="360"/>
      </w:pPr>
      <w:rPr>
        <w:i/>
        <w:iCs/>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7C0D4174"/>
    <w:multiLevelType w:val="hybridMultilevel"/>
    <w:tmpl w:val="F40069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7CFE5E81"/>
    <w:multiLevelType w:val="hybridMultilevel"/>
    <w:tmpl w:val="75BC074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22782310">
    <w:abstractNumId w:val="3"/>
  </w:num>
  <w:num w:numId="2" w16cid:durableId="1101604664">
    <w:abstractNumId w:val="1"/>
  </w:num>
  <w:num w:numId="3" w16cid:durableId="2074697633">
    <w:abstractNumId w:val="0"/>
  </w:num>
  <w:num w:numId="4" w16cid:durableId="1175341590">
    <w:abstractNumId w:val="6"/>
  </w:num>
  <w:num w:numId="5" w16cid:durableId="554241750">
    <w:abstractNumId w:val="2"/>
  </w:num>
  <w:num w:numId="6" w16cid:durableId="772824126">
    <w:abstractNumId w:val="5"/>
  </w:num>
  <w:num w:numId="7" w16cid:durableId="255715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1FD"/>
    <w:rsid w:val="00082D38"/>
    <w:rsid w:val="00092874"/>
    <w:rsid w:val="00122868"/>
    <w:rsid w:val="00195B93"/>
    <w:rsid w:val="001F21F8"/>
    <w:rsid w:val="00225648"/>
    <w:rsid w:val="002872F5"/>
    <w:rsid w:val="00290C19"/>
    <w:rsid w:val="002A00EB"/>
    <w:rsid w:val="00333B82"/>
    <w:rsid w:val="00347867"/>
    <w:rsid w:val="0044343F"/>
    <w:rsid w:val="00445C16"/>
    <w:rsid w:val="0044744E"/>
    <w:rsid w:val="0046418A"/>
    <w:rsid w:val="005010B7"/>
    <w:rsid w:val="0051325C"/>
    <w:rsid w:val="00560AD0"/>
    <w:rsid w:val="005B3A4B"/>
    <w:rsid w:val="005C3E17"/>
    <w:rsid w:val="005F3D72"/>
    <w:rsid w:val="006001FD"/>
    <w:rsid w:val="0081563F"/>
    <w:rsid w:val="00835077"/>
    <w:rsid w:val="008B0C8C"/>
    <w:rsid w:val="008C6124"/>
    <w:rsid w:val="008F5506"/>
    <w:rsid w:val="00945900"/>
    <w:rsid w:val="00950128"/>
    <w:rsid w:val="009C3D68"/>
    <w:rsid w:val="00A43119"/>
    <w:rsid w:val="00A502A5"/>
    <w:rsid w:val="00A738B9"/>
    <w:rsid w:val="00AD7A18"/>
    <w:rsid w:val="00B05D8C"/>
    <w:rsid w:val="00B1442D"/>
    <w:rsid w:val="00B318D2"/>
    <w:rsid w:val="00B73424"/>
    <w:rsid w:val="00BA2F1A"/>
    <w:rsid w:val="00BB322B"/>
    <w:rsid w:val="00BE4A60"/>
    <w:rsid w:val="00C571E9"/>
    <w:rsid w:val="00C71EFA"/>
    <w:rsid w:val="00C937A6"/>
    <w:rsid w:val="00CB7B6C"/>
    <w:rsid w:val="00D668F3"/>
    <w:rsid w:val="00D71788"/>
    <w:rsid w:val="00D843B1"/>
    <w:rsid w:val="00DF395D"/>
    <w:rsid w:val="00E46A57"/>
    <w:rsid w:val="00E56D41"/>
    <w:rsid w:val="00E833BF"/>
    <w:rsid w:val="00EE42CD"/>
    <w:rsid w:val="00F368A5"/>
    <w:rsid w:val="00F95271"/>
    <w:rsid w:val="00FC4F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FE8A7"/>
  <w15:chartTrackingRefBased/>
  <w15:docId w15:val="{EEFAC820-D087-481F-87AE-AE6FF428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2F5"/>
  </w:style>
  <w:style w:type="paragraph" w:styleId="Ttol1">
    <w:name w:val="heading 1"/>
    <w:basedOn w:val="Normal"/>
    <w:next w:val="Normal"/>
    <w:link w:val="Ttol1Car"/>
    <w:uiPriority w:val="9"/>
    <w:qFormat/>
    <w:rsid w:val="006001F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ol2">
    <w:name w:val="heading 2"/>
    <w:basedOn w:val="Normal"/>
    <w:next w:val="Normal"/>
    <w:link w:val="Ttol2Car"/>
    <w:uiPriority w:val="9"/>
    <w:semiHidden/>
    <w:unhideWhenUsed/>
    <w:qFormat/>
    <w:rsid w:val="006001F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ol3">
    <w:name w:val="heading 3"/>
    <w:basedOn w:val="Normal"/>
    <w:next w:val="Normal"/>
    <w:link w:val="Ttol3Car"/>
    <w:uiPriority w:val="9"/>
    <w:semiHidden/>
    <w:unhideWhenUsed/>
    <w:qFormat/>
    <w:rsid w:val="006001FD"/>
    <w:pPr>
      <w:keepNext/>
      <w:keepLines/>
      <w:spacing w:before="160" w:after="80"/>
      <w:outlineLvl w:val="2"/>
    </w:pPr>
    <w:rPr>
      <w:rFonts w:eastAsiaTheme="majorEastAsia" w:cstheme="majorBidi"/>
      <w:color w:val="2E74B5" w:themeColor="accent1" w:themeShade="BF"/>
      <w:sz w:val="28"/>
      <w:szCs w:val="28"/>
    </w:rPr>
  </w:style>
  <w:style w:type="paragraph" w:styleId="Ttol4">
    <w:name w:val="heading 4"/>
    <w:basedOn w:val="Normal"/>
    <w:next w:val="Normal"/>
    <w:link w:val="Ttol4Car"/>
    <w:uiPriority w:val="9"/>
    <w:semiHidden/>
    <w:unhideWhenUsed/>
    <w:qFormat/>
    <w:rsid w:val="006001FD"/>
    <w:pPr>
      <w:keepNext/>
      <w:keepLines/>
      <w:spacing w:before="80" w:after="40"/>
      <w:outlineLvl w:val="3"/>
    </w:pPr>
    <w:rPr>
      <w:rFonts w:eastAsiaTheme="majorEastAsia" w:cstheme="majorBidi"/>
      <w:i/>
      <w:iCs/>
      <w:color w:val="2E74B5" w:themeColor="accent1" w:themeShade="BF"/>
    </w:rPr>
  </w:style>
  <w:style w:type="paragraph" w:styleId="Ttol5">
    <w:name w:val="heading 5"/>
    <w:basedOn w:val="Normal"/>
    <w:next w:val="Normal"/>
    <w:link w:val="Ttol5Car"/>
    <w:uiPriority w:val="9"/>
    <w:semiHidden/>
    <w:unhideWhenUsed/>
    <w:qFormat/>
    <w:rsid w:val="006001FD"/>
    <w:pPr>
      <w:keepNext/>
      <w:keepLines/>
      <w:spacing w:before="80" w:after="40"/>
      <w:outlineLvl w:val="4"/>
    </w:pPr>
    <w:rPr>
      <w:rFonts w:eastAsiaTheme="majorEastAsia" w:cstheme="majorBidi"/>
      <w:color w:val="2E74B5" w:themeColor="accent1" w:themeShade="BF"/>
    </w:rPr>
  </w:style>
  <w:style w:type="paragraph" w:styleId="Ttol6">
    <w:name w:val="heading 6"/>
    <w:basedOn w:val="Normal"/>
    <w:next w:val="Normal"/>
    <w:link w:val="Ttol6Car"/>
    <w:uiPriority w:val="9"/>
    <w:semiHidden/>
    <w:unhideWhenUsed/>
    <w:qFormat/>
    <w:rsid w:val="006001FD"/>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6001FD"/>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6001FD"/>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6001FD"/>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6001FD"/>
    <w:rPr>
      <w:rFonts w:asciiTheme="majorHAnsi" w:eastAsiaTheme="majorEastAsia" w:hAnsiTheme="majorHAnsi" w:cstheme="majorBidi"/>
      <w:color w:val="2E74B5" w:themeColor="accent1" w:themeShade="BF"/>
      <w:sz w:val="40"/>
      <w:szCs w:val="40"/>
      <w:lang w:val="es-ES"/>
    </w:rPr>
  </w:style>
  <w:style w:type="character" w:customStyle="1" w:styleId="Ttol2Car">
    <w:name w:val="Títol 2 Car"/>
    <w:basedOn w:val="Lletraperdefectedelpargraf"/>
    <w:link w:val="Ttol2"/>
    <w:uiPriority w:val="9"/>
    <w:semiHidden/>
    <w:rsid w:val="006001FD"/>
    <w:rPr>
      <w:rFonts w:asciiTheme="majorHAnsi" w:eastAsiaTheme="majorEastAsia" w:hAnsiTheme="majorHAnsi" w:cstheme="majorBidi"/>
      <w:color w:val="2E74B5" w:themeColor="accent1" w:themeShade="BF"/>
      <w:sz w:val="32"/>
      <w:szCs w:val="32"/>
      <w:lang w:val="es-ES"/>
    </w:rPr>
  </w:style>
  <w:style w:type="character" w:customStyle="1" w:styleId="Ttol3Car">
    <w:name w:val="Títol 3 Car"/>
    <w:basedOn w:val="Lletraperdefectedelpargraf"/>
    <w:link w:val="Ttol3"/>
    <w:uiPriority w:val="9"/>
    <w:semiHidden/>
    <w:rsid w:val="006001FD"/>
    <w:rPr>
      <w:rFonts w:eastAsiaTheme="majorEastAsia" w:cstheme="majorBidi"/>
      <w:color w:val="2E74B5" w:themeColor="accent1" w:themeShade="BF"/>
      <w:sz w:val="28"/>
      <w:szCs w:val="28"/>
      <w:lang w:val="es-ES"/>
    </w:rPr>
  </w:style>
  <w:style w:type="character" w:customStyle="1" w:styleId="Ttol4Car">
    <w:name w:val="Títol 4 Car"/>
    <w:basedOn w:val="Lletraperdefectedelpargraf"/>
    <w:link w:val="Ttol4"/>
    <w:uiPriority w:val="9"/>
    <w:semiHidden/>
    <w:rsid w:val="006001FD"/>
    <w:rPr>
      <w:rFonts w:eastAsiaTheme="majorEastAsia" w:cstheme="majorBidi"/>
      <w:i/>
      <w:iCs/>
      <w:color w:val="2E74B5" w:themeColor="accent1" w:themeShade="BF"/>
      <w:lang w:val="es-ES"/>
    </w:rPr>
  </w:style>
  <w:style w:type="character" w:customStyle="1" w:styleId="Ttol5Car">
    <w:name w:val="Títol 5 Car"/>
    <w:basedOn w:val="Lletraperdefectedelpargraf"/>
    <w:link w:val="Ttol5"/>
    <w:uiPriority w:val="9"/>
    <w:semiHidden/>
    <w:rsid w:val="006001FD"/>
    <w:rPr>
      <w:rFonts w:eastAsiaTheme="majorEastAsia" w:cstheme="majorBidi"/>
      <w:color w:val="2E74B5" w:themeColor="accent1" w:themeShade="BF"/>
      <w:lang w:val="es-ES"/>
    </w:rPr>
  </w:style>
  <w:style w:type="character" w:customStyle="1" w:styleId="Ttol6Car">
    <w:name w:val="Títol 6 Car"/>
    <w:basedOn w:val="Lletraperdefectedelpargraf"/>
    <w:link w:val="Ttol6"/>
    <w:uiPriority w:val="9"/>
    <w:semiHidden/>
    <w:rsid w:val="006001FD"/>
    <w:rPr>
      <w:rFonts w:eastAsiaTheme="majorEastAsia" w:cstheme="majorBidi"/>
      <w:i/>
      <w:iCs/>
      <w:color w:val="595959" w:themeColor="text1" w:themeTint="A6"/>
      <w:lang w:val="es-ES"/>
    </w:rPr>
  </w:style>
  <w:style w:type="character" w:customStyle="1" w:styleId="Ttol7Car">
    <w:name w:val="Títol 7 Car"/>
    <w:basedOn w:val="Lletraperdefectedelpargraf"/>
    <w:link w:val="Ttol7"/>
    <w:uiPriority w:val="9"/>
    <w:semiHidden/>
    <w:rsid w:val="006001FD"/>
    <w:rPr>
      <w:rFonts w:eastAsiaTheme="majorEastAsia" w:cstheme="majorBidi"/>
      <w:color w:val="595959" w:themeColor="text1" w:themeTint="A6"/>
      <w:lang w:val="es-ES"/>
    </w:rPr>
  </w:style>
  <w:style w:type="character" w:customStyle="1" w:styleId="Ttol8Car">
    <w:name w:val="Títol 8 Car"/>
    <w:basedOn w:val="Lletraperdefectedelpargraf"/>
    <w:link w:val="Ttol8"/>
    <w:uiPriority w:val="9"/>
    <w:semiHidden/>
    <w:rsid w:val="006001FD"/>
    <w:rPr>
      <w:rFonts w:eastAsiaTheme="majorEastAsia" w:cstheme="majorBidi"/>
      <w:i/>
      <w:iCs/>
      <w:color w:val="272727" w:themeColor="text1" w:themeTint="D8"/>
      <w:lang w:val="es-ES"/>
    </w:rPr>
  </w:style>
  <w:style w:type="character" w:customStyle="1" w:styleId="Ttol9Car">
    <w:name w:val="Títol 9 Car"/>
    <w:basedOn w:val="Lletraperdefectedelpargraf"/>
    <w:link w:val="Ttol9"/>
    <w:uiPriority w:val="9"/>
    <w:semiHidden/>
    <w:rsid w:val="006001FD"/>
    <w:rPr>
      <w:rFonts w:eastAsiaTheme="majorEastAsia" w:cstheme="majorBidi"/>
      <w:color w:val="272727" w:themeColor="text1" w:themeTint="D8"/>
      <w:lang w:val="es-ES"/>
    </w:rPr>
  </w:style>
  <w:style w:type="paragraph" w:styleId="Ttol">
    <w:name w:val="Title"/>
    <w:basedOn w:val="Normal"/>
    <w:next w:val="Normal"/>
    <w:link w:val="TtolCar"/>
    <w:uiPriority w:val="10"/>
    <w:qFormat/>
    <w:rsid w:val="00600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6001FD"/>
    <w:rPr>
      <w:rFonts w:asciiTheme="majorHAnsi" w:eastAsiaTheme="majorEastAsia" w:hAnsiTheme="majorHAnsi" w:cstheme="majorBidi"/>
      <w:spacing w:val="-10"/>
      <w:kern w:val="28"/>
      <w:sz w:val="56"/>
      <w:szCs w:val="56"/>
      <w:lang w:val="es-ES"/>
    </w:rPr>
  </w:style>
  <w:style w:type="paragraph" w:styleId="Subttol">
    <w:name w:val="Subtitle"/>
    <w:basedOn w:val="Normal"/>
    <w:next w:val="Normal"/>
    <w:link w:val="SubttolCar"/>
    <w:uiPriority w:val="11"/>
    <w:qFormat/>
    <w:rsid w:val="006001FD"/>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6001FD"/>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6001FD"/>
    <w:pPr>
      <w:spacing w:before="160"/>
      <w:jc w:val="center"/>
    </w:pPr>
    <w:rPr>
      <w:i/>
      <w:iCs/>
      <w:color w:val="404040" w:themeColor="text1" w:themeTint="BF"/>
    </w:rPr>
  </w:style>
  <w:style w:type="character" w:customStyle="1" w:styleId="CitaCar">
    <w:name w:val="Cita Car"/>
    <w:basedOn w:val="Lletraperdefectedelpargraf"/>
    <w:link w:val="Cita"/>
    <w:uiPriority w:val="29"/>
    <w:rsid w:val="006001FD"/>
    <w:rPr>
      <w:i/>
      <w:iCs/>
      <w:color w:val="404040" w:themeColor="text1" w:themeTint="BF"/>
      <w:lang w:val="es-ES"/>
    </w:rPr>
  </w:style>
  <w:style w:type="paragraph" w:styleId="Pargrafdellista">
    <w:name w:val="List Paragraph"/>
    <w:basedOn w:val="Normal"/>
    <w:uiPriority w:val="34"/>
    <w:qFormat/>
    <w:rsid w:val="006001FD"/>
    <w:pPr>
      <w:ind w:left="720"/>
      <w:contextualSpacing/>
    </w:pPr>
  </w:style>
  <w:style w:type="character" w:styleId="mfasiintens">
    <w:name w:val="Intense Emphasis"/>
    <w:basedOn w:val="Lletraperdefectedelpargraf"/>
    <w:uiPriority w:val="21"/>
    <w:qFormat/>
    <w:rsid w:val="006001FD"/>
    <w:rPr>
      <w:i/>
      <w:iCs/>
      <w:color w:val="2E74B5" w:themeColor="accent1" w:themeShade="BF"/>
    </w:rPr>
  </w:style>
  <w:style w:type="paragraph" w:styleId="Citaintensa">
    <w:name w:val="Intense Quote"/>
    <w:basedOn w:val="Normal"/>
    <w:next w:val="Normal"/>
    <w:link w:val="CitaintensaCar"/>
    <w:uiPriority w:val="30"/>
    <w:qFormat/>
    <w:rsid w:val="006001F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intensaCar">
    <w:name w:val="Cita intensa Car"/>
    <w:basedOn w:val="Lletraperdefectedelpargraf"/>
    <w:link w:val="Citaintensa"/>
    <w:uiPriority w:val="30"/>
    <w:rsid w:val="006001FD"/>
    <w:rPr>
      <w:i/>
      <w:iCs/>
      <w:color w:val="2E74B5" w:themeColor="accent1" w:themeShade="BF"/>
      <w:lang w:val="es-ES"/>
    </w:rPr>
  </w:style>
  <w:style w:type="character" w:styleId="Refernciaintensa">
    <w:name w:val="Intense Reference"/>
    <w:basedOn w:val="Lletraperdefectedelpargraf"/>
    <w:uiPriority w:val="32"/>
    <w:qFormat/>
    <w:rsid w:val="006001FD"/>
    <w:rPr>
      <w:b/>
      <w:bCs/>
      <w:smallCaps/>
      <w:color w:val="2E74B5" w:themeColor="accent1" w:themeShade="BF"/>
      <w:spacing w:val="5"/>
    </w:rPr>
  </w:style>
  <w:style w:type="paragraph" w:customStyle="1" w:styleId="msonospacing0">
    <w:name w:val="msonospacing"/>
    <w:semiHidden/>
    <w:rsid w:val="00CB7B6C"/>
    <w:pPr>
      <w:spacing w:after="0" w:line="240" w:lineRule="auto"/>
    </w:pPr>
    <w:rPr>
      <w:rFonts w:ascii="Calibri" w:eastAsia="Calibri" w:hAnsi="Calibri" w:cs="Times New Roman"/>
    </w:rPr>
  </w:style>
  <w:style w:type="table" w:styleId="Taulaambquadrcula">
    <w:name w:val="Table Grid"/>
    <w:basedOn w:val="Taulanormal"/>
    <w:uiPriority w:val="39"/>
    <w:rsid w:val="00CB7B6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BB322B"/>
    <w:rPr>
      <w:sz w:val="16"/>
      <w:szCs w:val="16"/>
    </w:rPr>
  </w:style>
  <w:style w:type="paragraph" w:styleId="Textdecomentari">
    <w:name w:val="annotation text"/>
    <w:basedOn w:val="Normal"/>
    <w:link w:val="TextdecomentariCar"/>
    <w:uiPriority w:val="99"/>
    <w:unhideWhenUsed/>
    <w:rsid w:val="00BB322B"/>
    <w:pPr>
      <w:spacing w:line="240" w:lineRule="auto"/>
    </w:pPr>
    <w:rPr>
      <w:sz w:val="20"/>
      <w:szCs w:val="20"/>
    </w:rPr>
  </w:style>
  <w:style w:type="character" w:customStyle="1" w:styleId="TextdecomentariCar">
    <w:name w:val="Text de comentari Car"/>
    <w:basedOn w:val="Lletraperdefectedelpargraf"/>
    <w:link w:val="Textdecomentari"/>
    <w:uiPriority w:val="99"/>
    <w:rsid w:val="00BB322B"/>
    <w:rPr>
      <w:sz w:val="20"/>
      <w:szCs w:val="20"/>
      <w:lang w:val="es-ES"/>
    </w:rPr>
  </w:style>
  <w:style w:type="paragraph" w:styleId="Temadelcomentari">
    <w:name w:val="annotation subject"/>
    <w:basedOn w:val="Textdecomentari"/>
    <w:next w:val="Textdecomentari"/>
    <w:link w:val="TemadelcomentariCar"/>
    <w:uiPriority w:val="99"/>
    <w:semiHidden/>
    <w:unhideWhenUsed/>
    <w:rsid w:val="00BB322B"/>
    <w:rPr>
      <w:b/>
      <w:bCs/>
    </w:rPr>
  </w:style>
  <w:style w:type="character" w:customStyle="1" w:styleId="TemadelcomentariCar">
    <w:name w:val="Tema del comentari Car"/>
    <w:basedOn w:val="TextdecomentariCar"/>
    <w:link w:val="Temadelcomentari"/>
    <w:uiPriority w:val="99"/>
    <w:semiHidden/>
    <w:rsid w:val="00BB322B"/>
    <w:rPr>
      <w:b/>
      <w:bCs/>
      <w:sz w:val="20"/>
      <w:szCs w:val="20"/>
      <w:lang w:val="es-ES"/>
    </w:rPr>
  </w:style>
  <w:style w:type="paragraph" w:styleId="Capalera">
    <w:name w:val="header"/>
    <w:basedOn w:val="Normal"/>
    <w:link w:val="CapaleraCar"/>
    <w:uiPriority w:val="99"/>
    <w:unhideWhenUsed/>
    <w:rsid w:val="00F368A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368A5"/>
    <w:rPr>
      <w:lang w:val="es-ES"/>
    </w:rPr>
  </w:style>
  <w:style w:type="paragraph" w:styleId="Peu">
    <w:name w:val="footer"/>
    <w:basedOn w:val="Normal"/>
    <w:link w:val="PeuCar"/>
    <w:uiPriority w:val="99"/>
    <w:unhideWhenUsed/>
    <w:rsid w:val="00F368A5"/>
    <w:pPr>
      <w:tabs>
        <w:tab w:val="center" w:pos="4252"/>
        <w:tab w:val="right" w:pos="8504"/>
      </w:tabs>
      <w:spacing w:after="0" w:line="240" w:lineRule="auto"/>
    </w:pPr>
  </w:style>
  <w:style w:type="character" w:customStyle="1" w:styleId="PeuCar">
    <w:name w:val="Peu Car"/>
    <w:basedOn w:val="Lletraperdefectedelpargraf"/>
    <w:link w:val="Peu"/>
    <w:uiPriority w:val="99"/>
    <w:rsid w:val="00F368A5"/>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168031">
      <w:bodyDiv w:val="1"/>
      <w:marLeft w:val="0"/>
      <w:marRight w:val="0"/>
      <w:marTop w:val="0"/>
      <w:marBottom w:val="0"/>
      <w:divBdr>
        <w:top w:val="none" w:sz="0" w:space="0" w:color="auto"/>
        <w:left w:val="none" w:sz="0" w:space="0" w:color="auto"/>
        <w:bottom w:val="none" w:sz="0" w:space="0" w:color="auto"/>
        <w:right w:val="none" w:sz="0" w:space="0" w:color="auto"/>
      </w:divBdr>
    </w:div>
    <w:div w:id="170151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1144</Words>
  <Characters>6523</Characters>
  <Application>Microsoft Office Word</Application>
  <DocSecurity>0</DocSecurity>
  <Lines>54</Lines>
  <Paragraphs>15</Paragraphs>
  <ScaleCrop>false</ScaleCrop>
  <HeadingPairs>
    <vt:vector size="2" baseType="variant">
      <vt:variant>
        <vt:lpstr>Títol</vt:lpstr>
      </vt:variant>
      <vt:variant>
        <vt:i4>1</vt:i4>
      </vt:variant>
    </vt:vector>
  </HeadingPairs>
  <TitlesOfParts>
    <vt:vector size="1" baseType="lpstr">
      <vt:lpstr>Convocatòria nevades 2026</vt:lpstr>
    </vt:vector>
  </TitlesOfParts>
  <Company>Diputació de Girona</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nevades 2026</dc:title>
  <dc:subject/>
  <dc:creator>Ainhoa Muñoz Blasco</dc:creator>
  <cp:keywords>Subvenció 2026</cp:keywords>
  <dc:description/>
  <cp:lastModifiedBy>BCV</cp:lastModifiedBy>
  <cp:revision>3</cp:revision>
  <dcterms:created xsi:type="dcterms:W3CDTF">2026-04-08T09:41:00Z</dcterms:created>
  <dcterms:modified xsi:type="dcterms:W3CDTF">2026-04-08T09:45:00Z</dcterms:modified>
</cp:coreProperties>
</file>