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suppressAutoHyphens w:val="false"/>
        <w:ind w:left="50"/>
        <w:jc w:val="center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CONVOCATORIA CONCURSO TIRO VIRTUAL CAPENASTUR 2026</w:t>
      </w:r>
    </w:p>
    <w:p>
      <w:pPr>
        <w:pStyle w:val="Normal"/>
        <w:widowControl/>
        <w:suppressAutoHyphens w:val="false"/>
        <w:ind w:left="50"/>
        <w:jc w:val="center"/>
        <w:rPr>
          <w:u w:val="single"/>
        </w:rPr>
      </w:pPr>
      <w:r>
        <w:rPr>
          <w:u w:val="single"/>
        </w:rPr>
      </w:r>
    </w:p>
    <w:p>
      <w:pPr>
        <w:pStyle w:val="BodyText"/>
        <w:spacing w:before="0" w:after="0"/>
        <w:jc w:val="both"/>
        <w:rPr>
          <w:b/>
          <w:bCs/>
          <w:color w:val="000000"/>
          <w:szCs w:val="18"/>
        </w:rPr>
      </w:pPr>
      <w:r>
        <w:rPr>
          <w:b/>
          <w:bCs/>
          <w:color w:val="000000"/>
          <w:szCs w:val="18"/>
        </w:rPr>
      </w:r>
    </w:p>
    <w:p>
      <w:pPr>
        <w:pStyle w:val="BodyText"/>
        <w:spacing w:before="0" w:after="0"/>
        <w:jc w:val="both"/>
        <w:rPr>
          <w:b/>
          <w:bCs/>
          <w:color w:val="000000"/>
          <w:szCs w:val="18"/>
        </w:rPr>
      </w:pPr>
      <w:r>
        <w:rPr>
          <w:b/>
          <w:bCs/>
          <w:color w:val="000000"/>
          <w:szCs w:val="18"/>
        </w:rPr>
        <w:t>EXPTE.: 790/2025. ASTURPESCA – CAPENASTUR 2026.</w:t>
      </w:r>
    </w:p>
    <w:p>
      <w:pPr>
        <w:pStyle w:val="BodyText"/>
        <w:spacing w:before="0" w:after="0"/>
        <w:jc w:val="both"/>
        <w:rPr>
          <w:b/>
          <w:bCs/>
          <w:color w:val="000000"/>
          <w:szCs w:val="18"/>
        </w:rPr>
      </w:pPr>
      <w:r>
        <w:rPr>
          <w:b/>
          <w:bCs/>
          <w:color w:val="000000"/>
          <w:szCs w:val="18"/>
        </w:rPr>
      </w:r>
    </w:p>
    <w:p>
      <w:pPr>
        <w:pStyle w:val="Normal"/>
        <w:jc w:val="both"/>
        <w:rPr>
          <w:color w:val="000000"/>
          <w:szCs w:val="18"/>
        </w:rPr>
      </w:pPr>
      <w:r>
        <w:rPr>
          <w:color w:val="000000"/>
          <w:szCs w:val="18"/>
        </w:rPr>
      </w:r>
    </w:p>
    <w:p>
      <w:pPr>
        <w:pStyle w:val="Normal"/>
        <w:tabs>
          <w:tab w:val="clear" w:pos="708"/>
          <w:tab w:val="left" w:pos="0" w:leader="none"/>
          <w:tab w:val="left" w:pos="720" w:leader="none"/>
        </w:tabs>
        <w:jc w:val="both"/>
        <w:rPr>
          <w:color w:val="000000"/>
          <w:sz w:val="20"/>
          <w:szCs w:val="20"/>
        </w:rPr>
      </w:pPr>
      <w:r>
        <w:rPr>
          <w:b/>
          <w:i/>
          <w:color w:val="000000"/>
          <w:sz w:val="20"/>
          <w:szCs w:val="20"/>
        </w:rPr>
        <w:t>1.- BASES REGULADORAS</w:t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color w:val="FF0000"/>
          <w:sz w:val="20"/>
          <w:szCs w:val="20"/>
        </w:rPr>
      </w:pPr>
      <w:r>
        <w:rPr>
          <w:i/>
          <w:color w:val="000000"/>
          <w:sz w:val="20"/>
          <w:szCs w:val="20"/>
        </w:rPr>
        <w:t>Publicado en el BOPA Nº 46 de fecha 8-III-2022 y en la sede electrónica del Ayuntamiento de Salas (https://ayto-salas.sedelectronica.es)</w:t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</w:r>
    </w:p>
    <w:p>
      <w:pPr>
        <w:pStyle w:val="Normal"/>
        <w:widowControl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eastAsia="Arial" w:cs="Verdana"/>
          <w:b/>
          <w:bCs/>
          <w:i/>
          <w:iCs/>
          <w:color w:val="000000"/>
          <w:sz w:val="20"/>
          <w:szCs w:val="20"/>
          <w:lang w:eastAsia="es-ES" w:bidi="ar-SA"/>
        </w:rPr>
        <w:t>2.- MODALIDAD DE CONCURSO</w:t>
      </w:r>
    </w:p>
    <w:p>
      <w:pPr>
        <w:pStyle w:val="Normal"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jc w:val="both"/>
        <w:rPr>
          <w:rFonts w:cs="Verdana"/>
          <w:b/>
          <w:bCs/>
          <w:i/>
          <w:i/>
          <w:iCs/>
          <w:sz w:val="20"/>
          <w:szCs w:val="20"/>
          <w:lang w:eastAsia="es-ES"/>
        </w:rPr>
      </w:pPr>
      <w:r>
        <w:rPr>
          <w:rFonts w:cs="Verdana"/>
          <w:i/>
          <w:iCs/>
          <w:sz w:val="20"/>
          <w:szCs w:val="20"/>
          <w:lang w:eastAsia="es-ES"/>
        </w:rPr>
        <w:t>Tiro virtual individual.</w:t>
      </w:r>
    </w:p>
    <w:p>
      <w:pPr>
        <w:pStyle w:val="Normal"/>
        <w:jc w:val="both"/>
        <w:rPr>
          <w:rFonts w:cs="Verdana"/>
          <w:b/>
          <w:bCs/>
          <w:i/>
          <w:i/>
          <w:iCs/>
          <w:sz w:val="20"/>
          <w:szCs w:val="20"/>
          <w:lang w:eastAsia="es-ES"/>
        </w:rPr>
      </w:pPr>
      <w:r>
        <w:rPr>
          <w:rFonts w:cs="Verdana"/>
          <w:b/>
          <w:bCs/>
          <w:i/>
          <w:iCs/>
          <w:sz w:val="20"/>
          <w:szCs w:val="20"/>
          <w:lang w:eastAsia="es-ES"/>
        </w:rPr>
      </w:r>
    </w:p>
    <w:p>
      <w:pPr>
        <w:pStyle w:val="Normal"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b/>
          <w:bCs/>
          <w:i/>
          <w:iCs/>
          <w:sz w:val="20"/>
          <w:szCs w:val="20"/>
          <w:lang w:eastAsia="es-ES"/>
        </w:rPr>
        <w:t>3.- OBJETO</w:t>
      </w:r>
    </w:p>
    <w:p>
      <w:pPr>
        <w:pStyle w:val="Normal"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  <w:lang w:eastAsia="es-ES"/>
        </w:rPr>
        <w:t xml:space="preserve">El Concurso de Tiro Virtual CAPENASTUR 2026 está patrocinado por el Ayuntamiento de Salas y tiene por objeto promover la actividad deportiva de la caza como recurso turístico. </w:t>
      </w:r>
    </w:p>
    <w:p>
      <w:pPr>
        <w:pStyle w:val="Normal"/>
        <w:widowControl/>
        <w:ind w:hanging="10" w:left="10"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widowControl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eastAsia="Arial" w:cs="Verdana"/>
          <w:b/>
          <w:bCs/>
          <w:i/>
          <w:iCs/>
          <w:color w:val="000000"/>
          <w:sz w:val="20"/>
          <w:szCs w:val="20"/>
          <w:lang w:eastAsia="es-ES" w:bidi="ar-SA"/>
        </w:rPr>
        <w:t>4.- PROCEDIMIENTO DE CONCESIÓN DE PREMIOS</w:t>
      </w:r>
      <w:r>
        <w:rPr>
          <w:rFonts w:cs="Verdana"/>
          <w:b/>
          <w:bCs/>
          <w:i/>
          <w:iCs/>
          <w:sz w:val="20"/>
          <w:szCs w:val="20"/>
          <w:lang w:eastAsia="es-ES"/>
        </w:rPr>
        <w:t>.</w:t>
      </w:r>
    </w:p>
    <w:p>
      <w:pPr>
        <w:pStyle w:val="Normal"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  <w:lang w:eastAsia="es-ES"/>
        </w:rPr>
        <w:t>El procedimiento de concesión de estos premios se efectuará en régimen de concurrencia competitiva, mediante convocatoria de acuerdo con los criterios de publicidad, objetividad, transparencia, igualdad y no discriminación, conforme a lo previsto en la Ley 38/2003, de 17 de noviembre, General de Subvenciones.</w:t>
      </w:r>
    </w:p>
    <w:p>
      <w:pPr>
        <w:pStyle w:val="Normal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  <w:lang w:eastAsia="es-ES"/>
        </w:rPr>
        <w:t>La instrucción del procedimiento se realizará conforme lo establecido en la LGS y en Ordenanza General de Subvenciones del Ayuntamiento de Salas, salvo en aquellos aspectos en los que, por la especial naturaleza de los premios, no resulte aplicable.</w:t>
      </w:r>
    </w:p>
    <w:p>
      <w:pPr>
        <w:pStyle w:val="Normal"/>
        <w:widowControl/>
        <w:ind w:hanging="10" w:left="10"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widowControl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eastAsia="Arial" w:cs="Verdana"/>
          <w:b/>
          <w:bCs/>
          <w:i/>
          <w:iCs/>
          <w:color w:val="000000"/>
          <w:sz w:val="20"/>
          <w:szCs w:val="20"/>
          <w:lang w:eastAsia="es-ES" w:bidi="ar-SA"/>
        </w:rPr>
        <w:t>5.- NORMAS DE PARTICIPACI</w:t>
      </w:r>
      <w:r>
        <w:rPr>
          <w:rFonts w:cs="Verdana"/>
          <w:b/>
          <w:bCs/>
          <w:i/>
          <w:iCs/>
          <w:sz w:val="20"/>
          <w:szCs w:val="20"/>
          <w:lang w:eastAsia="es-ES"/>
        </w:rPr>
        <w:t>ÓN</w:t>
      </w:r>
    </w:p>
    <w:p>
      <w:pPr>
        <w:pStyle w:val="Normal"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jc w:val="both"/>
        <w:rPr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  <w:lang w:eastAsia="es-ES"/>
        </w:rPr>
        <w:t xml:space="preserve">Podrá participar cualquier persona física. La inscripción es gratuita. Pueden participar todos los aficionados al tiro deportivo previa inscripción en el stand de tiro.  </w:t>
      </w:r>
    </w:p>
    <w:p>
      <w:pPr>
        <w:pStyle w:val="Normal"/>
        <w:jc w:val="both"/>
        <w:rPr>
          <w:i/>
          <w:i/>
          <w:iCs/>
          <w:sz w:val="20"/>
          <w:szCs w:val="20"/>
        </w:rPr>
      </w:pPr>
      <w:r>
        <w:rPr>
          <w:i/>
          <w:iCs/>
          <w:sz w:val="20"/>
          <w:szCs w:val="20"/>
        </w:rPr>
      </w:r>
    </w:p>
    <w:p>
      <w:pPr>
        <w:pStyle w:val="Normal"/>
        <w:jc w:val="both"/>
        <w:rPr>
          <w:rFonts w:eastAsia="Arial" w:cs="Verdana"/>
          <w:b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cs="Verdana"/>
          <w:i/>
          <w:iCs/>
          <w:sz w:val="20"/>
          <w:szCs w:val="20"/>
          <w:lang w:eastAsia="es-ES"/>
        </w:rPr>
        <w:t>En el caso de que participen menores de edad, se deberá presentar autorización por parte de la madre/padre o tutor para su participación.</w:t>
      </w:r>
    </w:p>
    <w:p>
      <w:pPr>
        <w:pStyle w:val="Normal"/>
        <w:widowControl/>
        <w:ind w:left="871"/>
        <w:jc w:val="both"/>
        <w:rPr>
          <w:rFonts w:eastAsia="Arial" w:cs="Verdana"/>
          <w:b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eastAsia="Arial" w:cs="Verdana"/>
          <w:b/>
          <w:i/>
          <w:iCs/>
          <w:color w:val="000000"/>
          <w:sz w:val="20"/>
          <w:szCs w:val="20"/>
          <w:lang w:eastAsia="es-ES" w:bidi="ar-SA"/>
        </w:rPr>
      </w:r>
    </w:p>
    <w:p>
      <w:pPr>
        <w:pStyle w:val="Normal"/>
        <w:widowControl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eastAsia="Arial" w:cs="Verdana"/>
          <w:b/>
          <w:i/>
          <w:iCs/>
          <w:color w:val="000000"/>
          <w:sz w:val="20"/>
          <w:szCs w:val="20"/>
          <w:lang w:eastAsia="es-ES" w:bidi="ar-SA"/>
        </w:rPr>
        <w:t>Fechas</w:t>
      </w: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  <w:t xml:space="preserve">: 18 y19 de abril.  </w:t>
      </w:r>
    </w:p>
    <w:p>
      <w:pPr>
        <w:pStyle w:val="Normal"/>
        <w:widowControl/>
        <w:ind w:left="871"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widowControl/>
        <w:jc w:val="both"/>
        <w:rPr>
          <w:rFonts w:eastAsia="Verdana" w:cs="Verdana"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eastAsia="Arial" w:cs="Verdana"/>
          <w:b/>
          <w:i/>
          <w:iCs/>
          <w:color w:val="000000"/>
          <w:sz w:val="20"/>
          <w:szCs w:val="20"/>
          <w:lang w:eastAsia="es-ES" w:bidi="ar-SA"/>
        </w:rPr>
        <w:t>Horario</w:t>
      </w: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  <w:t xml:space="preserve">:  Se podrá participar desde el sábado 12, a las 11,00 horas, hasta el domingo 19, a las 14,00 horas en horario de apertura del Recinto Ferial. </w:t>
      </w:r>
    </w:p>
    <w:p>
      <w:pPr>
        <w:pStyle w:val="Normal"/>
        <w:widowControl/>
        <w:ind w:left="871"/>
        <w:rPr>
          <w:rFonts w:eastAsia="Arial" w:cs="Verdana"/>
          <w:b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eastAsia="Verdana" w:cs="Verdana"/>
          <w:i/>
          <w:iCs/>
          <w:color w:val="000000"/>
          <w:sz w:val="20"/>
          <w:szCs w:val="20"/>
          <w:lang w:eastAsia="es-ES" w:bidi="ar-SA"/>
        </w:rPr>
        <w:t xml:space="preserve"> </w:t>
      </w:r>
    </w:p>
    <w:p>
      <w:pPr>
        <w:pStyle w:val="Normal"/>
        <w:widowControl/>
        <w:jc w:val="both"/>
        <w:rPr>
          <w:rFonts w:eastAsia="Arial" w:cs="Verdana"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eastAsia="Arial" w:cs="Verdana"/>
          <w:b/>
          <w:i/>
          <w:iCs/>
          <w:color w:val="000000"/>
          <w:sz w:val="20"/>
          <w:szCs w:val="20"/>
          <w:lang w:eastAsia="es-ES" w:bidi="ar-SA"/>
        </w:rPr>
        <w:t xml:space="preserve">Lugar: </w:t>
      </w: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  <w:t xml:space="preserve">Asturpesca-Capenastur. Prao del Convento-Cornellana - Salas (Asturias). Interior de carpa. Stand Tiro virtual. </w:t>
      </w:r>
    </w:p>
    <w:p>
      <w:pPr>
        <w:pStyle w:val="Normal"/>
        <w:widowControl/>
        <w:ind w:left="871"/>
        <w:jc w:val="both"/>
        <w:rPr>
          <w:rFonts w:eastAsia="Arial" w:cs="Verdana"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</w:r>
    </w:p>
    <w:p>
      <w:pPr>
        <w:pStyle w:val="Normal"/>
        <w:widowControl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eastAsia="Arial" w:cs="Verdana"/>
          <w:b/>
          <w:i/>
          <w:iCs/>
          <w:color w:val="000000"/>
          <w:sz w:val="20"/>
          <w:szCs w:val="20"/>
          <w:lang w:eastAsia="es-ES" w:bidi="ar-SA"/>
        </w:rPr>
        <w:t xml:space="preserve">Normas de Participación: </w:t>
      </w:r>
    </w:p>
    <w:p>
      <w:pPr>
        <w:pStyle w:val="Normal"/>
        <w:widowControl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08"/>
          <w:tab w:val="left" w:pos="0" w:leader="none"/>
          <w:tab w:val="left" w:pos="345" w:leader="none"/>
          <w:tab w:val="left" w:pos="720" w:leader="none"/>
        </w:tabs>
        <w:jc w:val="both"/>
        <w:rPr>
          <w:rFonts w:eastAsia="Verdana" w:cs="Verdana"/>
          <w:b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  <w:t>Categorías:</w:t>
      </w:r>
    </w:p>
    <w:p>
      <w:pPr>
        <w:pStyle w:val="Normal"/>
        <w:widowControl/>
        <w:jc w:val="both"/>
        <w:rPr>
          <w:rFonts w:eastAsia="Arial" w:cs="Verdana"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eastAsia="Verdana" w:cs="Verdana"/>
          <w:b/>
          <w:i/>
          <w:iCs/>
          <w:color w:val="000000"/>
          <w:sz w:val="20"/>
          <w:szCs w:val="20"/>
          <w:lang w:eastAsia="es-ES" w:bidi="ar-SA"/>
        </w:rPr>
        <w:t xml:space="preserve"> </w:t>
      </w:r>
    </w:p>
    <w:p>
      <w:pPr>
        <w:pStyle w:val="Normal"/>
        <w:widowControl/>
        <w:ind w:left="1134"/>
        <w:jc w:val="both"/>
        <w:rPr>
          <w:i/>
          <w:i/>
          <w:iCs/>
          <w:sz w:val="20"/>
          <w:szCs w:val="20"/>
        </w:rPr>
      </w:pP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  <w:t>Categoría infantil: de 10 a 17 años</w:t>
      </w:r>
    </w:p>
    <w:p>
      <w:pPr>
        <w:pStyle w:val="Normal"/>
        <w:widowControl/>
        <w:ind w:left="1134"/>
        <w:jc w:val="both"/>
        <w:rPr>
          <w:i/>
          <w:i/>
          <w:iCs/>
          <w:sz w:val="20"/>
          <w:szCs w:val="20"/>
        </w:rPr>
      </w:pPr>
      <w:r>
        <w:rPr>
          <w:i/>
          <w:iCs/>
          <w:sz w:val="20"/>
          <w:szCs w:val="20"/>
        </w:rPr>
      </w:r>
    </w:p>
    <w:p>
      <w:pPr>
        <w:pStyle w:val="Normal"/>
        <w:widowControl/>
        <w:ind w:left="1134"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  <w:t>Categoría adulta: a partir de 18 años</w:t>
      </w:r>
    </w:p>
    <w:p>
      <w:pPr>
        <w:pStyle w:val="Normal"/>
        <w:widowControl/>
        <w:ind w:left="1134"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0" w:leader="none"/>
          <w:tab w:val="left" w:pos="285" w:leader="none"/>
          <w:tab w:val="left" w:pos="720" w:leader="none"/>
        </w:tabs>
        <w:jc w:val="both"/>
        <w:rPr>
          <w:i/>
          <w:i/>
          <w:iCs/>
          <w:sz w:val="20"/>
          <w:szCs w:val="20"/>
        </w:rPr>
      </w:pP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  <w:t xml:space="preserve">Arma: rifle con visor Aimpoint para jabalí y escopeta superpuesta para perdices. </w:t>
      </w:r>
    </w:p>
    <w:p>
      <w:pPr>
        <w:pStyle w:val="Normal"/>
        <w:widowControl/>
        <w:tabs>
          <w:tab w:val="clear" w:pos="708"/>
          <w:tab w:val="left" w:pos="285" w:leader="none"/>
        </w:tabs>
        <w:ind w:left="928"/>
        <w:jc w:val="both"/>
        <w:rPr>
          <w:i/>
          <w:i/>
          <w:iCs/>
          <w:sz w:val="20"/>
          <w:szCs w:val="20"/>
        </w:rPr>
      </w:pPr>
      <w:r>
        <w:rPr>
          <w:i/>
          <w:iCs/>
          <w:sz w:val="20"/>
          <w:szCs w:val="20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0" w:leader="none"/>
          <w:tab w:val="left" w:pos="285" w:leader="none"/>
          <w:tab w:val="left" w:pos="720" w:leader="none"/>
        </w:tabs>
        <w:jc w:val="both"/>
        <w:rPr>
          <w:rFonts w:cs="Verdana"/>
          <w:i/>
          <w:i/>
          <w:iCs/>
          <w:sz w:val="20"/>
          <w:szCs w:val="20"/>
        </w:rPr>
      </w:pP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  <w:t xml:space="preserve">Distancia: se simulan todo tipo de distancias como en la caza real. </w:t>
      </w:r>
    </w:p>
    <w:p>
      <w:pPr>
        <w:pStyle w:val="Normal"/>
        <w:widowControl/>
        <w:ind w:right="865"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0" w:leader="none"/>
          <w:tab w:val="left" w:pos="345" w:leader="none"/>
          <w:tab w:val="left" w:pos="720" w:leader="none"/>
        </w:tabs>
        <w:jc w:val="both"/>
        <w:rPr>
          <w:rFonts w:cs="Verdana"/>
          <w:i/>
          <w:i/>
          <w:iCs/>
          <w:sz w:val="20"/>
          <w:szCs w:val="20"/>
        </w:rPr>
      </w:pP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  <w:t xml:space="preserve">Blanco: jabalíes a la carrera y perdices en vuelo. </w:t>
      </w:r>
    </w:p>
    <w:p>
      <w:pPr>
        <w:pStyle w:val="Normal"/>
        <w:widowControl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0" w:leader="none"/>
          <w:tab w:val="left" w:pos="345" w:leader="none"/>
          <w:tab w:val="left" w:pos="720" w:leader="none"/>
        </w:tabs>
        <w:jc w:val="both"/>
        <w:rPr>
          <w:rFonts w:cs="Verdana"/>
          <w:i/>
          <w:i/>
          <w:iCs/>
          <w:sz w:val="20"/>
          <w:szCs w:val="20"/>
        </w:rPr>
      </w:pP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  <w:t xml:space="preserve">Posición: de pie sin apoyos. </w:t>
      </w:r>
    </w:p>
    <w:p>
      <w:pPr>
        <w:pStyle w:val="Normal"/>
        <w:widowControl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0" w:leader="none"/>
          <w:tab w:val="left" w:pos="345" w:leader="none"/>
          <w:tab w:val="left" w:pos="720" w:leader="none"/>
        </w:tabs>
        <w:jc w:val="both"/>
        <w:rPr>
          <w:rFonts w:cs="Verdana"/>
          <w:b/>
          <w:bCs/>
          <w:i/>
          <w:i/>
          <w:iCs/>
          <w:sz w:val="20"/>
          <w:szCs w:val="20"/>
          <w:lang w:eastAsia="es-ES"/>
        </w:rPr>
      </w:pP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  <w:t xml:space="preserve">Forma De Tiro: En jabalí 5 balas por escenario y cartuchos sin límite en perdices. </w:t>
      </w:r>
    </w:p>
    <w:p>
      <w:pPr>
        <w:pStyle w:val="Normal"/>
        <w:widowControl/>
        <w:tabs>
          <w:tab w:val="clear" w:pos="708"/>
          <w:tab w:val="left" w:pos="345" w:leader="none"/>
        </w:tabs>
        <w:ind w:left="871"/>
        <w:jc w:val="both"/>
        <w:rPr>
          <w:rFonts w:cs="Verdana"/>
          <w:b/>
          <w:bCs/>
          <w:i/>
          <w:i/>
          <w:iCs/>
          <w:sz w:val="20"/>
          <w:szCs w:val="20"/>
          <w:lang w:eastAsia="es-ES"/>
        </w:rPr>
      </w:pPr>
      <w:r>
        <w:rPr>
          <w:rFonts w:cs="Verdana"/>
          <w:b/>
          <w:bCs/>
          <w:i/>
          <w:iCs/>
          <w:sz w:val="20"/>
          <w:szCs w:val="20"/>
          <w:lang w:eastAsia="es-ES"/>
        </w:rPr>
      </w:r>
    </w:p>
    <w:p>
      <w:pPr>
        <w:pStyle w:val="Normal"/>
        <w:widowControl/>
        <w:ind w:hanging="10" w:left="10"/>
        <w:jc w:val="both"/>
        <w:rPr>
          <w:rFonts w:eastAsia="Arial" w:cs="Verdana"/>
          <w:b/>
          <w:bCs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eastAsia="Arial" w:cs="Verdana"/>
          <w:b/>
          <w:bCs/>
          <w:i/>
          <w:iCs/>
          <w:color w:val="000000"/>
          <w:sz w:val="20"/>
          <w:szCs w:val="20"/>
          <w:lang w:eastAsia="es-ES" w:bidi="ar-SA"/>
        </w:rPr>
        <w:t>6.- CALIFICACIÓN Y DESARROLLO DE LA PRUEBA</w:t>
      </w:r>
    </w:p>
    <w:p>
      <w:pPr>
        <w:pStyle w:val="Normal"/>
        <w:widowControl/>
        <w:ind w:hanging="10" w:left="10"/>
        <w:jc w:val="both"/>
        <w:rPr>
          <w:rFonts w:eastAsia="Arial" w:cs="Verdana"/>
          <w:b/>
          <w:bCs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eastAsia="Arial" w:cs="Verdana"/>
          <w:b/>
          <w:bCs/>
          <w:i/>
          <w:iCs/>
          <w:color w:val="000000"/>
          <w:sz w:val="20"/>
          <w:szCs w:val="20"/>
          <w:lang w:eastAsia="es-ES" w:bidi="ar-SA"/>
        </w:rPr>
      </w:r>
    </w:p>
    <w:p>
      <w:pPr>
        <w:pStyle w:val="Normal"/>
        <w:widowControl/>
        <w:jc w:val="both"/>
        <w:rPr>
          <w:rFonts w:eastAsia="Arial" w:cs="Arial"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eastAsia="Arial" w:cs="Arial"/>
          <w:i/>
          <w:iCs/>
          <w:color w:val="000000"/>
          <w:sz w:val="20"/>
          <w:szCs w:val="20"/>
          <w:lang w:eastAsia="es-ES" w:bidi="ar-SA"/>
        </w:rPr>
        <w:t>A lo largo del sábado 18 de abril y hasta las 13,30 horas del domingo 19 de abril, en horario de apertura de la feria, los participantes tendrán derecho a 1 entrenamiento (1 tirada de jabalí+1 tirada de perdices) y posteriormente tirada de campeonato (1 tirada de jabalí+1 tirada de perdices),</w:t>
      </w:r>
      <w:r>
        <w:rPr>
          <w:rFonts w:eastAsia="Arial" w:cs="Arial"/>
          <w:i/>
          <w:iCs/>
          <w:color w:val="FF0000"/>
          <w:sz w:val="20"/>
          <w:szCs w:val="20"/>
          <w:lang w:eastAsia="es-ES" w:bidi="ar-SA"/>
        </w:rPr>
        <w:t xml:space="preserve"> </w:t>
      </w:r>
      <w:r>
        <w:rPr>
          <w:rFonts w:eastAsia="Arial" w:cs="Arial"/>
          <w:i/>
          <w:iCs/>
          <w:color w:val="000000"/>
          <w:sz w:val="20"/>
          <w:szCs w:val="20"/>
          <w:lang w:eastAsia="es-ES" w:bidi="ar-SA"/>
        </w:rPr>
        <w:t xml:space="preserve">cuya puntuación será el registro válido para su participación en la competición. </w:t>
      </w:r>
    </w:p>
    <w:p>
      <w:pPr>
        <w:pStyle w:val="Normal"/>
        <w:widowControl/>
        <w:jc w:val="both"/>
        <w:rPr>
          <w:rFonts w:eastAsia="Arial" w:cs="Arial"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eastAsia="Arial" w:cs="Arial"/>
          <w:i/>
          <w:iCs/>
          <w:color w:val="000000"/>
          <w:sz w:val="20"/>
          <w:szCs w:val="20"/>
          <w:lang w:eastAsia="es-ES" w:bidi="ar-SA"/>
        </w:rPr>
      </w:r>
    </w:p>
    <w:p>
      <w:pPr>
        <w:pStyle w:val="Normal"/>
        <w:widowControl/>
        <w:jc w:val="both"/>
        <w:rPr>
          <w:rFonts w:eastAsia="Arial" w:cs="Arial"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eastAsia="Arial" w:cs="Arial"/>
          <w:i/>
          <w:iCs/>
          <w:color w:val="000000"/>
          <w:sz w:val="20"/>
          <w:szCs w:val="20"/>
          <w:lang w:eastAsia="es-ES" w:bidi="ar-SA"/>
        </w:rPr>
        <w:t xml:space="preserve">Las puntuaciones, que consistirán en la suma de la tirada de jabalí+ la tirada de perdices, quedarán registradas por el encargado del simulador de manera manual supervisado por el propio tirador y una vez finalizado el campeonato se emitirá la lista de los ganadores. un juez designado por la organización certificará la veracidad de los datos emitidos. </w:t>
      </w:r>
    </w:p>
    <w:p>
      <w:pPr>
        <w:pStyle w:val="Normal"/>
        <w:widowControl/>
        <w:jc w:val="both"/>
        <w:rPr>
          <w:rFonts w:eastAsia="Arial" w:cs="Arial"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eastAsia="Arial" w:cs="Arial"/>
          <w:i/>
          <w:iCs/>
          <w:color w:val="000000"/>
          <w:sz w:val="20"/>
          <w:szCs w:val="20"/>
          <w:lang w:eastAsia="es-ES" w:bidi="ar-SA"/>
        </w:rPr>
      </w:r>
    </w:p>
    <w:p>
      <w:pPr>
        <w:pStyle w:val="Normal"/>
        <w:widowControl/>
        <w:ind w:hanging="10" w:left="10"/>
        <w:jc w:val="both"/>
        <w:rPr>
          <w:rFonts w:eastAsia="Calibri" w:cs="Verdana"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eastAsia="Calibri" w:cs="Verdana"/>
          <w:i/>
          <w:iCs/>
          <w:color w:val="000000"/>
          <w:sz w:val="20"/>
          <w:szCs w:val="20"/>
          <w:lang w:eastAsia="es-ES" w:bidi="ar-SA"/>
        </w:rPr>
        <w:t xml:space="preserve">El listado de clasificados (5 personas por categoría adulta y 10 en categoría infantil) se publicarán en el stand y en la página de la feria antes de las 16,00 h del domingo 13 de abril. </w:t>
      </w:r>
    </w:p>
    <w:p>
      <w:pPr>
        <w:pStyle w:val="Normal"/>
        <w:widowControl/>
        <w:ind w:hanging="10" w:left="10"/>
        <w:jc w:val="both"/>
        <w:rPr>
          <w:rFonts w:eastAsia="Calibri" w:cs="Verdana"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eastAsia="Calibri" w:cs="Verdana"/>
          <w:i/>
          <w:iCs/>
          <w:color w:val="000000"/>
          <w:sz w:val="20"/>
          <w:szCs w:val="20"/>
          <w:lang w:eastAsia="es-ES" w:bidi="ar-SA"/>
        </w:rPr>
      </w:r>
    </w:p>
    <w:p>
      <w:pPr>
        <w:pStyle w:val="Normal"/>
        <w:widowControl/>
        <w:ind w:hanging="10" w:left="10"/>
        <w:jc w:val="both"/>
        <w:rPr>
          <w:rFonts w:eastAsia="Calibri" w:cs="Verdana"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  <w:t>En caso de empate se realizará una tirada de desempate a las 16,30 h del domingo.</w:t>
      </w:r>
    </w:p>
    <w:p>
      <w:pPr>
        <w:pStyle w:val="Normal"/>
        <w:widowControl/>
        <w:ind w:hanging="10" w:left="10"/>
        <w:jc w:val="both"/>
        <w:rPr>
          <w:rFonts w:eastAsia="Calibri" w:cs="Verdana"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eastAsia="Calibri" w:cs="Verdana"/>
          <w:i/>
          <w:iCs/>
          <w:color w:val="000000"/>
          <w:sz w:val="20"/>
          <w:szCs w:val="20"/>
          <w:lang w:eastAsia="es-ES" w:bidi="ar-SA"/>
        </w:rPr>
      </w:r>
    </w:p>
    <w:p>
      <w:pPr>
        <w:pStyle w:val="Normal"/>
        <w:widowControl/>
        <w:ind w:hanging="10" w:left="10"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eastAsia="Calibri" w:cs="Verdana"/>
          <w:i/>
          <w:iCs/>
          <w:color w:val="000000"/>
          <w:sz w:val="20"/>
          <w:szCs w:val="20"/>
          <w:lang w:eastAsia="es-ES" w:bidi="ar-SA"/>
        </w:rPr>
        <w:t xml:space="preserve">La fase final tendrá lugar el domingo a las 17,30H. </w:t>
      </w:r>
    </w:p>
    <w:p>
      <w:pPr>
        <w:pStyle w:val="Normal"/>
        <w:widowControl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widowControl/>
        <w:ind w:hanging="10" w:left="10"/>
        <w:jc w:val="both"/>
        <w:rPr>
          <w:rFonts w:eastAsia="Calibri" w:cs="Verdana"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  <w:t xml:space="preserve">Un juez designado por la organización certificará la veracidad de los datos emitidos. </w:t>
      </w:r>
    </w:p>
    <w:p>
      <w:pPr>
        <w:pStyle w:val="Normal"/>
        <w:widowControl/>
        <w:ind w:right="7884"/>
        <w:rPr>
          <w:rFonts w:eastAsia="Calibri" w:cs="Verdana"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eastAsia="Calibri" w:cs="Verdana"/>
          <w:i/>
          <w:iCs/>
          <w:color w:val="000000"/>
          <w:sz w:val="20"/>
          <w:szCs w:val="20"/>
          <w:lang w:eastAsia="es-ES" w:bidi="ar-SA"/>
        </w:rPr>
      </w:r>
    </w:p>
    <w:p>
      <w:pPr>
        <w:pStyle w:val="Normal"/>
        <w:widowControl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eastAsia="Arial" w:cs="Verdana"/>
          <w:b/>
          <w:bCs/>
          <w:i/>
          <w:iCs/>
          <w:color w:val="000000"/>
          <w:sz w:val="20"/>
          <w:szCs w:val="20"/>
          <w:lang w:eastAsia="es-ES" w:bidi="ar-SA"/>
        </w:rPr>
        <w:t xml:space="preserve">7.- </w:t>
      </w:r>
      <w:r>
        <w:rPr>
          <w:rFonts w:eastAsia="Arial" w:cs="Verdana"/>
          <w:b/>
          <w:i/>
          <w:iCs/>
          <w:color w:val="000000"/>
          <w:sz w:val="20"/>
          <w:szCs w:val="20"/>
          <w:lang w:eastAsia="es-ES" w:bidi="ar-SA"/>
        </w:rPr>
        <w:t xml:space="preserve">PREMIOS. </w:t>
      </w:r>
    </w:p>
    <w:p>
      <w:pPr>
        <w:pStyle w:val="Normal"/>
        <w:widowControl/>
        <w:ind w:hanging="10" w:left="1411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widowControl/>
        <w:rPr>
          <w:rFonts w:cs="Verdana"/>
          <w:i/>
          <w:i/>
          <w:iCs/>
          <w:sz w:val="20"/>
          <w:szCs w:val="20"/>
        </w:rPr>
      </w:pPr>
      <w:r>
        <w:rPr>
          <w:rFonts w:eastAsia="Arial" w:cs="Verdana"/>
          <w:i/>
          <w:iCs/>
          <w:color w:val="000000"/>
          <w:sz w:val="20"/>
          <w:szCs w:val="20"/>
          <w:u w:val="single"/>
          <w:lang w:eastAsia="es-ES" w:bidi="ar-SA"/>
        </w:rPr>
        <w:t>ADULTOS:</w:t>
      </w: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  <w:t xml:space="preserve"> </w:t>
      </w:r>
    </w:p>
    <w:p>
      <w:pPr>
        <w:pStyle w:val="Normal"/>
        <w:widowControl/>
        <w:ind w:right="-12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widowControl/>
        <w:ind w:right="-12"/>
        <w:rPr>
          <w:rFonts w:cs="Verdana"/>
          <w:i/>
          <w:i/>
          <w:iCs/>
          <w:sz w:val="20"/>
          <w:szCs w:val="20"/>
        </w:rPr>
      </w:pP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  <w:t>1º premio: 150 euros+vale de 200 euros en material deportivo.</w:t>
      </w:r>
    </w:p>
    <w:p>
      <w:pPr>
        <w:pStyle w:val="Normal"/>
        <w:widowControl/>
        <w:ind w:right="-12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widowControl/>
        <w:ind w:right="-12"/>
        <w:rPr>
          <w:rFonts w:cs="Verdana"/>
          <w:i/>
          <w:i/>
          <w:iCs/>
          <w:sz w:val="20"/>
          <w:szCs w:val="20"/>
        </w:rPr>
      </w:pP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  <w:t>2º premio 100 euros+vale de 150 euros en material deportivo.</w:t>
      </w:r>
    </w:p>
    <w:p>
      <w:pPr>
        <w:pStyle w:val="Normal"/>
        <w:widowControl/>
        <w:ind w:right="-12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widowControl/>
        <w:ind w:right="-12"/>
        <w:rPr>
          <w:rFonts w:cs="Verdana"/>
          <w:i/>
          <w:i/>
          <w:iCs/>
          <w:sz w:val="20"/>
          <w:szCs w:val="20"/>
        </w:rPr>
      </w:pP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  <w:t>3º premio 75 euros+vale de 100 euros en material deportivo.</w:t>
      </w:r>
    </w:p>
    <w:p>
      <w:pPr>
        <w:pStyle w:val="Normal"/>
        <w:widowControl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widowControl/>
        <w:rPr>
          <w:rFonts w:cs="Verdana"/>
          <w:i/>
          <w:i/>
          <w:iCs/>
          <w:sz w:val="20"/>
          <w:szCs w:val="20"/>
        </w:rPr>
      </w:pPr>
      <w:r>
        <w:rPr>
          <w:rFonts w:eastAsia="Arial" w:cs="Verdana"/>
          <w:i/>
          <w:iCs/>
          <w:color w:val="000000"/>
          <w:sz w:val="20"/>
          <w:szCs w:val="20"/>
          <w:u w:val="single"/>
          <w:lang w:eastAsia="es-ES" w:bidi="ar-SA"/>
        </w:rPr>
        <w:t>INFANTIL:</w:t>
      </w: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  <w:t xml:space="preserve"> </w:t>
      </w:r>
    </w:p>
    <w:p>
      <w:pPr>
        <w:pStyle w:val="Normal"/>
        <w:widowControl/>
        <w:ind w:right="-12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widowControl/>
        <w:ind w:right="-12"/>
        <w:rPr>
          <w:rFonts w:cs="Verdana"/>
          <w:i/>
          <w:i/>
          <w:iCs/>
          <w:sz w:val="20"/>
          <w:szCs w:val="20"/>
        </w:rPr>
      </w:pP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  <w:t xml:space="preserve">Se les hará entrega a los 10 primeros clasificados de medalla y detalle. </w:t>
      </w:r>
    </w:p>
    <w:p>
      <w:pPr>
        <w:pStyle w:val="Normal"/>
        <w:widowControl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widowControl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  <w:t>Previamente al pago de los premios se requerir</w:t>
      </w:r>
      <w:r>
        <w:rPr>
          <w:rFonts w:cs="Verdana"/>
          <w:i/>
          <w:iCs/>
          <w:sz w:val="20"/>
          <w:szCs w:val="20"/>
          <w:lang w:eastAsia="es-ES"/>
        </w:rPr>
        <w:t>á a los concursantes premiados la presentación de su D.N.I., así como de una d</w:t>
      </w:r>
      <w:r>
        <w:rPr>
          <w:rFonts w:cs="Verdana"/>
          <w:i/>
          <w:iCs/>
          <w:sz w:val="20"/>
          <w:szCs w:val="20"/>
        </w:rPr>
        <w:t>eclaración responsable firmada por el concursante en al que se haga constar:</w:t>
      </w:r>
    </w:p>
    <w:p>
      <w:pPr>
        <w:pStyle w:val="Normal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  <w:t>—</w:t>
      </w:r>
      <w:r>
        <w:rPr>
          <w:rFonts w:eastAsia="Verdana" w:cs="Verdana"/>
          <w:i/>
          <w:iCs/>
          <w:sz w:val="20"/>
          <w:szCs w:val="20"/>
        </w:rPr>
        <w:t xml:space="preserve"> </w:t>
      </w:r>
      <w:r>
        <w:rPr>
          <w:rFonts w:cs="Verdana"/>
          <w:i/>
          <w:iCs/>
          <w:sz w:val="20"/>
          <w:szCs w:val="20"/>
        </w:rPr>
        <w:t>Que conforme a lo que establece el artículo 24.7 del Real Decreto 887/2006, de 21 de julio, está al corriente de sus obligaciones tributarias con el Estado, Principado de Asturias y Ayuntamiento de Salas, así como con la Seguridad Social.</w:t>
      </w:r>
    </w:p>
    <w:p>
      <w:pPr>
        <w:pStyle w:val="Normal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  <w:t>—</w:t>
      </w:r>
      <w:r>
        <w:rPr>
          <w:rFonts w:eastAsia="Verdana" w:cs="Verdana"/>
          <w:i/>
          <w:iCs/>
          <w:sz w:val="20"/>
          <w:szCs w:val="20"/>
        </w:rPr>
        <w:t xml:space="preserve"> </w:t>
      </w:r>
      <w:r>
        <w:rPr>
          <w:rFonts w:cs="Verdana"/>
          <w:i/>
          <w:iCs/>
          <w:sz w:val="20"/>
          <w:szCs w:val="20"/>
        </w:rPr>
        <w:t>Que no incurre en ninguna de las prohibiciones para obtener la condición de beneficiario, señaladas en los apartados 2 y 3 del artículo 13 de la Ley 38/2003, de 17 de noviembre, General de Subvenciones.</w:t>
      </w:r>
    </w:p>
    <w:p>
      <w:pPr>
        <w:pStyle w:val="Normal"/>
        <w:jc w:val="both"/>
        <w:rPr>
          <w:rFonts w:cs="Verdana"/>
          <w:i/>
          <w:i/>
          <w:iCs/>
          <w:sz w:val="20"/>
          <w:szCs w:val="20"/>
        </w:rPr>
      </w:pPr>
      <w:r>
        <w:rPr>
          <w:rFonts w:cs="Verdana"/>
          <w:i/>
          <w:iCs/>
          <w:sz w:val="20"/>
          <w:szCs w:val="20"/>
        </w:rPr>
      </w:r>
    </w:p>
    <w:p>
      <w:pPr>
        <w:pStyle w:val="Normal"/>
        <w:widowControl/>
        <w:rPr>
          <w:rFonts w:eastAsia="Arial" w:cs="Verdana"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  <w:t>La entrega de premios se realizará en el Stand del Ayuntamiento</w:t>
      </w:r>
      <w:r>
        <w:rPr>
          <w:rFonts w:eastAsia="Calibri" w:cs="Verdana"/>
          <w:i/>
          <w:iCs/>
          <w:color w:val="000000"/>
          <w:sz w:val="20"/>
          <w:szCs w:val="20"/>
          <w:lang w:eastAsia="es-ES" w:bidi="ar-SA"/>
        </w:rPr>
        <w:t xml:space="preserve"> el domingo, día 13 de abril a las 18.00 horas, a excepción de los premios en metálico que se realizarán a través de transferencia bancaria una vez haya sido entregada la documentación arriba indicada (DNI y Declaración responsable).</w:t>
      </w:r>
    </w:p>
    <w:p>
      <w:pPr>
        <w:pStyle w:val="Normal"/>
        <w:widowControl/>
        <w:jc w:val="both"/>
        <w:rPr>
          <w:rFonts w:eastAsia="Arial" w:cs="Verdana"/>
          <w:i/>
          <w:i/>
          <w:iCs/>
          <w:color w:val="000000"/>
          <w:sz w:val="20"/>
          <w:szCs w:val="20"/>
          <w:lang w:eastAsia="es-ES" w:bidi="ar-SA"/>
        </w:rPr>
      </w:pPr>
      <w:r>
        <w:rPr>
          <w:rFonts w:eastAsia="Arial" w:cs="Verdana"/>
          <w:i/>
          <w:iCs/>
          <w:color w:val="000000"/>
          <w:sz w:val="20"/>
          <w:szCs w:val="20"/>
          <w:lang w:eastAsia="es-ES" w:bidi="ar-SA"/>
        </w:rPr>
      </w:r>
    </w:p>
    <w:p>
      <w:pPr>
        <w:pStyle w:val="Normal"/>
        <w:widowControl/>
        <w:jc w:val="both"/>
        <w:rPr>
          <w:rFonts w:cs="Verdana"/>
          <w:b/>
          <w:bCs/>
          <w:i/>
          <w:i/>
          <w:iCs/>
          <w:sz w:val="20"/>
          <w:szCs w:val="20"/>
          <w:lang w:eastAsia="es-ES"/>
        </w:rPr>
      </w:pPr>
      <w:r>
        <w:rPr>
          <w:rFonts w:eastAsia="Arial" w:cs="Verdana"/>
          <w:b/>
          <w:bCs/>
          <w:i/>
          <w:iCs/>
          <w:color w:val="000000"/>
          <w:sz w:val="20"/>
          <w:szCs w:val="20"/>
          <w:lang w:eastAsia="es-ES" w:bidi="ar-SA"/>
        </w:rPr>
        <w:t>8.- INCUMPLIMIENTO Y REINTEGRO DE LOS PREMIOS</w:t>
      </w:r>
    </w:p>
    <w:p>
      <w:pPr>
        <w:pStyle w:val="Normal"/>
        <w:jc w:val="both"/>
        <w:rPr>
          <w:rFonts w:cs="Verdana"/>
          <w:b/>
          <w:bCs/>
          <w:i/>
          <w:i/>
          <w:iCs/>
          <w:sz w:val="20"/>
          <w:szCs w:val="20"/>
          <w:lang w:eastAsia="es-ES"/>
        </w:rPr>
      </w:pPr>
      <w:r>
        <w:rPr>
          <w:rFonts w:cs="Verdana"/>
          <w:b/>
          <w:bCs/>
          <w:i/>
          <w:iCs/>
          <w:sz w:val="20"/>
          <w:szCs w:val="20"/>
          <w:lang w:eastAsia="es-ES"/>
        </w:rPr>
      </w:r>
    </w:p>
    <w:p>
      <w:pPr>
        <w:pStyle w:val="Normal"/>
        <w:jc w:val="both"/>
        <w:rPr>
          <w:rFonts w:cs="Verdana"/>
          <w:b/>
          <w:bCs/>
          <w:i/>
          <w:i/>
          <w:iCs/>
          <w:sz w:val="20"/>
          <w:szCs w:val="20"/>
          <w:lang w:eastAsia="es-ES"/>
        </w:rPr>
      </w:pPr>
      <w:r>
        <w:rPr>
          <w:rFonts w:cs="Verdana"/>
          <w:i/>
          <w:iCs/>
          <w:sz w:val="20"/>
          <w:szCs w:val="20"/>
          <w:lang w:eastAsia="es-ES"/>
        </w:rPr>
        <w:t>El incumplimiento por parte del beneficiario de las obligaciones implicará la pérdida de la condición de beneficiario, dando lugar a la obligación de reintegrar al Ayuntamiento de Salas el premio recibido. En particular, procederá al reintegro en el caso de obtención de un premio falseando las condiciones requeridas para ello y ocultando aquéllas que lo hubieran impedido.</w:t>
      </w:r>
    </w:p>
    <w:p>
      <w:pPr>
        <w:pStyle w:val="Normal"/>
        <w:jc w:val="both"/>
        <w:rPr>
          <w:rFonts w:cs="Verdana"/>
          <w:b/>
          <w:bCs/>
          <w:i/>
          <w:i/>
          <w:iCs/>
          <w:sz w:val="20"/>
          <w:szCs w:val="20"/>
          <w:lang w:eastAsia="es-ES"/>
        </w:rPr>
      </w:pPr>
      <w:r>
        <w:rPr>
          <w:rFonts w:cs="Verdana"/>
          <w:b/>
          <w:bCs/>
          <w:i/>
          <w:iCs/>
          <w:sz w:val="20"/>
          <w:szCs w:val="20"/>
          <w:lang w:eastAsia="es-ES"/>
        </w:rPr>
      </w:r>
    </w:p>
    <w:p>
      <w:pPr>
        <w:pStyle w:val="Normal"/>
        <w:jc w:val="both"/>
        <w:rPr>
          <w:rFonts w:cs="Verdana"/>
          <w:b/>
          <w:bCs/>
          <w:i/>
          <w:i/>
          <w:iCs/>
          <w:sz w:val="20"/>
          <w:szCs w:val="20"/>
          <w:lang w:eastAsia="es-ES"/>
        </w:rPr>
      </w:pPr>
      <w:r>
        <w:rPr>
          <w:rFonts w:cs="Verdana"/>
          <w:b/>
          <w:bCs/>
          <w:i/>
          <w:iCs/>
          <w:sz w:val="20"/>
          <w:szCs w:val="20"/>
          <w:lang w:eastAsia="es-ES"/>
        </w:rPr>
        <w:t>9.- PROTECCIÓN DE DATOS PERSONALES</w:t>
      </w:r>
    </w:p>
    <w:p>
      <w:pPr>
        <w:pStyle w:val="Normal"/>
        <w:jc w:val="both"/>
        <w:rPr>
          <w:rFonts w:cs="Verdana"/>
          <w:b/>
          <w:bCs/>
          <w:i/>
          <w:i/>
          <w:iCs/>
          <w:sz w:val="20"/>
          <w:szCs w:val="20"/>
          <w:lang w:eastAsia="es-ES"/>
        </w:rPr>
      </w:pPr>
      <w:r>
        <w:rPr>
          <w:rFonts w:cs="Verdana"/>
          <w:b/>
          <w:bCs/>
          <w:i/>
          <w:iCs/>
          <w:sz w:val="20"/>
          <w:szCs w:val="20"/>
          <w:lang w:eastAsia="es-ES"/>
        </w:rPr>
      </w:r>
    </w:p>
    <w:p>
      <w:pPr>
        <w:pStyle w:val="Normal"/>
        <w:jc w:val="both"/>
        <w:rPr>
          <w:rFonts w:cs="Verdana"/>
          <w:b/>
          <w:bCs/>
          <w:i/>
          <w:i/>
          <w:iCs/>
          <w:sz w:val="20"/>
          <w:szCs w:val="20"/>
          <w:lang w:eastAsia="es-ES"/>
        </w:rPr>
      </w:pPr>
      <w:r>
        <w:rPr>
          <w:rFonts w:cs="Verdana"/>
          <w:i/>
          <w:iCs/>
          <w:sz w:val="20"/>
          <w:szCs w:val="20"/>
          <w:lang w:eastAsia="es-ES"/>
        </w:rPr>
        <w:t>Los datos personales de los concursantes no serán utilizados para ningún fin comercial ni remisión de información de cualquier tipo.</w:t>
      </w:r>
    </w:p>
    <w:p>
      <w:pPr>
        <w:pStyle w:val="Normal"/>
        <w:jc w:val="both"/>
        <w:rPr>
          <w:rFonts w:cs="Verdana"/>
          <w:b/>
          <w:bCs/>
          <w:i/>
          <w:i/>
          <w:iCs/>
          <w:sz w:val="20"/>
          <w:szCs w:val="20"/>
          <w:lang w:eastAsia="es-ES"/>
        </w:rPr>
      </w:pPr>
      <w:r>
        <w:rPr>
          <w:rFonts w:cs="Verdana"/>
          <w:b/>
          <w:bCs/>
          <w:i/>
          <w:iCs/>
          <w:sz w:val="20"/>
          <w:szCs w:val="20"/>
          <w:lang w:eastAsia="es-ES"/>
        </w:rPr>
      </w:r>
    </w:p>
    <w:p>
      <w:pPr>
        <w:pStyle w:val="Normal"/>
        <w:jc w:val="both"/>
        <w:rPr>
          <w:i/>
          <w:i/>
          <w:iCs/>
          <w:sz w:val="20"/>
          <w:szCs w:val="20"/>
        </w:rPr>
      </w:pPr>
      <w:r>
        <w:rPr>
          <w:rFonts w:cs="Verdana"/>
          <w:b/>
          <w:bCs/>
          <w:i/>
          <w:iCs/>
          <w:sz w:val="20"/>
          <w:szCs w:val="20"/>
          <w:lang w:eastAsia="es-ES"/>
        </w:rPr>
        <w:t>10.- ACEPTACIÓN, MODIFICACIÓN E INTERPRETACIÓN DE BASES</w:t>
      </w:r>
    </w:p>
    <w:p>
      <w:pPr>
        <w:pStyle w:val="Normal"/>
        <w:jc w:val="center"/>
        <w:rPr>
          <w:i/>
          <w:i/>
          <w:iCs/>
          <w:sz w:val="20"/>
          <w:szCs w:val="20"/>
        </w:rPr>
      </w:pPr>
      <w:r>
        <w:rPr>
          <w:i/>
          <w:iCs/>
          <w:sz w:val="20"/>
          <w:szCs w:val="20"/>
        </w:rPr>
      </w:r>
    </w:p>
    <w:p>
      <w:pPr>
        <w:pStyle w:val="Normal"/>
        <w:jc w:val="both"/>
        <w:rPr>
          <w:rFonts w:cs="Verdana"/>
          <w:b/>
          <w:bCs/>
          <w:color w:val="000000"/>
          <w:sz w:val="20"/>
          <w:szCs w:val="20"/>
        </w:rPr>
      </w:pPr>
      <w:r>
        <w:rPr>
          <w:rFonts w:eastAsia="Times New Roman" w:cs="Verdana"/>
          <w:i/>
          <w:iCs/>
          <w:sz w:val="20"/>
          <w:szCs w:val="20"/>
          <w:lang w:eastAsia="es-ES"/>
        </w:rPr>
        <w:t>La participación en el concurso supone la completa e íntegra aceptación de las bases. El Ayuntamiento se reserva el derecho para interpretar las mismas, resolver y decidir sobre los casos no previstos y modificar las mismas para realizar ajustes técnicos y/o procedimentales en beneficio del Concurso, sin posibilidad de recurso o resarcimiento.</w:t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rFonts w:cs="Verdana"/>
          <w:b/>
          <w:bCs/>
          <w:color w:val="000000"/>
          <w:sz w:val="20"/>
          <w:szCs w:val="20"/>
        </w:rPr>
      </w:pPr>
      <w:r>
        <w:rPr>
          <w:rFonts w:cs="Verdana"/>
          <w:b/>
          <w:bCs/>
          <w:color w:val="000000"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  <w:tab w:val="left" w:pos="720" w:leader="none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701" w:gutter="0" w:header="426" w:top="2142" w:footer="0" w:bottom="141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uppressLineNumbers/>
      <w:pBdr>
        <w:bottom w:val="single" w:sz="4" w:space="5" w:color="000000"/>
      </w:pBdr>
      <w:tabs>
        <w:tab w:val="clear" w:pos="708"/>
        <w:tab w:val="center" w:pos="5386" w:leader="none"/>
        <w:tab w:val="right" w:pos="10772" w:leader="none"/>
      </w:tabs>
      <w:jc w:val="center"/>
      <w:rPr>
        <w:rFonts w:ascii="Arial" w:hAnsi="Arial" w:cs="Arial"/>
        <w:b/>
        <w:bCs/>
        <w:color w:val="CC9900"/>
        <w:szCs w:val="18"/>
      </w:rPr>
    </w:pPr>
    <w:r>
      <w:rPr>
        <w:rFonts w:cs="Arial" w:ascii="Arial" w:hAnsi="Arial"/>
        <w:b/>
        <w:bCs/>
        <w:color w:val="CC9900"/>
        <w:szCs w:val="18"/>
      </w:rPr>
    </w:r>
  </w:p>
  <w:p>
    <w:pPr>
      <w:pStyle w:val="Normal"/>
      <w:suppressLineNumbers/>
      <w:pBdr>
        <w:bottom w:val="single" w:sz="4" w:space="5" w:color="000000"/>
      </w:pBdr>
      <w:tabs>
        <w:tab w:val="clear" w:pos="708"/>
        <w:tab w:val="center" w:pos="5386" w:leader="none"/>
        <w:tab w:val="right" w:pos="10772" w:leader="none"/>
      </w:tabs>
      <w:jc w:val="right"/>
      <w:rPr>
        <w:rFonts w:ascii="Arial" w:hAnsi="Arial" w:cs="Arial"/>
        <w:b/>
        <w:bCs/>
        <w:color w:val="008000"/>
        <w:szCs w:val="18"/>
      </w:rPr>
    </w:pPr>
    <w:r>
      <w:rPr>
        <w:rFonts w:cs="Arial" w:ascii="Arial" w:hAnsi="Arial"/>
        <w:b/>
        <w:bCs/>
        <w:color w:val="008000"/>
        <w:szCs w:val="18"/>
      </w:rPr>
      <w:t>XXVI FERIA DEL SALMÓN, ASTURPESCA 2025 Y SUBASTA DEL CAMPANU DE ASTURIAS</w:t>
    </w:r>
  </w:p>
  <w:p>
    <w:pPr>
      <w:pStyle w:val="Normal"/>
      <w:suppressLineNumbers/>
      <w:pBdr>
        <w:bottom w:val="single" w:sz="4" w:space="5" w:color="000000"/>
      </w:pBdr>
      <w:tabs>
        <w:tab w:val="clear" w:pos="708"/>
        <w:tab w:val="center" w:pos="5386" w:leader="none"/>
        <w:tab w:val="right" w:pos="10772" w:leader="none"/>
      </w:tabs>
      <w:jc w:val="right"/>
      <w:rPr>
        <w:rFonts w:ascii="Arial" w:hAnsi="Arial" w:cs="Arial"/>
        <w:b/>
        <w:bCs/>
        <w:color w:val="008000"/>
        <w:szCs w:val="18"/>
      </w:rPr>
    </w:pPr>
    <w:r>
      <w:rPr>
        <w:rFonts w:cs="Arial" w:ascii="Arial" w:hAnsi="Arial"/>
        <w:b/>
        <w:bCs/>
        <w:color w:val="008000"/>
        <w:szCs w:val="18"/>
      </w:rPr>
      <w:t>XIV CAPENASTUR (FERIA DE LA CAZA, LA PESCA, LA NATURALEZA Y EL TURISMO ACTIVO)</w:t>
    </w:r>
  </w:p>
  <w:p>
    <w:pPr>
      <w:pStyle w:val="Normal"/>
      <w:suppressLineNumbers/>
      <w:pBdr>
        <w:bottom w:val="single" w:sz="4" w:space="5" w:color="000000"/>
      </w:pBdr>
      <w:tabs>
        <w:tab w:val="clear" w:pos="708"/>
        <w:tab w:val="center" w:pos="5386" w:leader="none"/>
        <w:tab w:val="right" w:pos="10772" w:leader="none"/>
      </w:tabs>
      <w:jc w:val="right"/>
      <w:rPr>
        <w:rFonts w:ascii="Arial" w:hAnsi="Arial" w:cs="Arial"/>
        <w:b/>
        <w:bCs/>
        <w:color w:val="008000"/>
        <w:szCs w:val="18"/>
      </w:rPr>
    </w:pPr>
    <w:r>
      <w:drawing>
        <wp:anchor behindDoc="1" distT="0" distB="0" distL="114300" distR="114300" simplePos="0" locked="0" layoutInCell="0" allowOverlap="1" relativeHeight="4">
          <wp:simplePos x="0" y="0"/>
          <wp:positionH relativeFrom="column">
            <wp:posOffset>260985</wp:posOffset>
          </wp:positionH>
          <wp:positionV relativeFrom="paragraph">
            <wp:posOffset>65405</wp:posOffset>
          </wp:positionV>
          <wp:extent cx="1554480" cy="513715"/>
          <wp:effectExtent l="0" t="0" r="0" b="0"/>
          <wp:wrapSquare wrapText="bothSides"/>
          <wp:docPr id="1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54480" cy="513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 w:ascii="Arial" w:hAnsi="Arial"/>
        <w:b/>
        <w:bCs/>
        <w:color w:val="008000"/>
        <w:szCs w:val="18"/>
      </w:rPr>
      <w:t xml:space="preserve">CORNELLANA-SALAS (ASTURIAS) </w:t>
    </w:r>
  </w:p>
  <w:p>
    <w:pPr>
      <w:pStyle w:val="Normal"/>
      <w:suppressLineNumbers/>
      <w:pBdr>
        <w:bottom w:val="single" w:sz="4" w:space="5" w:color="000000"/>
      </w:pBdr>
      <w:tabs>
        <w:tab w:val="clear" w:pos="708"/>
        <w:tab w:val="center" w:pos="5386" w:leader="none"/>
        <w:tab w:val="right" w:pos="10772" w:leader="none"/>
      </w:tabs>
      <w:jc w:val="right"/>
      <w:rPr>
        <w:rFonts w:ascii="Arial" w:hAnsi="Arial" w:cs="Arial"/>
        <w:b/>
        <w:bCs/>
        <w:color w:val="008000"/>
        <w:szCs w:val="18"/>
      </w:rPr>
    </w:pPr>
    <w:r>
      <w:rPr>
        <w:rFonts w:cs="Arial" w:ascii="Arial" w:hAnsi="Arial"/>
        <w:b/>
        <w:bCs/>
        <w:color w:val="008000"/>
        <w:szCs w:val="18"/>
      </w:rPr>
      <w:t>18 y 19 DE ABRIL DE 2026</w:t>
    </w:r>
  </w:p>
  <w:p>
    <w:pPr>
      <w:pStyle w:val="Normal"/>
      <w:suppressLineNumbers/>
      <w:pBdr>
        <w:bottom w:val="single" w:sz="4" w:space="5" w:color="000000"/>
      </w:pBdr>
      <w:tabs>
        <w:tab w:val="clear" w:pos="708"/>
        <w:tab w:val="center" w:pos="5386" w:leader="none"/>
        <w:tab w:val="right" w:pos="10772" w:leader="none"/>
      </w:tabs>
      <w:jc w:val="right"/>
      <w:rPr>
        <w:rFonts w:ascii="Arial" w:hAnsi="Arial" w:cs="Arial"/>
        <w:b/>
        <w:bCs/>
        <w:color w:val="CC9900"/>
        <w:szCs w:val="18"/>
      </w:rPr>
    </w:pPr>
    <w:hyperlink r:id="rId2">
      <w:r>
        <w:rPr>
          <w:rStyle w:val="Hyperlink"/>
          <w:rFonts w:cs="Arial" w:ascii="Arial" w:hAnsi="Arial"/>
          <w:b/>
          <w:bCs/>
          <w:color w:val="008000"/>
          <w:szCs w:val="18"/>
        </w:rPr>
        <w:t>www.campanuasturias.com</w:t>
      </w:r>
    </w:hyperlink>
  </w:p>
  <w:p>
    <w:pPr>
      <w:pStyle w:val="Normal"/>
      <w:suppressLineNumbers/>
      <w:pBdr>
        <w:bottom w:val="single" w:sz="4" w:space="5" w:color="000000"/>
      </w:pBdr>
      <w:tabs>
        <w:tab w:val="clear" w:pos="708"/>
        <w:tab w:val="center" w:pos="5386" w:leader="none"/>
        <w:tab w:val="right" w:pos="10772" w:leader="none"/>
      </w:tabs>
      <w:jc w:val="right"/>
      <w:rPr>
        <w:rFonts w:ascii="Arial" w:hAnsi="Arial" w:cs="Arial"/>
        <w:b/>
        <w:bCs/>
        <w:color w:val="CC9900"/>
        <w:szCs w:val="18"/>
      </w:rPr>
    </w:pPr>
    <w:r>
      <w:rPr>
        <w:rFonts w:cs="Arial" w:ascii="Arial" w:hAnsi="Arial"/>
        <w:b/>
        <w:bCs/>
        <w:color w:val="CC9900"/>
        <w:szCs w:val="18"/>
      </w:rPr>
    </w:r>
  </w:p>
  <w:p>
    <w:pPr>
      <w:pStyle w:val="Normal"/>
      <w:suppressLineNumbers/>
      <w:pBdr>
        <w:bottom w:val="single" w:sz="4" w:space="5" w:color="000000"/>
      </w:pBdr>
      <w:tabs>
        <w:tab w:val="clear" w:pos="708"/>
        <w:tab w:val="center" w:pos="5386" w:leader="none"/>
        <w:tab w:val="right" w:pos="10772" w:leader="none"/>
      </w:tabs>
      <w:jc w:val="center"/>
      <w:rPr>
        <w:rFonts w:ascii="Arial" w:hAnsi="Arial" w:cs="Arial"/>
        <w:b/>
        <w:bCs/>
        <w:color w:val="CC9900"/>
        <w:szCs w:val="18"/>
      </w:rPr>
    </w:pPr>
    <w:r>
      <w:rPr>
        <w:rFonts w:cs="Arial" w:ascii="Arial" w:hAnsi="Arial"/>
        <w:b/>
        <w:bCs/>
        <w:color w:val="CC9900"/>
        <w:szCs w:val="18"/>
      </w:rPr>
    </w:r>
  </w:p>
  <w:p>
    <w:pPr>
      <w:pStyle w:val="Normal"/>
      <w:suppressLineNumbers/>
      <w:pBdr>
        <w:bottom w:val="single" w:sz="4" w:space="5" w:color="000000"/>
      </w:pBdr>
      <w:tabs>
        <w:tab w:val="clear" w:pos="708"/>
        <w:tab w:val="center" w:pos="5386" w:leader="none"/>
        <w:tab w:val="right" w:pos="10772" w:leader="none"/>
      </w:tabs>
      <w:rPr>
        <w:rFonts w:ascii="Arial" w:hAnsi="Arial" w:cs="Arial"/>
        <w:b/>
        <w:bCs/>
        <w:color w:val="CC9900"/>
        <w:szCs w:val="18"/>
      </w:rPr>
    </w:pPr>
    <w:r>
      <w:rPr>
        <w:rFonts w:cs="Arial" w:ascii="Arial" w:hAnsi="Arial"/>
        <w:b/>
        <w:bCs/>
        <w:color w:val="CC9900"/>
        <w:szCs w:val="18"/>
      </w:rPr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uppressLineNumbers/>
      <w:pBdr>
        <w:bottom w:val="single" w:sz="4" w:space="5" w:color="000000"/>
      </w:pBdr>
      <w:tabs>
        <w:tab w:val="clear" w:pos="708"/>
        <w:tab w:val="center" w:pos="5386" w:leader="none"/>
        <w:tab w:val="right" w:pos="10772" w:leader="none"/>
      </w:tabs>
      <w:jc w:val="center"/>
      <w:rPr>
        <w:rFonts w:ascii="Arial" w:hAnsi="Arial" w:cs="Arial"/>
        <w:b/>
        <w:bCs/>
        <w:color w:val="CC9900"/>
        <w:szCs w:val="18"/>
      </w:rPr>
    </w:pPr>
    <w:r>
      <w:rPr>
        <w:rFonts w:cs="Arial" w:ascii="Arial" w:hAnsi="Arial"/>
        <w:b/>
        <w:bCs/>
        <w:color w:val="CC9900"/>
        <w:szCs w:val="18"/>
      </w:rPr>
    </w:r>
  </w:p>
  <w:p>
    <w:pPr>
      <w:pStyle w:val="Normal"/>
      <w:suppressLineNumbers/>
      <w:pBdr>
        <w:bottom w:val="single" w:sz="4" w:space="5" w:color="000000"/>
      </w:pBdr>
      <w:tabs>
        <w:tab w:val="clear" w:pos="708"/>
        <w:tab w:val="center" w:pos="5386" w:leader="none"/>
        <w:tab w:val="right" w:pos="10772" w:leader="none"/>
      </w:tabs>
      <w:jc w:val="right"/>
      <w:rPr>
        <w:rFonts w:ascii="Arial" w:hAnsi="Arial" w:cs="Arial"/>
        <w:b/>
        <w:bCs/>
        <w:color w:val="008000"/>
        <w:szCs w:val="18"/>
      </w:rPr>
    </w:pPr>
    <w:r>
      <w:rPr>
        <w:rFonts w:cs="Arial" w:ascii="Arial" w:hAnsi="Arial"/>
        <w:b/>
        <w:bCs/>
        <w:color w:val="008000"/>
        <w:szCs w:val="18"/>
      </w:rPr>
      <w:t>XXVI FERIA DEL SALMÓN, ASTURPESCA 2025 Y SUBASTA DEL CAMPANU DE ASTURIAS</w:t>
    </w:r>
  </w:p>
  <w:p>
    <w:pPr>
      <w:pStyle w:val="Normal"/>
      <w:suppressLineNumbers/>
      <w:pBdr>
        <w:bottom w:val="single" w:sz="4" w:space="5" w:color="000000"/>
      </w:pBdr>
      <w:tabs>
        <w:tab w:val="clear" w:pos="708"/>
        <w:tab w:val="center" w:pos="5386" w:leader="none"/>
        <w:tab w:val="right" w:pos="10772" w:leader="none"/>
      </w:tabs>
      <w:jc w:val="right"/>
      <w:rPr>
        <w:rFonts w:ascii="Arial" w:hAnsi="Arial" w:cs="Arial"/>
        <w:b/>
        <w:bCs/>
        <w:color w:val="008000"/>
        <w:szCs w:val="18"/>
      </w:rPr>
    </w:pPr>
    <w:r>
      <w:rPr>
        <w:rFonts w:cs="Arial" w:ascii="Arial" w:hAnsi="Arial"/>
        <w:b/>
        <w:bCs/>
        <w:color w:val="008000"/>
        <w:szCs w:val="18"/>
      </w:rPr>
      <w:t>XIV CAPENASTUR (FERIA DE LA CAZA, LA PESCA, LA NATURALEZA Y EL TURISMO ACTIVO)</w:t>
    </w:r>
  </w:p>
  <w:p>
    <w:pPr>
      <w:pStyle w:val="Normal"/>
      <w:suppressLineNumbers/>
      <w:pBdr>
        <w:bottom w:val="single" w:sz="4" w:space="5" w:color="000000"/>
      </w:pBdr>
      <w:tabs>
        <w:tab w:val="clear" w:pos="708"/>
        <w:tab w:val="center" w:pos="5386" w:leader="none"/>
        <w:tab w:val="right" w:pos="10772" w:leader="none"/>
      </w:tabs>
      <w:jc w:val="right"/>
      <w:rPr>
        <w:rFonts w:ascii="Arial" w:hAnsi="Arial" w:cs="Arial"/>
        <w:b/>
        <w:bCs/>
        <w:color w:val="008000"/>
        <w:szCs w:val="18"/>
      </w:rPr>
    </w:pPr>
    <w:r>
      <w:drawing>
        <wp:anchor behindDoc="1" distT="0" distB="0" distL="114300" distR="114300" simplePos="0" locked="0" layoutInCell="0" allowOverlap="1" relativeHeight="4">
          <wp:simplePos x="0" y="0"/>
          <wp:positionH relativeFrom="column">
            <wp:posOffset>260985</wp:posOffset>
          </wp:positionH>
          <wp:positionV relativeFrom="paragraph">
            <wp:posOffset>65405</wp:posOffset>
          </wp:positionV>
          <wp:extent cx="1554480" cy="513715"/>
          <wp:effectExtent l="0" t="0" r="0" b="0"/>
          <wp:wrapSquare wrapText="bothSides"/>
          <wp:docPr id="2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54480" cy="513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 w:ascii="Arial" w:hAnsi="Arial"/>
        <w:b/>
        <w:bCs/>
        <w:color w:val="008000"/>
        <w:szCs w:val="18"/>
      </w:rPr>
      <w:t xml:space="preserve">CORNELLANA-SALAS (ASTURIAS) </w:t>
    </w:r>
  </w:p>
  <w:p>
    <w:pPr>
      <w:pStyle w:val="Normal"/>
      <w:suppressLineNumbers/>
      <w:pBdr>
        <w:bottom w:val="single" w:sz="4" w:space="5" w:color="000000"/>
      </w:pBdr>
      <w:tabs>
        <w:tab w:val="clear" w:pos="708"/>
        <w:tab w:val="center" w:pos="5386" w:leader="none"/>
        <w:tab w:val="right" w:pos="10772" w:leader="none"/>
      </w:tabs>
      <w:jc w:val="right"/>
      <w:rPr>
        <w:rFonts w:ascii="Arial" w:hAnsi="Arial" w:cs="Arial"/>
        <w:b/>
        <w:bCs/>
        <w:color w:val="008000"/>
        <w:szCs w:val="18"/>
      </w:rPr>
    </w:pPr>
    <w:r>
      <w:rPr>
        <w:rFonts w:cs="Arial" w:ascii="Arial" w:hAnsi="Arial"/>
        <w:b/>
        <w:bCs/>
        <w:color w:val="008000"/>
        <w:szCs w:val="18"/>
      </w:rPr>
      <w:t>18 y 19 DE ABRIL DE 2026</w:t>
    </w:r>
  </w:p>
  <w:p>
    <w:pPr>
      <w:pStyle w:val="Normal"/>
      <w:suppressLineNumbers/>
      <w:pBdr>
        <w:bottom w:val="single" w:sz="4" w:space="5" w:color="000000"/>
      </w:pBdr>
      <w:tabs>
        <w:tab w:val="clear" w:pos="708"/>
        <w:tab w:val="center" w:pos="5386" w:leader="none"/>
        <w:tab w:val="right" w:pos="10772" w:leader="none"/>
      </w:tabs>
      <w:jc w:val="right"/>
      <w:rPr>
        <w:rFonts w:ascii="Arial" w:hAnsi="Arial" w:cs="Arial"/>
        <w:b/>
        <w:bCs/>
        <w:color w:val="CC9900"/>
        <w:szCs w:val="18"/>
      </w:rPr>
    </w:pPr>
    <w:hyperlink r:id="rId2">
      <w:r>
        <w:rPr>
          <w:rStyle w:val="Hyperlink"/>
          <w:rFonts w:cs="Arial" w:ascii="Arial" w:hAnsi="Arial"/>
          <w:b/>
          <w:bCs/>
          <w:color w:val="008000"/>
          <w:szCs w:val="18"/>
        </w:rPr>
        <w:t>www.campanuasturias.com</w:t>
      </w:r>
    </w:hyperlink>
  </w:p>
  <w:p>
    <w:pPr>
      <w:pStyle w:val="Normal"/>
      <w:suppressLineNumbers/>
      <w:pBdr>
        <w:bottom w:val="single" w:sz="4" w:space="5" w:color="000000"/>
      </w:pBdr>
      <w:tabs>
        <w:tab w:val="clear" w:pos="708"/>
        <w:tab w:val="center" w:pos="5386" w:leader="none"/>
        <w:tab w:val="right" w:pos="10772" w:leader="none"/>
      </w:tabs>
      <w:jc w:val="right"/>
      <w:rPr>
        <w:rFonts w:ascii="Arial" w:hAnsi="Arial" w:cs="Arial"/>
        <w:b/>
        <w:bCs/>
        <w:color w:val="CC9900"/>
        <w:szCs w:val="18"/>
      </w:rPr>
    </w:pPr>
    <w:r>
      <w:rPr>
        <w:rFonts w:cs="Arial" w:ascii="Arial" w:hAnsi="Arial"/>
        <w:b/>
        <w:bCs/>
        <w:color w:val="CC9900"/>
        <w:szCs w:val="18"/>
      </w:rPr>
    </w:r>
  </w:p>
  <w:p>
    <w:pPr>
      <w:pStyle w:val="Normal"/>
      <w:suppressLineNumbers/>
      <w:pBdr>
        <w:bottom w:val="single" w:sz="4" w:space="5" w:color="000000"/>
      </w:pBdr>
      <w:tabs>
        <w:tab w:val="clear" w:pos="708"/>
        <w:tab w:val="center" w:pos="5386" w:leader="none"/>
        <w:tab w:val="right" w:pos="10772" w:leader="none"/>
      </w:tabs>
      <w:jc w:val="center"/>
      <w:rPr>
        <w:rFonts w:ascii="Arial" w:hAnsi="Arial" w:cs="Arial"/>
        <w:b/>
        <w:bCs/>
        <w:color w:val="CC9900"/>
        <w:szCs w:val="18"/>
      </w:rPr>
    </w:pPr>
    <w:r>
      <w:rPr>
        <w:rFonts w:cs="Arial" w:ascii="Arial" w:hAnsi="Arial"/>
        <w:b/>
        <w:bCs/>
        <w:color w:val="CC9900"/>
        <w:szCs w:val="18"/>
      </w:rPr>
    </w:r>
  </w:p>
  <w:p>
    <w:pPr>
      <w:pStyle w:val="Normal"/>
      <w:suppressLineNumbers/>
      <w:pBdr>
        <w:bottom w:val="single" w:sz="4" w:space="5" w:color="000000"/>
      </w:pBdr>
      <w:tabs>
        <w:tab w:val="clear" w:pos="708"/>
        <w:tab w:val="center" w:pos="5386" w:leader="none"/>
        <w:tab w:val="right" w:pos="10772" w:leader="none"/>
      </w:tabs>
      <w:rPr>
        <w:rFonts w:ascii="Arial" w:hAnsi="Arial" w:cs="Arial"/>
        <w:b/>
        <w:bCs/>
        <w:color w:val="CC9900"/>
        <w:szCs w:val="18"/>
      </w:rPr>
    </w:pPr>
    <w:r>
      <w:rPr>
        <w:rFonts w:cs="Arial" w:ascii="Arial" w:hAnsi="Arial"/>
        <w:b/>
        <w:bCs/>
        <w:color w:val="CC9900"/>
        <w:szCs w:val="18"/>
      </w:rPr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37"/>
        </w:tabs>
        <w:ind w:left="113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97"/>
        </w:tabs>
        <w:ind w:left="149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57"/>
        </w:tabs>
        <w:ind w:left="185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17"/>
        </w:tabs>
        <w:ind w:left="221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77"/>
        </w:tabs>
        <w:ind w:left="257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97"/>
        </w:tabs>
        <w:ind w:left="329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57"/>
        </w:tabs>
        <w:ind w:left="3657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a16c1"/>
    <w:pPr>
      <w:widowControl w:val="false"/>
      <w:suppressAutoHyphens w:val="true"/>
      <w:bidi w:val="0"/>
      <w:spacing w:before="0" w:after="0"/>
      <w:jc w:val="left"/>
    </w:pPr>
    <w:rPr>
      <w:rFonts w:ascii="Verdana" w:hAnsi="Verdana" w:eastAsia="DejaVu Sans" w:cs="DejaVu Sans"/>
      <w:color w:val="auto"/>
      <w:kern w:val="0"/>
      <w:sz w:val="18"/>
      <w:szCs w:val="24"/>
      <w:lang w:eastAsia="zh-CN" w:bidi="hi-IN" w:val="es-ES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uiPriority w:val="99"/>
    <w:qFormat/>
    <w:rsid w:val="00ea16c1"/>
    <w:rPr>
      <w:rFonts w:ascii="Verdana" w:hAnsi="Verdana" w:eastAsia="DejaVu Sans" w:cs="Mangal"/>
      <w:kern w:val="0"/>
      <w:sz w:val="18"/>
      <w:szCs w:val="24"/>
      <w:lang w:eastAsia="zh-CN" w:bidi="hi-IN"/>
      <w14:ligatures w14:val="none"/>
    </w:rPr>
  </w:style>
  <w:style w:type="character" w:styleId="PiedepginaCar" w:customStyle="1">
    <w:name w:val="Pie de página Car"/>
    <w:basedOn w:val="DefaultParagraphFont"/>
    <w:uiPriority w:val="99"/>
    <w:qFormat/>
    <w:rsid w:val="00ea16c1"/>
    <w:rPr>
      <w:rFonts w:ascii="Verdana" w:hAnsi="Verdana" w:eastAsia="DejaVu Sans" w:cs="Mangal"/>
      <w:kern w:val="0"/>
      <w:sz w:val="18"/>
      <w:szCs w:val="24"/>
      <w:lang w:eastAsia="zh-CN" w:bidi="hi-IN"/>
      <w14:ligatures w14:val="none"/>
    </w:rPr>
  </w:style>
  <w:style w:type="character" w:styleId="LineNumber">
    <w:name w:val="line number"/>
    <w:qFormat/>
    <w:rPr/>
  </w:style>
  <w:style w:type="character" w:styleId="TextoindependienteCar" w:customStyle="1">
    <w:name w:val="Texto independiente Car"/>
    <w:basedOn w:val="DefaultParagraphFont"/>
    <w:qFormat/>
    <w:rPr>
      <w:sz w:val="24"/>
    </w:rPr>
  </w:style>
  <w:style w:type="character" w:styleId="Hyperlink">
    <w:name w:val="Hyperlink"/>
    <w:basedOn w:val="DefaultParagraphFont"/>
    <w:uiPriority w:val="99"/>
    <w:unhideWhenUsed/>
    <w:rsid w:val="00d44765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d44765"/>
    <w:rPr>
      <w:color w:val="605E5C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Lucida Sans"/>
    </w:rPr>
  </w:style>
  <w:style w:type="paragraph" w:styleId="Cabeceraypieuser" w:customStyle="1">
    <w:name w:val="Cabecera y pie (user)"/>
    <w:basedOn w:val="Normal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"/>
    <w:link w:val="EncabezadoCar"/>
    <w:uiPriority w:val="99"/>
    <w:unhideWhenUsed/>
    <w:rsid w:val="00ea16c1"/>
    <w:pPr>
      <w:tabs>
        <w:tab w:val="clear" w:pos="708"/>
        <w:tab w:val="center" w:pos="4252" w:leader="none"/>
        <w:tab w:val="right" w:pos="8504" w:leader="none"/>
      </w:tabs>
    </w:pPr>
    <w:rPr>
      <w:rFonts w:cs="Mangal"/>
    </w:rPr>
  </w:style>
  <w:style w:type="paragraph" w:styleId="Footer">
    <w:name w:val="footer"/>
    <w:basedOn w:val="Normal"/>
    <w:link w:val="PiedepginaCar"/>
    <w:uiPriority w:val="99"/>
    <w:unhideWhenUsed/>
    <w:rsid w:val="00ea16c1"/>
    <w:pPr>
      <w:tabs>
        <w:tab w:val="clear" w:pos="708"/>
        <w:tab w:val="center" w:pos="4252" w:leader="none"/>
        <w:tab w:val="right" w:pos="8504" w:leader="none"/>
      </w:tabs>
    </w:pPr>
    <w:rPr>
      <w:rFonts w:cs="Mangal"/>
    </w:rPr>
  </w:style>
  <w:style w:type="paragraph" w:styleId="Tablanormal1" w:customStyle="1">
    <w:name w:val="Tabla normal1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Times New Roman" w:hAnsi="Times New Roman" w:eastAsia="Cambria Math" w:cs="Times New Roman"/>
      <w:color w:val="auto"/>
      <w:kern w:val="2"/>
      <w:sz w:val="20"/>
      <w:szCs w:val="20"/>
      <w:lang w:eastAsia="es-ES" w:val="es-ES" w:bidi="ar-SA"/>
      <w14:ligatures w14:val="standardContextual"/>
    </w:rPr>
  </w:style>
  <w:style w:type="numbering" w:styleId="Ningunalista" w:default="1">
    <w:name w:val="Ninguna lista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://www.campanuasturias.com/" TargetMode="Externa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://www.campanuasturias.com/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LibreOffice/24.8.7.2$Windows_X86_64 LibreOffice_project/e07d0a63a46349d29051da79b1fde8160bab2a89</Application>
  <AppVersion>15.0000</AppVersion>
  <Pages>5</Pages>
  <Words>923</Words>
  <Characters>4868</Characters>
  <CharactersWithSpaces>5759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2025-02-28T07:57:00Z</dcterms:created>
  <dc:creator>Cristina MArtínez</dc:creator>
  <dc:description/>
  <dc:language>es-ES</dc:language>
  <cp:lastModifiedBy>Cristina MArtínez</cp:lastModifiedBy>
  <cp:lastPrinted>2025-02-28T07:56:00Z</cp:lastPrinted>
  <dcterms:modified xsi:type="dcterms:W3CDTF">2026-02-05T07:33:00Z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