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Times New Roman" w:hAnsi="Times New Roman"/>
          <w:sz w:val="24"/>
          <w:szCs w:val="24"/>
        </w:rPr>
      </w:pPr>
      <w:r>
        <w:rPr>
          <w:rFonts w:cs="Arial" w:ascii="Times New Roman" w:hAnsi="Times New Roman"/>
          <w:b/>
          <w:sz w:val="24"/>
          <w:szCs w:val="24"/>
          <w:lang w:val="es-ES"/>
        </w:rPr>
        <w:t xml:space="preserve">CONVENIO DE COLABORACIÓN ENTRE EL AYUNTAMIENTO DE MIRANDA DE EBRO Y LA ASOCIACIÓN COMARCAL DE EMPRESARIOS DE COMERCIO Y ACTIVIDADES AFINES (ACECAA) PARA LA FINANCIACIÓN DE LA ‘VI CAMPAÑA BONO-COMERCIO DE DINAMIZACIÓN COMERCIAL’ </w:t>
      </w:r>
    </w:p>
    <w:p>
      <w:pPr>
        <w:pStyle w:val="Normal"/>
        <w:jc w:val="right"/>
        <w:rPr>
          <w:rFonts w:ascii="Times New Roman" w:hAnsi="Times New Roman" w:cs="Arial"/>
          <w:sz w:val="24"/>
          <w:szCs w:val="24"/>
          <w:lang w:val="es-ES"/>
        </w:rPr>
      </w:pPr>
      <w:r>
        <w:rPr>
          <w:rFonts w:cs="Arial" w:ascii="Times New Roman" w:hAnsi="Times New Roman"/>
          <w:sz w:val="24"/>
          <w:szCs w:val="24"/>
          <w:lang w:val="es-ES"/>
        </w:rPr>
      </w:r>
    </w:p>
    <w:p>
      <w:pPr>
        <w:pStyle w:val="Normal"/>
        <w:jc w:val="right"/>
        <w:rPr>
          <w:rFonts w:ascii="Times New Roman" w:hAnsi="Times New Roman"/>
          <w:sz w:val="24"/>
          <w:szCs w:val="24"/>
        </w:rPr>
      </w:pPr>
      <w:r>
        <w:rPr>
          <w:rFonts w:cs="Arial" w:ascii="Times New Roman" w:hAnsi="Times New Roman"/>
          <w:sz w:val="24"/>
          <w:szCs w:val="24"/>
          <w:lang w:val="es-ES"/>
        </w:rPr>
        <w:tab/>
        <w:t>En Miranda de Ebro, a 13 de noviembre de 2024</w:t>
      </w:r>
    </w:p>
    <w:p>
      <w:pPr>
        <w:pStyle w:val="Normal"/>
        <w:jc w:val="center"/>
        <w:rPr>
          <w:rFonts w:ascii="Times New Roman" w:hAnsi="Times New Roman" w:cs="Arial"/>
          <w:b/>
          <w:sz w:val="24"/>
          <w:szCs w:val="24"/>
          <w:lang w:val="es-ES"/>
        </w:rPr>
      </w:pPr>
      <w:r>
        <w:rPr>
          <w:rFonts w:cs="Arial" w:ascii="Times New Roman" w:hAnsi="Times New Roman"/>
          <w:b/>
          <w:sz w:val="24"/>
          <w:szCs w:val="24"/>
          <w:lang w:val="es-ES"/>
        </w:rPr>
      </w:r>
    </w:p>
    <w:p>
      <w:pPr>
        <w:pStyle w:val="Normal"/>
        <w:jc w:val="center"/>
        <w:rPr>
          <w:rFonts w:ascii="Times New Roman" w:hAnsi="Times New Roman"/>
          <w:sz w:val="24"/>
          <w:szCs w:val="24"/>
        </w:rPr>
      </w:pPr>
      <w:r>
        <w:rPr>
          <w:rFonts w:cs="Arial" w:ascii="Times New Roman" w:hAnsi="Times New Roman"/>
          <w:b/>
          <w:sz w:val="24"/>
          <w:szCs w:val="24"/>
          <w:lang w:val="es-ES"/>
        </w:rPr>
        <w:t>REUNIDOS</w:t>
      </w:r>
    </w:p>
    <w:p>
      <w:pPr>
        <w:pStyle w:val="Normal"/>
        <w:jc w:val="both"/>
        <w:rPr>
          <w:rFonts w:ascii="Times New Roman" w:hAnsi="Times New Roman" w:cs="Arial"/>
          <w:b/>
          <w:sz w:val="24"/>
          <w:szCs w:val="24"/>
          <w:lang w:val="es-ES"/>
        </w:rPr>
      </w:pPr>
      <w:r>
        <w:rPr>
          <w:rFonts w:cs="Arial" w:ascii="Times New Roman" w:hAnsi="Times New Roman"/>
          <w:b/>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 xml:space="preserve">DE UNA PARTE, </w:t>
      </w:r>
      <w:r>
        <w:rPr>
          <w:rFonts w:cs="Arial" w:ascii="Times New Roman" w:hAnsi="Times New Roman"/>
          <w:sz w:val="24"/>
          <w:szCs w:val="24"/>
          <w:lang w:val="es-ES"/>
        </w:rPr>
        <w:t>Dña. Aitana Hernando Ruiz, en calidad de Alcaldesa del Excmo. Ayuntamiento de Miranda de Ebro, asistida del Secretario General,  D. José Javier Merino Alonso de Ozalla, a los efectos de dar fe del acto.</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 xml:space="preserve">Y DE OTRA PARTE, </w:t>
      </w:r>
      <w:r>
        <w:rPr>
          <w:rFonts w:cs="Arial" w:ascii="Times New Roman" w:hAnsi="Times New Roman"/>
          <w:sz w:val="24"/>
          <w:szCs w:val="24"/>
          <w:lang w:val="es-ES"/>
        </w:rPr>
        <w:t>Dña. Sonia Araico Mediavilla, con DNI 13</w:t>
      </w:r>
      <w:r>
        <w:rPr>
          <w:rFonts w:cs="Arial" w:ascii="Times New Roman" w:hAnsi="Times New Roman"/>
          <w:sz w:val="24"/>
          <w:szCs w:val="24"/>
          <w:lang w:val="es-ES"/>
        </w:rPr>
        <w:t>****</w:t>
      </w:r>
      <w:r>
        <w:rPr>
          <w:rFonts w:cs="Arial" w:ascii="Times New Roman" w:hAnsi="Times New Roman"/>
          <w:sz w:val="24"/>
          <w:szCs w:val="24"/>
          <w:lang w:val="es-ES"/>
        </w:rPr>
        <w:t>60X, en calidad de presidenta de la ASOCIACIÓN COMARCAL DE EMPRESARIOS  DE COMERCIO Y ACTIVIDADES AFINES (ACECAA)</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sz w:val="24"/>
          <w:szCs w:val="24"/>
          <w:lang w:val="es-ES"/>
        </w:rPr>
        <w:t>Ambas partes con la capacidad legal suficiente que tienen y recíprocamente se reconocen para el otorgamiento del presente CONVENIO DE COLABORACIÓN ENTRE EL AYUNTAMIENTO DE MIRANDA DE EBRO Y LA ASOCIACIÓN COMARCAL DE EMPRESARIOS  DE COMERCIO Y ACTIVIDADES AFINES (en adelante, ACECAA), quien actúa en su propio nombre, para la financiación de la ‘VI CAMPAÑA BONO-COMERCIO DE DINAMIZACIÓN COMERCIAL’</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sz w:val="24"/>
          <w:szCs w:val="24"/>
          <w:lang w:val="es-ES"/>
        </w:rPr>
        <w:tab/>
        <w:tab/>
        <w:tab/>
        <w:tab/>
        <w:tab/>
      </w:r>
      <w:r>
        <w:rPr>
          <w:rFonts w:cs="Arial" w:ascii="Times New Roman" w:hAnsi="Times New Roman"/>
          <w:b/>
          <w:bCs/>
          <w:sz w:val="24"/>
          <w:szCs w:val="24"/>
          <w:lang w:val="es-ES"/>
        </w:rPr>
        <w:t>MANIFIESTAN</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sz w:val="24"/>
          <w:szCs w:val="24"/>
          <w:lang w:val="es-ES"/>
        </w:rPr>
        <w:tab/>
      </w:r>
      <w:r>
        <w:rPr>
          <w:rFonts w:cs="Arial" w:ascii="Times New Roman" w:hAnsi="Times New Roman"/>
          <w:b/>
          <w:bCs/>
          <w:sz w:val="24"/>
          <w:szCs w:val="24"/>
          <w:lang w:val="es-ES"/>
        </w:rPr>
        <w:t>PRIMERO.-</w:t>
      </w:r>
      <w:r>
        <w:rPr>
          <w:rFonts w:cs="Arial" w:ascii="Times New Roman" w:hAnsi="Times New Roman"/>
          <w:sz w:val="24"/>
          <w:szCs w:val="24"/>
          <w:lang w:val="es-ES"/>
        </w:rPr>
        <w:t xml:space="preserve"> Desde el año 2020 -y como consecuencia de la crisis sanitaria y económica derivada de la COVID-19- el Ayuntamiento de Miranda de Ebro ha apoyado al comercio minorista de nuestra ciudad para desarrollar  un total de cinco campañas Bono- Comercio de Dinamización Comercial “Si compras aquí, ganamos todos”, impulsadas por ACECAA, cuyo objetivo ha sido incentivar la compra y el consumo en el comercio local.</w:t>
      </w:r>
    </w:p>
    <w:p>
      <w:pPr>
        <w:pStyle w:val="Normal"/>
        <w:jc w:val="both"/>
        <w:rPr>
          <w:rFonts w:ascii="Times New Roman" w:hAnsi="Times New Roman" w:cs="Arial"/>
          <w:b w:val="false"/>
          <w:bCs w:val="false"/>
          <w:sz w:val="24"/>
          <w:szCs w:val="24"/>
          <w:lang w:val="es-ES"/>
        </w:rPr>
      </w:pPr>
      <w:r>
        <w:rPr>
          <w:rFonts w:cs="Arial" w:ascii="Times New Roman" w:hAnsi="Times New Roman"/>
          <w:b w:val="false"/>
          <w:bCs w:val="false"/>
          <w:sz w:val="24"/>
          <w:szCs w:val="24"/>
          <w:lang w:val="es-ES"/>
        </w:rPr>
      </w:r>
    </w:p>
    <w:p>
      <w:pPr>
        <w:pStyle w:val="Normal"/>
        <w:jc w:val="both"/>
        <w:rPr>
          <w:rFonts w:ascii="Times New Roman" w:hAnsi="Times New Roman"/>
          <w:sz w:val="24"/>
          <w:szCs w:val="24"/>
        </w:rPr>
      </w:pPr>
      <w:r>
        <w:rPr>
          <w:rFonts w:ascii="Times New Roman" w:hAnsi="Times New Roman"/>
          <w:b w:val="false"/>
          <w:bCs w:val="false"/>
          <w:sz w:val="24"/>
          <w:szCs w:val="24"/>
        </w:rPr>
        <w:tab/>
      </w:r>
      <w:r>
        <w:rPr>
          <w:rFonts w:cs="Arial" w:ascii="Times New Roman" w:hAnsi="Times New Roman"/>
          <w:b/>
          <w:bCs/>
          <w:sz w:val="24"/>
          <w:szCs w:val="24"/>
          <w:lang w:val="es-ES"/>
        </w:rPr>
        <w:t>SEGUNDO.-</w:t>
      </w:r>
      <w:r>
        <w:rPr>
          <w:rFonts w:ascii="Times New Roman" w:hAnsi="Times New Roman"/>
          <w:b w:val="false"/>
          <w:bCs w:val="false"/>
          <w:sz w:val="24"/>
          <w:szCs w:val="24"/>
        </w:rPr>
        <w:t xml:space="preserve"> Dado el éxito de anteriores campañas, y con el fin de promover el consumo en el comercio local, trasladando asimismo una imagen positiva del sector, tanto el Ayuntamiento de Miranda de Ebro como ACECAA muestran su deseo de impulsar, en el presente año 2024, la </w:t>
      </w:r>
      <w:bookmarkStart w:id="0" w:name="__DdeLink__18685_1473319518"/>
      <w:bookmarkEnd w:id="0"/>
      <w:r>
        <w:rPr>
          <w:rFonts w:ascii="Times New Roman" w:hAnsi="Times New Roman"/>
          <w:b w:val="false"/>
          <w:bCs w:val="false"/>
          <w:sz w:val="24"/>
          <w:szCs w:val="24"/>
        </w:rPr>
        <w:t>‘VI Campaña Bono-Comercio de Dinamización Comercial’.</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cs="Arial" w:ascii="Times New Roman" w:hAnsi="Times New Roman"/>
          <w:b w:val="false"/>
          <w:bCs w:val="false"/>
          <w:sz w:val="24"/>
          <w:szCs w:val="24"/>
          <w:lang w:val="es-ES"/>
        </w:rPr>
        <w:tab/>
      </w:r>
      <w:r>
        <w:rPr>
          <w:rFonts w:cs="Arial" w:ascii="Times New Roman" w:hAnsi="Times New Roman"/>
          <w:b/>
          <w:bCs/>
          <w:sz w:val="24"/>
          <w:szCs w:val="24"/>
          <w:lang w:val="es-ES"/>
        </w:rPr>
        <w:t xml:space="preserve">TERCERO.- </w:t>
      </w:r>
      <w:r>
        <w:rPr>
          <w:rFonts w:cs="Arial" w:ascii="Times New Roman" w:hAnsi="Times New Roman"/>
          <w:b w:val="false"/>
          <w:bCs w:val="false"/>
          <w:sz w:val="24"/>
          <w:szCs w:val="24"/>
          <w:lang w:val="es-ES"/>
        </w:rPr>
        <w:t xml:space="preserve">Que el coste de la actividad objeto de la ayuda, conforme a la solicitud de firma del Convenio, registrada de entrada </w:t>
      </w:r>
      <w:bookmarkStart w:id="1" w:name="__DdeLink__5210_1053197787"/>
      <w:r>
        <w:rPr>
          <w:rFonts w:cs="Arial" w:ascii="Times New Roman" w:hAnsi="Times New Roman"/>
          <w:b w:val="false"/>
          <w:bCs w:val="false"/>
          <w:sz w:val="24"/>
          <w:szCs w:val="24"/>
          <w:lang w:val="es-ES"/>
        </w:rPr>
        <w:t>el día 1 de octubre de 2024 con número de registro n.º 202</w:t>
      </w:r>
      <w:bookmarkEnd w:id="1"/>
      <w:r>
        <w:rPr>
          <w:rFonts w:cs="Arial" w:ascii="Times New Roman" w:hAnsi="Times New Roman"/>
          <w:b w:val="false"/>
          <w:bCs w:val="false"/>
          <w:sz w:val="24"/>
          <w:szCs w:val="24"/>
          <w:lang w:val="es-ES"/>
        </w:rPr>
        <w:t>4018656, asciende a 53.000 euros. La Asociación ACECAA incluye, entre la documentación presentada, la descripción de la campaña a desarrollar así como los objetivos a alcanzar.</w:t>
      </w:r>
    </w:p>
    <w:p>
      <w:pPr>
        <w:pStyle w:val="Normal"/>
        <w:jc w:val="both"/>
        <w:rPr>
          <w:rFonts w:ascii="Times New Roman" w:hAnsi="Times New Roman" w:cs="Arial"/>
          <w:b w:val="false"/>
          <w:bCs w:val="false"/>
          <w:sz w:val="24"/>
          <w:szCs w:val="24"/>
          <w:lang w:val="es-ES"/>
        </w:rPr>
      </w:pPr>
      <w:r>
        <w:rPr>
          <w:rFonts w:cs="Arial" w:ascii="Times New Roman" w:hAnsi="Times New Roman"/>
          <w:b w:val="false"/>
          <w:bCs w:val="false"/>
          <w:sz w:val="24"/>
          <w:szCs w:val="24"/>
          <w:lang w:val="es-ES"/>
        </w:rPr>
      </w:r>
    </w:p>
    <w:p>
      <w:pPr>
        <w:pStyle w:val="Normal"/>
        <w:jc w:val="both"/>
        <w:rPr>
          <w:rFonts w:ascii="Times New Roman" w:hAnsi="Times New Roman"/>
          <w:sz w:val="24"/>
          <w:szCs w:val="24"/>
        </w:rPr>
      </w:pPr>
      <w:r>
        <w:rPr>
          <w:rFonts w:cs="Arial" w:ascii="Times New Roman" w:hAnsi="Times New Roman"/>
          <w:b w:val="false"/>
          <w:bCs w:val="false"/>
          <w:sz w:val="24"/>
          <w:szCs w:val="24"/>
          <w:lang w:val="es-ES"/>
        </w:rPr>
        <w:tab/>
      </w:r>
      <w:r>
        <w:rPr>
          <w:rFonts w:cs="Arial" w:ascii="Times New Roman" w:hAnsi="Times New Roman"/>
          <w:b/>
          <w:bCs/>
          <w:sz w:val="24"/>
          <w:szCs w:val="24"/>
          <w:lang w:val="es-ES"/>
        </w:rPr>
        <w:t>CUARTO.-</w:t>
      </w:r>
      <w:r>
        <w:rPr>
          <w:rFonts w:cs="Arial" w:ascii="Times New Roman" w:hAnsi="Times New Roman"/>
          <w:b w:val="false"/>
          <w:bCs w:val="false"/>
          <w:sz w:val="24"/>
          <w:szCs w:val="24"/>
          <w:lang w:val="es-ES"/>
        </w:rPr>
        <w:t xml:space="preserve"> Que la Junta de Gobierno Local, en sesión de fecha 5 de noviembre de 2024, ha acordado, entre otros aspectos, conceder a la Asociación ACECAA una subvención de 53.000 euros con cargo a la Partida 4310.47000 del ejercicio 2024 para la ‘VI Campaña Bono-Comercio de Dinamización Comercial’.</w:t>
      </w:r>
    </w:p>
    <w:p>
      <w:pPr>
        <w:pStyle w:val="Normal"/>
        <w:jc w:val="both"/>
        <w:rPr>
          <w:rFonts w:ascii="Times New Roman" w:hAnsi="Times New Roman" w:cs="Arial"/>
          <w:b w:val="false"/>
          <w:bCs w:val="false"/>
          <w:sz w:val="24"/>
          <w:szCs w:val="24"/>
          <w:lang w:val="zxx" w:eastAsia="zxx" w:bidi="zxx"/>
        </w:rPr>
      </w:pPr>
      <w:r>
        <w:rPr>
          <w:rFonts w:cs="Arial" w:ascii="Times New Roman" w:hAnsi="Times New Roman"/>
          <w:b w:val="false"/>
          <w:bCs w:val="false"/>
          <w:sz w:val="24"/>
          <w:szCs w:val="24"/>
          <w:lang w:val="zxx" w:eastAsia="zxx" w:bidi="zxx"/>
        </w:rPr>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 xml:space="preserve">Mostrándose ambas partes conformes con lo manifestado, </w:t>
      </w:r>
      <w:r>
        <w:rPr>
          <w:rFonts w:cs="Arial" w:ascii="Times New Roman" w:hAnsi="Times New Roman"/>
          <w:b/>
          <w:bCs/>
          <w:sz w:val="24"/>
          <w:szCs w:val="24"/>
          <w:lang w:val="zxx" w:eastAsia="zxx" w:bidi="zxx"/>
        </w:rPr>
        <w:t xml:space="preserve">CONVIENEN </w:t>
      </w:r>
      <w:r>
        <w:rPr>
          <w:rFonts w:cs="Arial" w:ascii="Times New Roman" w:hAnsi="Times New Roman"/>
          <w:b w:val="false"/>
          <w:bCs w:val="false"/>
          <w:sz w:val="24"/>
          <w:szCs w:val="24"/>
          <w:lang w:val="zxx" w:eastAsia="zxx" w:bidi="zxx"/>
        </w:rPr>
        <w:t>y</w:t>
      </w:r>
      <w:r>
        <w:rPr>
          <w:rFonts w:cs="Arial" w:ascii="Times New Roman" w:hAnsi="Times New Roman"/>
          <w:b/>
          <w:bCs/>
          <w:sz w:val="24"/>
          <w:szCs w:val="24"/>
          <w:lang w:val="zxx" w:eastAsia="zxx" w:bidi="zxx"/>
        </w:rPr>
        <w:t xml:space="preserve"> ACUERDAN </w:t>
      </w:r>
      <w:r>
        <w:rPr>
          <w:rFonts w:cs="Arial" w:ascii="Times New Roman" w:hAnsi="Times New Roman"/>
          <w:b w:val="false"/>
          <w:bCs w:val="false"/>
          <w:sz w:val="24"/>
          <w:szCs w:val="24"/>
          <w:lang w:val="zxx" w:eastAsia="zxx" w:bidi="zxx"/>
        </w:rPr>
        <w:t>lo siguiente:</w:t>
      </w:r>
      <w:r>
        <w:rPr>
          <w:rFonts w:cs="Arial" w:ascii="Times New Roman" w:hAnsi="Times New Roman"/>
          <w:b/>
          <w:bCs/>
          <w:sz w:val="24"/>
          <w:szCs w:val="24"/>
          <w:lang w:val="zxx" w:eastAsia="zxx" w:bidi="zxx"/>
        </w:rPr>
        <w:t xml:space="preserve"> </w:t>
      </w:r>
    </w:p>
    <w:p>
      <w:pPr>
        <w:pStyle w:val="Normal"/>
        <w:rPr>
          <w:rFonts w:ascii="Times New Roman" w:hAnsi="Times New Roman" w:cs="Arial"/>
          <w:sz w:val="24"/>
          <w:szCs w:val="24"/>
          <w:lang w:val="es-ES"/>
        </w:rPr>
      </w:pPr>
      <w:r>
        <w:rPr>
          <w:rFonts w:cs="Arial" w:ascii="Times New Roman" w:hAnsi="Times New Roman"/>
          <w:sz w:val="24"/>
          <w:szCs w:val="24"/>
          <w:lang w:val="es-ES"/>
        </w:rPr>
      </w:r>
    </w:p>
    <w:p>
      <w:pPr>
        <w:pStyle w:val="Normal"/>
        <w:rPr>
          <w:rFonts w:ascii="Times New Roman" w:hAnsi="Times New Roman"/>
          <w:sz w:val="24"/>
          <w:szCs w:val="24"/>
        </w:rPr>
      </w:pPr>
      <w:r>
        <w:rPr>
          <w:rFonts w:cs="Arial" w:ascii="Times New Roman" w:hAnsi="Times New Roman"/>
          <w:b/>
          <w:sz w:val="24"/>
          <w:szCs w:val="24"/>
          <w:lang w:val="es-ES"/>
        </w:rPr>
        <w:tab/>
        <w:t>PRIMERO.- OBJETO DEL CONVENIO</w:t>
      </w:r>
      <w:r>
        <w:rPr>
          <w:rFonts w:cs="Arial" w:ascii="Times New Roman" w:hAnsi="Times New Roman"/>
          <w:sz w:val="24"/>
          <w:szCs w:val="24"/>
          <w:lang w:val="es-ES"/>
        </w:rPr>
        <w:tab/>
      </w:r>
    </w:p>
    <w:p>
      <w:pPr>
        <w:pStyle w:val="Normal"/>
        <w:jc w:val="both"/>
        <w:rPr>
          <w:rFonts w:ascii="Times New Roman" w:hAnsi="Times New Roman"/>
          <w:sz w:val="24"/>
          <w:szCs w:val="24"/>
        </w:rPr>
      </w:pPr>
      <w:r>
        <w:rPr>
          <w:rFonts w:cs="Arial" w:ascii="Times New Roman" w:hAnsi="Times New Roman"/>
          <w:sz w:val="24"/>
          <w:szCs w:val="24"/>
          <w:lang w:val="es-ES"/>
        </w:rPr>
        <w:tab/>
        <w:t>El objeto de este Convenio es regular la colaboración entre el  Ayuntamiento de Miranda de Ebro y ACECAA para el desarrollo de la ‘VI Campaña Bono- Comercio de Dinamización Comercial’, que tiene como objetivo reactivar la economía de la localidad, promoviendo el consumo en el comercio local, sector que atraviesa actualmente una situación complicada como consecuencia, entre otros factores, del aumento del comercio electrónico</w:t>
      </w:r>
      <w:r>
        <w:rPr>
          <w:rFonts w:cs="Arial" w:ascii="Times New Roman" w:hAnsi="Times New Roman"/>
          <w:b w:val="false"/>
          <w:bCs w:val="false"/>
          <w:sz w:val="24"/>
          <w:szCs w:val="24"/>
          <w:lang w:val="zxx" w:eastAsia="zxx" w:bidi="zxx"/>
        </w:rPr>
        <w:t xml:space="preserve">. </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ab/>
        <w:t>SEGUNDO.- PRESUPUESTO Y FINANCIACIÓN</w:t>
      </w:r>
    </w:p>
    <w:p>
      <w:pPr>
        <w:pStyle w:val="Normal"/>
        <w:jc w:val="both"/>
        <w:rPr>
          <w:rFonts w:ascii="Times New Roman" w:hAnsi="Times New Roman"/>
          <w:sz w:val="24"/>
          <w:szCs w:val="24"/>
        </w:rPr>
      </w:pPr>
      <w:r>
        <w:rPr>
          <w:rFonts w:cs="Arial" w:ascii="Times New Roman" w:hAnsi="Times New Roman"/>
          <w:b/>
          <w:sz w:val="24"/>
          <w:szCs w:val="24"/>
          <w:lang w:val="es-ES"/>
        </w:rPr>
        <w:tab/>
      </w:r>
      <w:r>
        <w:rPr>
          <w:rFonts w:cs="Arial" w:ascii="Times New Roman" w:hAnsi="Times New Roman"/>
          <w:b w:val="false"/>
          <w:bCs w:val="false"/>
          <w:sz w:val="24"/>
          <w:szCs w:val="24"/>
          <w:lang w:val="es-ES"/>
        </w:rPr>
        <w:t xml:space="preserve">La ‘VI Campaña Bono-Comercio de Dinamización Comercial’, cuyo fin es incentivar la compra en el comercio minorista de Miranda de Ebro, contará con un presupuesto de 53.000 euros. </w:t>
      </w:r>
      <w:r>
        <w:rPr>
          <w:rFonts w:cs="Arial" w:ascii="Times New Roman" w:hAnsi="Times New Roman"/>
          <w:b w:val="false"/>
          <w:bCs w:val="false"/>
          <w:sz w:val="24"/>
          <w:szCs w:val="24"/>
          <w:lang w:val="zxx" w:eastAsia="zxx" w:bidi="zxx"/>
        </w:rPr>
        <w:t xml:space="preserve">Los beneficiarios de la campaña serán, por un lado, los comerciantes mirandeses que se adhieran a la campaña al fomentarse las compras en sus locales, si bien será el consumidor final el que obtendrá un mayor beneficio, siendo éste el destinatario de la reducción del precio de la compra gracias al importe de la subvención. </w:t>
      </w:r>
    </w:p>
    <w:p>
      <w:pPr>
        <w:pStyle w:val="Normal"/>
        <w:jc w:val="both"/>
        <w:rPr>
          <w:rFonts w:ascii="Times New Roman" w:hAnsi="Times New Roman"/>
          <w:sz w:val="24"/>
          <w:szCs w:val="24"/>
        </w:rPr>
      </w:pPr>
      <w:r>
        <w:rPr>
          <w:rFonts w:cs="Arial" w:ascii="Times New Roman" w:hAnsi="Times New Roman"/>
          <w:sz w:val="24"/>
          <w:szCs w:val="24"/>
          <w:lang w:val="es-ES"/>
        </w:rPr>
        <w:tab/>
        <w:t xml:space="preserve">La campaña está financiada por el Ayuntamiento de Miranda de Ebro con un importe de 53.000 euros, de los cuales 50.000 se destinarán a la subvención de los bonos y 3.000 euros a gastos de la campaña relativos a la impresión de bonos, cartelería, flyers, reparto y publicidad. Dicho importe se destinará íntegramente a la subvención de las compras realizadas por los consumidores que presenten los correspondiente bonos que distribuirá ACECAA, según se especifica en la </w:t>
      </w:r>
      <w:r>
        <w:rPr>
          <w:rFonts w:cs="Arial" w:ascii="Times New Roman" w:hAnsi="Times New Roman"/>
          <w:color w:val="00000A"/>
          <w:sz w:val="24"/>
          <w:szCs w:val="24"/>
          <w:lang w:val="es-ES"/>
        </w:rPr>
        <w:t>Cláusula Tercera</w:t>
      </w:r>
      <w:r>
        <w:rPr>
          <w:rFonts w:cs="Arial" w:ascii="Times New Roman" w:hAnsi="Times New Roman"/>
          <w:sz w:val="24"/>
          <w:szCs w:val="24"/>
          <w:lang w:val="es-ES"/>
        </w:rPr>
        <w:t>.</w:t>
      </w:r>
    </w:p>
    <w:p>
      <w:pPr>
        <w:pStyle w:val="Normal"/>
        <w:jc w:val="both"/>
        <w:rPr>
          <w:rFonts w:ascii="Times New Roman" w:hAnsi="Times New Roman"/>
          <w:sz w:val="24"/>
          <w:szCs w:val="24"/>
        </w:rPr>
      </w:pPr>
      <w:r>
        <w:rPr>
          <w:rFonts w:cs="Arial" w:ascii="Times New Roman" w:hAnsi="Times New Roman"/>
          <w:sz w:val="24"/>
          <w:szCs w:val="24"/>
          <w:lang w:val="es-ES"/>
        </w:rPr>
        <w:tab/>
        <w:t>La campaña se dirigirá exclusivamente al comercio minorista con establecimiento comercial en Miranda de Ebro. Podrán adherirse a la campaña los siguientes establecimientos:</w:t>
      </w:r>
    </w:p>
    <w:p>
      <w:pPr>
        <w:pStyle w:val="ListParagraph"/>
        <w:jc w:val="both"/>
        <w:rPr>
          <w:rFonts w:ascii="Times New Roman" w:hAnsi="Times New Roman" w:cs="Arial"/>
          <w:sz w:val="24"/>
          <w:szCs w:val="24"/>
          <w:lang w:val="es-ES"/>
        </w:rPr>
      </w:pPr>
      <w:r>
        <w:rPr>
          <w:rFonts w:cs="Arial" w:ascii="Times New Roman" w:hAnsi="Times New Roman"/>
          <w:sz w:val="24"/>
          <w:szCs w:val="24"/>
          <w:lang w:val="es-ES"/>
        </w:rPr>
      </w:r>
    </w:p>
    <w:p>
      <w:pPr>
        <w:pStyle w:val="ListParagraph"/>
        <w:jc w:val="both"/>
        <w:rPr>
          <w:rFonts w:ascii="Times New Roman" w:hAnsi="Times New Roman"/>
          <w:sz w:val="24"/>
          <w:szCs w:val="24"/>
        </w:rPr>
      </w:pPr>
      <w:r>
        <w:rPr>
          <w:rFonts w:cs="Arial" w:ascii="Times New Roman" w:hAnsi="Times New Roman"/>
          <w:sz w:val="24"/>
          <w:szCs w:val="24"/>
          <w:lang w:val="es-ES"/>
        </w:rPr>
        <w:t>*Comercios de hasta 10 empleados que desarrollen una actividad encuadrada en los epígrafes del CNAE, sección G, división 47 de comercio al por menor</w:t>
      </w:r>
    </w:p>
    <w:p>
      <w:pPr>
        <w:pStyle w:val="ListParagraph"/>
        <w:jc w:val="both"/>
        <w:rPr>
          <w:rFonts w:ascii="Times New Roman" w:hAnsi="Times New Roman" w:cs="Arial"/>
          <w:sz w:val="24"/>
          <w:szCs w:val="24"/>
          <w:lang w:val="es-ES"/>
        </w:rPr>
      </w:pPr>
      <w:r>
        <w:rPr>
          <w:rFonts w:cs="Arial" w:ascii="Times New Roman" w:hAnsi="Times New Roman"/>
          <w:sz w:val="24"/>
          <w:szCs w:val="24"/>
          <w:lang w:val="es-ES"/>
        </w:rPr>
      </w:r>
    </w:p>
    <w:p>
      <w:pPr>
        <w:pStyle w:val="ListParagraph"/>
        <w:jc w:val="both"/>
        <w:rPr>
          <w:rFonts w:ascii="Times New Roman" w:hAnsi="Times New Roman"/>
          <w:sz w:val="24"/>
          <w:szCs w:val="24"/>
        </w:rPr>
      </w:pPr>
      <w:r>
        <w:rPr>
          <w:rFonts w:cs="Arial" w:ascii="Times New Roman" w:hAnsi="Times New Roman"/>
          <w:sz w:val="24"/>
          <w:szCs w:val="24"/>
          <w:lang w:val="es-ES"/>
        </w:rPr>
        <w:t>Se exceptúan los siguientes grupos:</w:t>
      </w:r>
    </w:p>
    <w:p>
      <w:pPr>
        <w:pStyle w:val="ListParagraph"/>
        <w:jc w:val="both"/>
        <w:rPr>
          <w:rFonts w:ascii="Times New Roman" w:hAnsi="Times New Roman" w:cs="Arial"/>
          <w:sz w:val="24"/>
          <w:szCs w:val="24"/>
          <w:lang w:val="es-ES"/>
        </w:rPr>
      </w:pPr>
      <w:r>
        <w:rPr>
          <w:rFonts w:cs="Arial" w:ascii="Times New Roman" w:hAnsi="Times New Roman"/>
          <w:sz w:val="24"/>
          <w:szCs w:val="24"/>
          <w:lang w:val="es-ES"/>
        </w:rPr>
      </w:r>
    </w:p>
    <w:p>
      <w:pPr>
        <w:pStyle w:val="ListParagraph"/>
        <w:jc w:val="both"/>
        <w:rPr>
          <w:rFonts w:ascii="Times New Roman" w:hAnsi="Times New Roman" w:cs="Arial"/>
          <w:sz w:val="24"/>
          <w:szCs w:val="24"/>
          <w:lang w:val="es-ES"/>
        </w:rPr>
      </w:pPr>
      <w:r>
        <w:rPr>
          <w:rFonts w:cs="Arial" w:ascii="Times New Roman" w:hAnsi="Times New Roman"/>
          <w:sz w:val="24"/>
          <w:szCs w:val="24"/>
          <w:lang w:val="es-ES"/>
        </w:rPr>
      </w:r>
    </w:p>
    <w:p>
      <w:pPr>
        <w:pStyle w:val="ListParagraph"/>
        <w:jc w:val="both"/>
        <w:rPr>
          <w:rFonts w:ascii="Times New Roman" w:hAnsi="Times New Roman"/>
          <w:sz w:val="24"/>
          <w:szCs w:val="24"/>
        </w:rPr>
      </w:pPr>
      <w:r>
        <w:rPr>
          <w:rFonts w:cs="Arial" w:ascii="Times New Roman" w:hAnsi="Times New Roman"/>
          <w:sz w:val="24"/>
          <w:szCs w:val="24"/>
          <w:lang w:val="es-ES"/>
        </w:rPr>
        <w:t xml:space="preserve">-Grupo </w:t>
      </w:r>
      <w:r>
        <w:rPr>
          <w:rFonts w:cs="Arial" w:ascii="Times New Roman" w:hAnsi="Times New Roman"/>
          <w:color w:val="000000"/>
          <w:sz w:val="24"/>
          <w:szCs w:val="24"/>
          <w:lang w:val="es-ES"/>
        </w:rPr>
        <w:t>47.26</w:t>
      </w:r>
      <w:r>
        <w:rPr>
          <w:rFonts w:cs="Arial" w:ascii="Times New Roman" w:hAnsi="Times New Roman"/>
          <w:sz w:val="24"/>
          <w:szCs w:val="24"/>
          <w:lang w:val="es-ES"/>
        </w:rPr>
        <w:t xml:space="preserve"> de comercio al por menor de productos de tabaco en establecimientos especializados.</w:t>
      </w:r>
    </w:p>
    <w:p>
      <w:pPr>
        <w:pStyle w:val="ListParagraph"/>
        <w:jc w:val="both"/>
        <w:rPr>
          <w:rFonts w:ascii="Times New Roman" w:hAnsi="Times New Roman" w:cs="Arial"/>
          <w:sz w:val="24"/>
          <w:szCs w:val="24"/>
          <w:lang w:val="es-ES"/>
        </w:rPr>
      </w:pPr>
      <w:r>
        <w:rPr>
          <w:rFonts w:cs="Arial" w:ascii="Times New Roman" w:hAnsi="Times New Roman"/>
          <w:sz w:val="24"/>
          <w:szCs w:val="24"/>
          <w:lang w:val="es-ES"/>
        </w:rPr>
      </w:r>
    </w:p>
    <w:p>
      <w:pPr>
        <w:pStyle w:val="ListParagraph"/>
        <w:jc w:val="both"/>
        <w:rPr>
          <w:rFonts w:ascii="Times New Roman" w:hAnsi="Times New Roman"/>
          <w:sz w:val="24"/>
          <w:szCs w:val="24"/>
        </w:rPr>
      </w:pPr>
      <w:r>
        <w:rPr>
          <w:rFonts w:cs="Arial" w:ascii="Times New Roman" w:hAnsi="Times New Roman"/>
          <w:sz w:val="24"/>
          <w:szCs w:val="24"/>
          <w:lang w:val="es-ES"/>
        </w:rPr>
        <w:t xml:space="preserve">-Grupo </w:t>
      </w:r>
      <w:r>
        <w:rPr>
          <w:rFonts w:cs="Arial" w:ascii="Times New Roman" w:hAnsi="Times New Roman"/>
          <w:color w:val="000000"/>
          <w:sz w:val="24"/>
          <w:szCs w:val="24"/>
          <w:lang w:val="es-ES"/>
        </w:rPr>
        <w:t xml:space="preserve">47.3 </w:t>
      </w:r>
      <w:r>
        <w:rPr>
          <w:rFonts w:cs="Arial" w:ascii="Times New Roman" w:hAnsi="Times New Roman"/>
          <w:sz w:val="24"/>
          <w:szCs w:val="24"/>
          <w:lang w:val="es-ES"/>
        </w:rPr>
        <w:t>de comercio al por menor de combustible para la automoción en establecimiento especializados.</w:t>
      </w:r>
    </w:p>
    <w:p>
      <w:pPr>
        <w:pStyle w:val="ListParagraph"/>
        <w:jc w:val="both"/>
        <w:rPr>
          <w:rFonts w:ascii="Times New Roman" w:hAnsi="Times New Roman" w:cs="Arial"/>
          <w:sz w:val="24"/>
          <w:szCs w:val="24"/>
          <w:lang w:val="es-ES"/>
        </w:rPr>
      </w:pPr>
      <w:r>
        <w:rPr>
          <w:rFonts w:cs="Arial" w:ascii="Times New Roman" w:hAnsi="Times New Roman"/>
          <w:sz w:val="24"/>
          <w:szCs w:val="24"/>
          <w:lang w:val="es-ES"/>
        </w:rPr>
      </w:r>
    </w:p>
    <w:p>
      <w:pPr>
        <w:pStyle w:val="ListParagraph"/>
        <w:jc w:val="both"/>
        <w:rPr>
          <w:rFonts w:ascii="Times New Roman" w:hAnsi="Times New Roman"/>
          <w:sz w:val="24"/>
          <w:szCs w:val="24"/>
        </w:rPr>
      </w:pPr>
      <w:r>
        <w:rPr>
          <w:rFonts w:cs="Arial" w:ascii="Times New Roman" w:hAnsi="Times New Roman"/>
          <w:sz w:val="24"/>
          <w:szCs w:val="24"/>
          <w:lang w:val="es-ES"/>
        </w:rPr>
        <w:t xml:space="preserve">-Grupo </w:t>
      </w:r>
      <w:r>
        <w:rPr>
          <w:rFonts w:cs="Arial" w:ascii="Times New Roman" w:hAnsi="Times New Roman"/>
          <w:color w:val="000000"/>
          <w:sz w:val="24"/>
          <w:szCs w:val="24"/>
          <w:lang w:val="es-ES"/>
        </w:rPr>
        <w:t xml:space="preserve">47.8 </w:t>
      </w:r>
      <w:r>
        <w:rPr>
          <w:rFonts w:cs="Arial" w:ascii="Times New Roman" w:hAnsi="Times New Roman"/>
          <w:sz w:val="24"/>
          <w:szCs w:val="24"/>
          <w:lang w:val="es-ES"/>
        </w:rPr>
        <w:t>de comercio al por menor en puestos de venta y mercadillos.</w:t>
      </w:r>
    </w:p>
    <w:p>
      <w:pPr>
        <w:pStyle w:val="Normal"/>
        <w:jc w:val="both"/>
        <w:rPr>
          <w:rFonts w:ascii="Times New Roman" w:hAnsi="Times New Roman"/>
          <w:sz w:val="24"/>
          <w:szCs w:val="24"/>
        </w:rPr>
      </w:pPr>
      <w:r>
        <w:rPr>
          <w:rFonts w:cs="Arial" w:ascii="Times New Roman" w:hAnsi="Times New Roman"/>
          <w:sz w:val="24"/>
          <w:szCs w:val="24"/>
          <w:lang w:val="es-ES"/>
        </w:rPr>
        <w:tab/>
        <w:t xml:space="preserve">-Grupo </w:t>
      </w:r>
      <w:r>
        <w:rPr>
          <w:rFonts w:cs="Arial" w:ascii="Times New Roman" w:hAnsi="Times New Roman"/>
          <w:color w:val="000000"/>
          <w:sz w:val="24"/>
          <w:szCs w:val="24"/>
          <w:lang w:val="es-ES"/>
        </w:rPr>
        <w:t>47.9</w:t>
      </w:r>
      <w:r>
        <w:rPr>
          <w:rFonts w:cs="Arial" w:ascii="Times New Roman" w:hAnsi="Times New Roman"/>
          <w:sz w:val="24"/>
          <w:szCs w:val="24"/>
          <w:lang w:val="es-ES"/>
        </w:rPr>
        <w:t xml:space="preserve"> de comercio al por menor no realizado en establecimientos </w:t>
        <w:tab/>
        <w:t>ni en puestos de venta ni en mercadillos.</w:t>
      </w:r>
    </w:p>
    <w:p>
      <w:pPr>
        <w:pStyle w:val="Normal"/>
        <w:jc w:val="both"/>
        <w:rPr>
          <w:rFonts w:ascii="Times New Roman" w:hAnsi="Times New Roman"/>
          <w:sz w:val="24"/>
          <w:szCs w:val="24"/>
        </w:rPr>
      </w:pPr>
      <w:r>
        <w:rPr>
          <w:rFonts w:cs="Arial" w:ascii="Times New Roman" w:hAnsi="Times New Roman"/>
          <w:sz w:val="24"/>
          <w:szCs w:val="24"/>
          <w:lang w:val="es-ES"/>
        </w:rPr>
        <w:tab/>
        <w:t>Asimismo, quedan excluidos las pymes y autónomos de servicios así como los establecimientos de hostelería y restauración.</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b/>
          <w:bCs/>
          <w:sz w:val="24"/>
          <w:szCs w:val="24"/>
          <w:lang w:val="es-ES"/>
        </w:rPr>
        <w:tab/>
        <w:t xml:space="preserve">TERCERO.- </w:t>
      </w:r>
      <w:r>
        <w:rPr>
          <w:rFonts w:cs="Arial" w:ascii="Times New Roman" w:hAnsi="Times New Roman"/>
          <w:b/>
          <w:sz w:val="24"/>
          <w:szCs w:val="24"/>
          <w:lang w:val="es-ES"/>
        </w:rPr>
        <w:t>DESARROLLO DE  LA CAMPAÑA</w:t>
      </w:r>
      <w:r>
        <w:rPr>
          <w:rFonts w:cs="Arial" w:ascii="Times New Roman" w:hAnsi="Times New Roman"/>
          <w:sz w:val="24"/>
          <w:szCs w:val="24"/>
          <w:lang w:val="es-ES"/>
        </w:rPr>
        <w:tab/>
      </w:r>
    </w:p>
    <w:p>
      <w:pPr>
        <w:pStyle w:val="Normal"/>
        <w:jc w:val="both"/>
        <w:rPr>
          <w:rFonts w:ascii="Times New Roman" w:hAnsi="Times New Roman"/>
          <w:sz w:val="24"/>
          <w:szCs w:val="24"/>
        </w:rPr>
      </w:pPr>
      <w:r>
        <w:rPr>
          <w:rFonts w:cs="Arial" w:ascii="Times New Roman" w:hAnsi="Times New Roman"/>
          <w:sz w:val="24"/>
          <w:szCs w:val="24"/>
          <w:lang w:val="es-ES"/>
        </w:rPr>
        <w:tab/>
        <w:t>La campaña se inició el 4 de noviembre y finaliza el 14 de diciembre de 2024.</w:t>
      </w:r>
    </w:p>
    <w:p>
      <w:pPr>
        <w:pStyle w:val="Normal"/>
        <w:jc w:val="both"/>
        <w:rPr>
          <w:rFonts w:ascii="Times New Roman" w:hAnsi="Times New Roman"/>
          <w:sz w:val="24"/>
          <w:szCs w:val="24"/>
        </w:rPr>
      </w:pPr>
      <w:r>
        <w:rPr>
          <w:rFonts w:cs="Arial" w:ascii="Times New Roman" w:hAnsi="Times New Roman"/>
          <w:sz w:val="24"/>
          <w:szCs w:val="24"/>
          <w:lang w:val="es-ES"/>
        </w:rPr>
        <w:tab/>
        <w:t>Para tal fin, ACECAA confecciona un total de 6.050 bonos, cuya venta se realizó de forma física.</w:t>
      </w:r>
    </w:p>
    <w:p>
      <w:pPr>
        <w:pStyle w:val="Normal"/>
        <w:jc w:val="both"/>
        <w:rPr>
          <w:rFonts w:ascii="Times New Roman" w:hAnsi="Times New Roman"/>
          <w:sz w:val="24"/>
          <w:szCs w:val="24"/>
        </w:rPr>
      </w:pPr>
      <w:r>
        <w:rPr>
          <w:rFonts w:cs="Arial" w:ascii="Times New Roman" w:hAnsi="Times New Roman"/>
          <w:sz w:val="24"/>
          <w:szCs w:val="24"/>
          <w:lang w:val="es-ES"/>
        </w:rPr>
        <w:tab/>
        <w:t>Los bonos tienen un valor inicial de 10 euros y de 30 euros.</w:t>
      </w:r>
    </w:p>
    <w:p>
      <w:pPr>
        <w:pStyle w:val="Normal"/>
        <w:jc w:val="both"/>
        <w:rPr>
          <w:rFonts w:ascii="Times New Roman" w:hAnsi="Times New Roman"/>
          <w:sz w:val="24"/>
          <w:szCs w:val="24"/>
        </w:rPr>
      </w:pPr>
      <w:r>
        <w:rPr>
          <w:rFonts w:cs="Arial" w:ascii="Times New Roman" w:hAnsi="Times New Roman"/>
          <w:sz w:val="24"/>
          <w:szCs w:val="24"/>
          <w:lang w:val="es-ES"/>
        </w:rPr>
        <w:tab/>
        <w:t xml:space="preserve">Los bonos de 10 euros tienen un coste para el comprador de 7 euros, de tal manera que los 3 euros restantes se corresponden con la cantidad en que se beneficia el comprador (30%) </w:t>
      </w:r>
      <w:bookmarkStart w:id="2" w:name="__DdeLink__6419_1111860350"/>
      <w:bookmarkEnd w:id="2"/>
      <w:r>
        <w:rPr>
          <w:rFonts w:cs="Arial" w:ascii="Times New Roman" w:hAnsi="Times New Roman"/>
          <w:sz w:val="24"/>
          <w:szCs w:val="24"/>
          <w:lang w:val="es-ES"/>
        </w:rPr>
        <w:t>y que está subvencionada por el Ayuntamiento de Miranda de Ebro. En total, se distribuyen un total de 1.500 bonos de 10 euros, con un valor en el mercado de 15.000 euros.</w:t>
      </w:r>
    </w:p>
    <w:p>
      <w:pPr>
        <w:pStyle w:val="Normal"/>
        <w:jc w:val="both"/>
        <w:rPr>
          <w:rFonts w:ascii="Times New Roman" w:hAnsi="Times New Roman"/>
          <w:sz w:val="24"/>
          <w:szCs w:val="24"/>
        </w:rPr>
      </w:pPr>
      <w:r>
        <w:rPr>
          <w:rFonts w:cs="Arial" w:ascii="Times New Roman" w:hAnsi="Times New Roman"/>
          <w:sz w:val="24"/>
          <w:szCs w:val="24"/>
          <w:lang w:val="es-ES"/>
        </w:rPr>
        <w:tab/>
        <w:t>Los bonos de 30 euros tienen un coste para el comprador de 20 euros, de tal manera que los 10 euros restantes se corresponden con la cantidad en que se beneficia el comprador  (33,33%) y</w:t>
      </w:r>
      <w:r>
        <w:rPr>
          <w:rFonts w:cs="Arial" w:ascii="Times New Roman" w:hAnsi="Times New Roman"/>
          <w:color w:val="000000"/>
          <w:sz w:val="24"/>
          <w:szCs w:val="24"/>
          <w:lang w:val="es-ES"/>
        </w:rPr>
        <w:t xml:space="preserve"> que está subvencionada por el Ayuntamiento de Miranda de Ebro. En total, se distribuyen un total de 4.550 bonos de 30 euros, con un valor en el mercado de 136.500 euros.</w:t>
      </w:r>
    </w:p>
    <w:p>
      <w:pPr>
        <w:pStyle w:val="Normal"/>
        <w:jc w:val="both"/>
        <w:rPr>
          <w:rFonts w:ascii="Times New Roman" w:hAnsi="Times New Roman"/>
          <w:sz w:val="24"/>
          <w:szCs w:val="24"/>
        </w:rPr>
      </w:pPr>
      <w:r>
        <w:rPr>
          <w:rFonts w:cs="Arial" w:ascii="Times New Roman" w:hAnsi="Times New Roman"/>
          <w:sz w:val="24"/>
          <w:szCs w:val="24"/>
          <w:lang w:val="es-ES"/>
        </w:rPr>
        <w:tab/>
        <w:t>Los bonos descuento irán asociados a un DNI.</w:t>
      </w:r>
    </w:p>
    <w:p>
      <w:pPr>
        <w:pStyle w:val="Normal"/>
        <w:jc w:val="both"/>
        <w:rPr>
          <w:rFonts w:ascii="Times New Roman" w:hAnsi="Times New Roman"/>
          <w:sz w:val="24"/>
          <w:szCs w:val="24"/>
        </w:rPr>
      </w:pPr>
      <w:r>
        <w:rPr>
          <w:rFonts w:cs="Arial" w:ascii="Times New Roman" w:hAnsi="Times New Roman"/>
          <w:sz w:val="24"/>
          <w:szCs w:val="24"/>
          <w:lang w:val="es-ES"/>
        </w:rPr>
        <w:tab/>
        <w:t>En ningún caso pueden utilizarse los bonos para el consumo de bebidas alcohólicas de alta graduación o la adquisición de tabacos.</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ab/>
      </w:r>
      <w:r>
        <w:rPr>
          <w:rFonts w:cs="Arial" w:ascii="Times New Roman" w:hAnsi="Times New Roman"/>
          <w:b/>
          <w:bCs/>
          <w:color w:val="00000A"/>
          <w:sz w:val="24"/>
          <w:szCs w:val="24"/>
          <w:lang w:val="es-ES"/>
        </w:rPr>
        <w:t>CUARTO.- COMPROMISOS</w:t>
      </w:r>
    </w:p>
    <w:p>
      <w:pPr>
        <w:pStyle w:val="Normal"/>
        <w:jc w:val="both"/>
        <w:rPr>
          <w:rFonts w:ascii="Times New Roman" w:hAnsi="Times New Roman"/>
          <w:sz w:val="24"/>
          <w:szCs w:val="24"/>
        </w:rPr>
      </w:pPr>
      <w:r>
        <w:rPr>
          <w:rFonts w:cs="Arial" w:ascii="Times New Roman" w:hAnsi="Times New Roman"/>
          <w:b w:val="false"/>
          <w:bCs w:val="false"/>
          <w:color w:val="00000A"/>
          <w:sz w:val="24"/>
          <w:szCs w:val="24"/>
          <w:lang w:val="es-ES"/>
        </w:rPr>
        <w:tab/>
      </w:r>
      <w:r>
        <w:rPr>
          <w:rFonts w:cs="Arial" w:ascii="Times New Roman" w:hAnsi="Times New Roman"/>
          <w:b w:val="false"/>
          <w:bCs w:val="false"/>
          <w:i w:val="false"/>
          <w:iCs w:val="false"/>
          <w:sz w:val="24"/>
          <w:szCs w:val="24"/>
          <w:lang w:val="es-ES"/>
        </w:rPr>
        <w:t xml:space="preserve">El presupuesto de 2024 contempla una subvención nominativa para una campaña de bonos mediante la suscripción de un convenio de colaboración con ACECAA. El importe contemplado para este fin se consignó en la Partida presupuestaria 4310/ 47000 (Ayudas a autónomos y Pymes/ Comercio) por importe de 24.000 euros, cantidad que posteriormente se incrementó a 29.000 euros tras la realización de un modificado de créditos. </w:t>
      </w:r>
      <w:r>
        <w:rPr>
          <w:rFonts w:cs="Arial" w:ascii="Times New Roman" w:hAnsi="Times New Roman"/>
          <w:b w:val="false"/>
          <w:bCs w:val="false"/>
          <w:i w:val="false"/>
          <w:iCs w:val="false"/>
          <w:color w:val="auto"/>
          <w:sz w:val="24"/>
          <w:szCs w:val="24"/>
          <w:lang w:val="es-ES"/>
        </w:rPr>
        <w:t xml:space="preserve">Por otro lado, se incrementó dicha partida en 24.000 euros como consecuencia de un modificado de créditos. </w:t>
      </w:r>
    </w:p>
    <w:p>
      <w:pPr>
        <w:pStyle w:val="Normal"/>
        <w:jc w:val="both"/>
        <w:rPr>
          <w:rFonts w:ascii="Times New Roman" w:hAnsi="Times New Roman"/>
          <w:sz w:val="24"/>
          <w:szCs w:val="24"/>
        </w:rPr>
      </w:pPr>
      <w:r>
        <w:rPr>
          <w:rFonts w:cs="Arial" w:ascii="Times New Roman" w:hAnsi="Times New Roman"/>
          <w:b w:val="false"/>
          <w:bCs w:val="false"/>
          <w:i w:val="false"/>
          <w:iCs w:val="false"/>
          <w:color w:val="auto"/>
          <w:sz w:val="24"/>
          <w:szCs w:val="24"/>
          <w:lang w:val="es-ES"/>
        </w:rPr>
        <w:tab/>
        <w:t>Por tanto, la consignación efectiva del importe total de la campaña (53.000 euros).</w:t>
      </w:r>
    </w:p>
    <w:p>
      <w:pPr>
        <w:pStyle w:val="Normal"/>
        <w:jc w:val="both"/>
        <w:rPr>
          <w:rFonts w:ascii="Times New Roman" w:hAnsi="Times New Roman"/>
          <w:sz w:val="24"/>
          <w:szCs w:val="24"/>
        </w:rPr>
      </w:pPr>
      <w:r>
        <w:rPr>
          <w:rFonts w:cs="Arial" w:ascii="Times New Roman" w:hAnsi="Times New Roman"/>
          <w:b w:val="false"/>
          <w:bCs w:val="false"/>
          <w:color w:val="00000A"/>
          <w:sz w:val="24"/>
          <w:szCs w:val="24"/>
          <w:lang w:val="es-ES"/>
        </w:rPr>
        <w:tab/>
        <w:t xml:space="preserve">Con respecto a ACECAA, dicha asociación se compromete a aportar los recursos propios necesarios para el correcto desarrollo y gestión de la campaña. No obstante, para compensar estos gastos, la Asociación establece una cuota a abonar por cada establecimiento participante y que es de 2 euros por cada bono de 30 euros y de 0,70 euros por cada bono de 10 euros. Los asociados de ACECAA no abonarán cantidad alguna. </w:t>
      </w:r>
    </w:p>
    <w:p>
      <w:pPr>
        <w:pStyle w:val="Normal"/>
        <w:jc w:val="both"/>
        <w:rPr>
          <w:rFonts w:ascii="Times New Roman" w:hAnsi="Times New Roman" w:cs="Arial"/>
          <w:b w:val="false"/>
          <w:bCs w:val="false"/>
          <w:color w:val="00000A"/>
          <w:sz w:val="24"/>
          <w:szCs w:val="24"/>
          <w:lang w:val="es-ES"/>
        </w:rPr>
      </w:pPr>
      <w:r>
        <w:rPr>
          <w:rFonts w:cs="Arial" w:ascii="Times New Roman" w:hAnsi="Times New Roman"/>
          <w:b w:val="false"/>
          <w:bCs w:val="false"/>
          <w:color w:val="00000A"/>
          <w:sz w:val="24"/>
          <w:szCs w:val="24"/>
          <w:lang w:val="es-ES"/>
        </w:rPr>
      </w:r>
    </w:p>
    <w:p>
      <w:pPr>
        <w:pStyle w:val="Normal"/>
        <w:jc w:val="both"/>
        <w:rPr>
          <w:rFonts w:ascii="Times New Roman" w:hAnsi="Times New Roman"/>
          <w:sz w:val="24"/>
          <w:szCs w:val="24"/>
        </w:rPr>
      </w:pPr>
      <w:r>
        <w:rPr>
          <w:rFonts w:cs="Arial" w:ascii="Times New Roman" w:hAnsi="Times New Roman"/>
          <w:b/>
          <w:bCs/>
          <w:sz w:val="24"/>
          <w:szCs w:val="24"/>
          <w:lang w:val="zxx" w:eastAsia="zxx" w:bidi="zxx"/>
        </w:rPr>
        <w:tab/>
        <w:t>QUINTO.- ACTIVIDAD A SUBVENCIONAR Y COMPROMISOS A ASUMIR POR LA ASOCIACIÓN</w:t>
      </w:r>
    </w:p>
    <w:p>
      <w:pPr>
        <w:pStyle w:val="Normal"/>
        <w:jc w:val="both"/>
        <w:rPr>
          <w:rFonts w:ascii="Times New Roman" w:hAnsi="Times New Roman" w:cs="Arial"/>
          <w:b w:val="false"/>
          <w:bCs w:val="false"/>
          <w:sz w:val="24"/>
          <w:szCs w:val="24"/>
          <w:lang w:val="zxx" w:eastAsia="zxx" w:bidi="zxx"/>
        </w:rPr>
      </w:pPr>
      <w:r>
        <w:rPr>
          <w:rFonts w:cs="Arial" w:ascii="Times New Roman" w:hAnsi="Times New Roman"/>
          <w:b w:val="false"/>
          <w:bCs w:val="false"/>
          <w:sz w:val="24"/>
          <w:szCs w:val="24"/>
          <w:lang w:val="zxx" w:eastAsia="zxx" w:bidi="zxx"/>
        </w:rPr>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ab/>
        <w:t>Corresponde a ACECAA:</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 xml:space="preserve">1.- Planificar, organizar y desarrollar las distintas actividades que conforman la 'VI Campaña Bono-Comercio de Dinamización Comercial', según la documentación aportada </w:t>
      </w:r>
      <w:r>
        <w:rPr>
          <w:rFonts w:cs="Arial" w:ascii="Times New Roman" w:hAnsi="Times New Roman"/>
          <w:b w:val="false"/>
          <w:bCs w:val="false"/>
          <w:sz w:val="24"/>
          <w:szCs w:val="24"/>
          <w:lang w:val="es-ES" w:eastAsia="zxx" w:bidi="zxx"/>
        </w:rPr>
        <w:t>el día 1 de octubre de 2024 con número de registro n.º 2024018656.</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2.- Acreditar ante este Ayuntamiento la realización de la actividad y cumplir los requisitos y condiciones que hayan determinado la concesión de la ayuda.</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3.-</w:t>
      </w:r>
      <w:r>
        <w:rPr>
          <w:rFonts w:cs="Arial" w:ascii="Times New Roman" w:hAnsi="Times New Roman"/>
          <w:b w:val="false"/>
          <w:bCs w:val="false"/>
          <w:sz w:val="24"/>
          <w:szCs w:val="24"/>
        </w:rPr>
        <w:t xml:space="preserve">Someterse a las actuaciones de comprobación que respecto de la gestión de los fondos pueda efectuar el Ayuntamiento de Miranda de Ebro, así como cualesquiera otras de comprobación y control financiero que puedan realizar los órganos de control  competentes, tanto nacionales como comunitarios, aportando cuanta información le sea requerida en el ejercicio de las actuaciones anteriores. </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4.- Dar cuenta de las modificaciones que puedan surgir en la realización del proyecto justificándolas adecuadamente.</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5.- Comunicar, tan pronto como se conozca, la obtención de subvenciones o ayudas para la misma finalidad, procedentes de otras Administraciones y Entidades públicas o privadas, nacionales o internacionales.</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6.- Justificar adecuadamente el 100% del presupuesto subvencionado, en la forma que se prevé en la Ordenanza General de Subvenciones.</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7.-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 subvención, con la finalidad de garantizar el adecuado ejercicio de las facultades de comprobación y control.</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8.- Conservar los documentos justificativos de la aplicación de los fondos recibidos, incluidos los documentos electrónicos, en tanto puedan ser objeto de las actuaciones de comprobación y control.</w:t>
      </w:r>
    </w:p>
    <w:p>
      <w:pPr>
        <w:pStyle w:val="Normal"/>
        <w:jc w:val="both"/>
        <w:rPr>
          <w:rFonts w:ascii="Times New Roman" w:hAnsi="Times New Roman"/>
          <w:sz w:val="24"/>
          <w:szCs w:val="24"/>
        </w:rPr>
      </w:pPr>
      <w:r>
        <w:rPr>
          <w:rFonts w:cs="Arial" w:ascii="Times New Roman" w:hAnsi="Times New Roman"/>
          <w:b w:val="false"/>
          <w:bCs w:val="false"/>
          <w:color w:val="00000A"/>
          <w:sz w:val="24"/>
          <w:szCs w:val="24"/>
          <w:lang w:val="es-ES" w:eastAsia="zxx" w:bidi="zxx"/>
        </w:rPr>
        <w:t xml:space="preserve">9.- Participar en aquellos mecanismos de coordinación en los que se considere oportuna su asistencia. </w:t>
      </w:r>
    </w:p>
    <w:p>
      <w:pPr>
        <w:pStyle w:val="Normal"/>
        <w:jc w:val="both"/>
        <w:rPr>
          <w:rFonts w:ascii="Times New Roman" w:hAnsi="Times New Roman" w:cs="Arial"/>
          <w:b w:val="false"/>
          <w:bCs w:val="false"/>
          <w:color w:val="00000A"/>
          <w:sz w:val="24"/>
          <w:szCs w:val="24"/>
          <w:lang w:val="es-ES" w:eastAsia="zxx" w:bidi="zxx"/>
        </w:rPr>
      </w:pPr>
      <w:r>
        <w:rPr>
          <w:rFonts w:cs="Arial" w:ascii="Times New Roman" w:hAnsi="Times New Roman"/>
          <w:b w:val="false"/>
          <w:bCs w:val="false"/>
          <w:color w:val="00000A"/>
          <w:sz w:val="24"/>
          <w:szCs w:val="24"/>
          <w:lang w:val="es-ES" w:eastAsia="zxx" w:bidi="zxx"/>
        </w:rPr>
      </w:r>
    </w:p>
    <w:p>
      <w:pPr>
        <w:pStyle w:val="Normal"/>
        <w:jc w:val="both"/>
        <w:rPr>
          <w:rFonts w:ascii="Times New Roman" w:hAnsi="Times New Roman"/>
          <w:sz w:val="24"/>
          <w:szCs w:val="24"/>
        </w:rPr>
      </w:pPr>
      <w:r>
        <w:rPr>
          <w:rFonts w:cs="Arial" w:ascii="Times New Roman" w:hAnsi="Times New Roman"/>
          <w:b w:val="false"/>
          <w:bCs w:val="false"/>
          <w:color w:val="00000A"/>
          <w:sz w:val="24"/>
          <w:szCs w:val="24"/>
          <w:lang w:val="es-ES" w:eastAsia="zxx" w:bidi="zxx"/>
        </w:rPr>
        <w:tab/>
      </w:r>
      <w:r>
        <w:rPr>
          <w:rFonts w:cs="Arial" w:ascii="Times New Roman" w:hAnsi="Times New Roman"/>
          <w:b/>
          <w:bCs/>
          <w:color w:val="00000A"/>
          <w:sz w:val="24"/>
          <w:szCs w:val="24"/>
          <w:lang w:val="es-ES" w:eastAsia="zxx" w:bidi="zxx"/>
        </w:rPr>
        <w:t xml:space="preserve">SEXTO.- </w:t>
      </w:r>
      <w:r>
        <w:rPr>
          <w:rFonts w:cs="Arial" w:ascii="Times New Roman" w:hAnsi="Times New Roman"/>
          <w:b/>
          <w:bCs/>
          <w:color w:val="00000A"/>
          <w:sz w:val="24"/>
          <w:szCs w:val="24"/>
          <w:lang w:val="zxx" w:eastAsia="zxx" w:bidi="zxx"/>
        </w:rPr>
        <w:t>PUBLICIDAD DEL CARÁCTER PÚBLICO DE LA CAMPAÑA</w:t>
      </w:r>
    </w:p>
    <w:p>
      <w:pPr>
        <w:pStyle w:val="Normal"/>
        <w:jc w:val="both"/>
        <w:rPr>
          <w:rFonts w:ascii="Times New Roman" w:hAnsi="Times New Roman"/>
          <w:sz w:val="24"/>
          <w:szCs w:val="24"/>
        </w:rPr>
      </w:pPr>
      <w:r>
        <w:rPr>
          <w:rFonts w:cs="Arial" w:ascii="Times New Roman" w:hAnsi="Times New Roman"/>
          <w:b w:val="false"/>
          <w:bCs w:val="false"/>
          <w:color w:val="00000A"/>
          <w:sz w:val="24"/>
          <w:szCs w:val="24"/>
          <w:lang w:val="es-ES" w:eastAsia="zxx" w:bidi="zxx"/>
        </w:rPr>
        <w:tab/>
        <w:t>La Asociación ACECAA deberá dar la adecuada publicidad del carácter público de la financiación de los gastos subvencionados mediante la inserción del logotipo del Ayuntamiento en todas las publicaciones y material (con independencia del soporte) editado en la ejecución de las actuaciones subvencionadas o la inclusión de la reseña “con la colaboración del Excmo. Ayuntamiento de Miranda de Ebro”.</w:t>
      </w:r>
    </w:p>
    <w:p>
      <w:pPr>
        <w:pStyle w:val="Normal"/>
        <w:jc w:val="both"/>
        <w:rPr>
          <w:rFonts w:ascii="Times New Roman" w:hAnsi="Times New Roman" w:cs="Arial"/>
          <w:color w:val="00000A"/>
          <w:sz w:val="24"/>
          <w:szCs w:val="24"/>
          <w:lang w:val="es-ES" w:eastAsia="zxx" w:bidi="zxx"/>
        </w:rPr>
      </w:pPr>
      <w:r>
        <w:rPr>
          <w:rFonts w:cs="Arial" w:ascii="Times New Roman" w:hAnsi="Times New Roman"/>
          <w:color w:val="00000A"/>
          <w:sz w:val="24"/>
          <w:szCs w:val="24"/>
          <w:lang w:val="es-ES" w:eastAsia="zxx" w:bidi="zxx"/>
        </w:rPr>
      </w:r>
    </w:p>
    <w:p>
      <w:pPr>
        <w:pStyle w:val="Normal"/>
        <w:jc w:val="both"/>
        <w:rPr>
          <w:rFonts w:ascii="Times New Roman" w:hAnsi="Times New Roman"/>
          <w:sz w:val="24"/>
          <w:szCs w:val="24"/>
        </w:rPr>
      </w:pPr>
      <w:r>
        <w:rPr>
          <w:rFonts w:cs="Arial" w:ascii="Times New Roman" w:hAnsi="Times New Roman"/>
          <w:b/>
          <w:sz w:val="24"/>
          <w:szCs w:val="24"/>
          <w:lang w:val="es-ES"/>
        </w:rPr>
        <w:tab/>
        <w:t>SÉPTIMO.- ÁMBITO DE APLICACIÓN</w:t>
      </w:r>
    </w:p>
    <w:p>
      <w:pPr>
        <w:pStyle w:val="Normal"/>
        <w:jc w:val="both"/>
        <w:rPr>
          <w:rFonts w:ascii="Times New Roman" w:hAnsi="Times New Roman"/>
          <w:sz w:val="24"/>
          <w:szCs w:val="24"/>
        </w:rPr>
      </w:pPr>
      <w:r>
        <w:rPr>
          <w:rFonts w:cs="Arial" w:ascii="Times New Roman" w:hAnsi="Times New Roman"/>
          <w:sz w:val="24"/>
          <w:szCs w:val="24"/>
          <w:lang w:val="es-ES"/>
        </w:rPr>
        <w:tab/>
        <w:t>El ámbito de aplicación se limita a la realización de la VI Campaña Bono- Comercio de Dinamización Comercial con participación exclusiva de los comercios situados en el término municipal de Miranda de Ebro.</w:t>
      </w:r>
    </w:p>
    <w:p>
      <w:pPr>
        <w:pStyle w:val="Normal"/>
        <w:jc w:val="both"/>
        <w:rPr>
          <w:rFonts w:ascii="Times New Roman" w:hAnsi="Times New Roman" w:cs="Arial"/>
          <w:b/>
          <w:sz w:val="24"/>
          <w:szCs w:val="24"/>
          <w:lang w:val="es-ES"/>
        </w:rPr>
      </w:pPr>
      <w:r>
        <w:rPr>
          <w:rFonts w:cs="Arial" w:ascii="Times New Roman" w:hAnsi="Times New Roman"/>
          <w:b/>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ab/>
        <w:t>OCTAVO.- ABONO DE LA SUBVENCIÓN Y JUSTIFICACIÓN DEL GASTO</w:t>
      </w:r>
    </w:p>
    <w:p>
      <w:pPr>
        <w:pStyle w:val="Normal"/>
        <w:jc w:val="both"/>
        <w:rPr>
          <w:rFonts w:ascii="Times New Roman" w:hAnsi="Times New Roman"/>
          <w:sz w:val="24"/>
          <w:szCs w:val="24"/>
        </w:rPr>
      </w:pPr>
      <w:r>
        <w:rPr>
          <w:rFonts w:cs="Arial" w:ascii="Times New Roman" w:hAnsi="Times New Roman"/>
          <w:sz w:val="24"/>
          <w:szCs w:val="24"/>
          <w:lang w:val="es-ES"/>
        </w:rPr>
        <w:tab/>
        <w:t>Atendiendo a la singularidad del proyecto, en el que el consumidor final resulta en definitiva el destinatario de la reducción del precio de compra, y por tanto beneficiario de la subvención, así como a su carácter extraordinario, y tal y como se establece en el art.15 de la Ordenanza General de Subvenciones, se anticipará el 100% del importe total de la subvención (53.000 euros) c</w:t>
      </w:r>
      <w:r>
        <w:rPr>
          <w:rFonts w:cs="Arial" w:ascii="Times New Roman" w:hAnsi="Times New Roman"/>
          <w:color w:val="000000"/>
          <w:sz w:val="24"/>
          <w:szCs w:val="24"/>
          <w:lang w:val="es-ES"/>
        </w:rPr>
        <w:t xml:space="preserve">on cargo a la Partida Presupuestaria 4310.47000 del ejercicio 2024, mediante transferencia bancaria a la cuenta corriente de la que ACECAA es titular. </w:t>
      </w:r>
      <w:r>
        <w:rPr>
          <w:rFonts w:cs="Arial" w:ascii="Times New Roman" w:hAnsi="Times New Roman"/>
          <w:b w:val="false"/>
          <w:bCs w:val="false"/>
          <w:sz w:val="24"/>
          <w:szCs w:val="24"/>
          <w:lang w:val="zxx" w:eastAsia="zxx" w:bidi="zxx"/>
        </w:rPr>
        <w:t xml:space="preserve">  </w:t>
      </w:r>
      <w:r>
        <w:rPr>
          <w:rFonts w:cs="Arial" w:ascii="Times New Roman" w:hAnsi="Times New Roman"/>
          <w:b w:val="false"/>
          <w:bCs w:val="false"/>
          <w:sz w:val="24"/>
          <w:szCs w:val="24"/>
          <w:lang w:val="es-ES" w:eastAsia="zxx" w:bidi="zxx"/>
        </w:rPr>
        <w:t xml:space="preserve"> </w:t>
      </w:r>
    </w:p>
    <w:p>
      <w:pPr>
        <w:pStyle w:val="Normal"/>
        <w:jc w:val="both"/>
        <w:rPr>
          <w:rFonts w:ascii="Times New Roman" w:hAnsi="Times New Roman"/>
          <w:sz w:val="24"/>
          <w:szCs w:val="24"/>
        </w:rPr>
      </w:pPr>
      <w:r>
        <w:rPr>
          <w:rFonts w:cs="Arial" w:ascii="Times New Roman" w:hAnsi="Times New Roman"/>
          <w:sz w:val="24"/>
          <w:szCs w:val="24"/>
          <w:lang w:val="es-ES"/>
        </w:rPr>
        <w:tab/>
        <w:t>Dado que la campaña de bonos finaliza a mediados de diciembre, ACECAA dispondrá hasta el 20 de enero de 2025 para presentar por Sede Electrónica la justificación de la subvención. Dicha justificación se realizará conforme al Anexo II de la Ordenanza General de Subvenciones, publicada el 29 de septiembre de 2021 en el Boletín Oficial de la Provincia de Burgos, presentando la siguiente documentación:</w:t>
      </w:r>
    </w:p>
    <w:p>
      <w:pPr>
        <w:pStyle w:val="ListParagraph"/>
        <w:numPr>
          <w:ilvl w:val="0"/>
          <w:numId w:val="1"/>
        </w:numPr>
        <w:jc w:val="both"/>
        <w:rPr>
          <w:rFonts w:ascii="Times New Roman" w:hAnsi="Times New Roman"/>
          <w:sz w:val="24"/>
          <w:szCs w:val="24"/>
        </w:rPr>
      </w:pPr>
      <w:r>
        <w:rPr>
          <w:rFonts w:cs="Arial" w:ascii="Times New Roman" w:hAnsi="Times New Roman"/>
          <w:sz w:val="24"/>
          <w:szCs w:val="24"/>
          <w:lang w:val="es-ES"/>
        </w:rPr>
        <w:t>Memoria de ejecución del programa.</w:t>
      </w:r>
    </w:p>
    <w:p>
      <w:pPr>
        <w:pStyle w:val="ListParagraph"/>
        <w:numPr>
          <w:ilvl w:val="0"/>
          <w:numId w:val="1"/>
        </w:numPr>
        <w:jc w:val="both"/>
        <w:rPr>
          <w:rFonts w:ascii="Times New Roman" w:hAnsi="Times New Roman"/>
          <w:sz w:val="24"/>
          <w:szCs w:val="24"/>
        </w:rPr>
      </w:pPr>
      <w:r>
        <w:rPr>
          <w:rFonts w:cs="Arial" w:ascii="Times New Roman" w:hAnsi="Times New Roman"/>
          <w:sz w:val="24"/>
          <w:szCs w:val="24"/>
          <w:lang w:val="es-ES"/>
        </w:rPr>
        <w:t>Informe de justificación económica.</w:t>
      </w:r>
    </w:p>
    <w:p>
      <w:pPr>
        <w:pStyle w:val="ListParagraph"/>
        <w:numPr>
          <w:ilvl w:val="0"/>
          <w:numId w:val="1"/>
        </w:numPr>
        <w:jc w:val="both"/>
        <w:rPr>
          <w:rFonts w:ascii="Times New Roman" w:hAnsi="Times New Roman"/>
          <w:sz w:val="24"/>
          <w:szCs w:val="24"/>
        </w:rPr>
      </w:pPr>
      <w:r>
        <w:rPr>
          <w:rFonts w:cs="Arial" w:ascii="Times New Roman" w:hAnsi="Times New Roman"/>
          <w:sz w:val="24"/>
          <w:szCs w:val="24"/>
          <w:lang w:val="es-ES"/>
        </w:rPr>
        <w:t>Justificante de los pagos o transferencias realizadas por ACECAA a los establecimientos participantes.</w:t>
      </w:r>
    </w:p>
    <w:p>
      <w:pPr>
        <w:pStyle w:val="ListParagraph"/>
        <w:numPr>
          <w:ilvl w:val="0"/>
          <w:numId w:val="1"/>
        </w:numPr>
        <w:jc w:val="both"/>
        <w:rPr>
          <w:rFonts w:ascii="Times New Roman" w:hAnsi="Times New Roman"/>
          <w:sz w:val="24"/>
          <w:szCs w:val="24"/>
        </w:rPr>
      </w:pPr>
      <w:r>
        <w:rPr>
          <w:rFonts w:cs="Arial" w:ascii="Times New Roman" w:hAnsi="Times New Roman"/>
          <w:b w:val="false"/>
          <w:bCs w:val="false"/>
          <w:sz w:val="24"/>
          <w:szCs w:val="24"/>
          <w:lang w:val="es-ES" w:eastAsia="zxx" w:bidi="zxx"/>
        </w:rPr>
        <w:t>Documentación que permita verificar la realización de la debida publicidad del carácter público de la financiación de los gastos subvencionados.</w:t>
      </w:r>
    </w:p>
    <w:p>
      <w:pPr>
        <w:pStyle w:val="ListParagraph"/>
        <w:numPr>
          <w:ilvl w:val="0"/>
          <w:numId w:val="1"/>
        </w:numPr>
        <w:jc w:val="both"/>
        <w:rPr>
          <w:rFonts w:ascii="Times New Roman" w:hAnsi="Times New Roman"/>
          <w:sz w:val="24"/>
          <w:szCs w:val="24"/>
        </w:rPr>
      </w:pPr>
      <w:r>
        <w:rPr>
          <w:rFonts w:cs="Arial" w:ascii="Times New Roman" w:hAnsi="Times New Roman"/>
          <w:b w:val="false"/>
          <w:bCs w:val="false"/>
          <w:sz w:val="24"/>
          <w:szCs w:val="24"/>
          <w:lang w:val="es-ES" w:eastAsia="zxx" w:bidi="zxx"/>
        </w:rPr>
        <w:t>Declaración responsable incluida en el Anexo II de la Ordenanza General de Subvenciones.</w:t>
      </w:r>
    </w:p>
    <w:p>
      <w:pPr>
        <w:pStyle w:val="ListParagraph"/>
        <w:numPr>
          <w:ilvl w:val="0"/>
          <w:numId w:val="1"/>
        </w:numPr>
        <w:jc w:val="both"/>
        <w:rPr>
          <w:rFonts w:ascii="Times New Roman" w:hAnsi="Times New Roman"/>
          <w:sz w:val="24"/>
          <w:szCs w:val="24"/>
        </w:rPr>
      </w:pPr>
      <w:r>
        <w:rPr>
          <w:rFonts w:cs="Arial" w:ascii="Times New Roman" w:hAnsi="Times New Roman"/>
          <w:b w:val="false"/>
          <w:bCs w:val="false"/>
          <w:sz w:val="24"/>
          <w:szCs w:val="24"/>
          <w:lang w:val="es-ES" w:eastAsia="zxx" w:bidi="zxx"/>
        </w:rPr>
        <w:t xml:space="preserve">Facturas y justificantes de pago de los gastos de la campaña relativos a la impresión de bonos, cartelería, flyers, reparto y publicidad. </w:t>
      </w:r>
    </w:p>
    <w:p>
      <w:pPr>
        <w:pStyle w:val="ListParagraph"/>
        <w:numPr>
          <w:ilvl w:val="0"/>
          <w:numId w:val="1"/>
        </w:numPr>
        <w:jc w:val="both"/>
        <w:rPr>
          <w:rFonts w:ascii="Times New Roman" w:hAnsi="Times New Roman"/>
          <w:sz w:val="24"/>
          <w:szCs w:val="24"/>
        </w:rPr>
      </w:pPr>
      <w:r>
        <w:rPr>
          <w:rFonts w:cs="Arial" w:ascii="Times New Roman" w:hAnsi="Times New Roman"/>
          <w:b w:val="false"/>
          <w:bCs w:val="false"/>
          <w:sz w:val="24"/>
          <w:szCs w:val="24"/>
          <w:lang w:val="es-ES" w:eastAsia="zxx" w:bidi="zxx"/>
        </w:rPr>
        <w:t xml:space="preserve">Asimismo, se entregarán en el Departamento de Información, Turismo y Juventud la totalidad de los bonos canjeados junto a las facturas y/o tiques de compra. </w:t>
      </w:r>
    </w:p>
    <w:p>
      <w:pPr>
        <w:pStyle w:val="ListParagraph"/>
        <w:jc w:val="both"/>
        <w:rPr>
          <w:rFonts w:ascii="Times New Roman" w:hAnsi="Times New Roman" w:cs="Arial"/>
          <w:b w:val="false"/>
          <w:bCs w:val="false"/>
          <w:sz w:val="24"/>
          <w:szCs w:val="24"/>
          <w:lang w:val="es-ES" w:eastAsia="zxx" w:bidi="zxx"/>
        </w:rPr>
      </w:pPr>
      <w:r>
        <w:rPr>
          <w:rFonts w:cs="Arial" w:ascii="Times New Roman" w:hAnsi="Times New Roman"/>
          <w:b w:val="false"/>
          <w:bCs w:val="false"/>
          <w:sz w:val="24"/>
          <w:szCs w:val="24"/>
          <w:lang w:val="es-ES" w:eastAsia="zxx" w:bidi="zxx"/>
        </w:rPr>
      </w:r>
    </w:p>
    <w:p>
      <w:pPr>
        <w:pStyle w:val="Normal"/>
        <w:jc w:val="both"/>
        <w:rPr>
          <w:rFonts w:ascii="Times New Roman" w:hAnsi="Times New Roman"/>
          <w:sz w:val="24"/>
          <w:szCs w:val="24"/>
        </w:rPr>
      </w:pPr>
      <w:r>
        <w:rPr>
          <w:rFonts w:cs="Arial" w:ascii="Times New Roman" w:hAnsi="Times New Roman"/>
          <w:sz w:val="24"/>
          <w:szCs w:val="24"/>
          <w:lang w:val="es-ES"/>
        </w:rPr>
        <w:tab/>
        <w:t>En caso de que se justificara un importe total inferior al señalado en el presente Convenio, procederá la devolución del importe correspondiente al Ayuntamiento en la misma proporción entre el presupuesto total acordado y la cantidad realmente justificada.</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ab/>
        <w:t>NOVENO.- VIGENCIA DEL CONVENIO</w:t>
      </w:r>
    </w:p>
    <w:p>
      <w:pPr>
        <w:pStyle w:val="Normal"/>
        <w:jc w:val="both"/>
        <w:rPr>
          <w:rFonts w:ascii="Times New Roman" w:hAnsi="Times New Roman"/>
          <w:sz w:val="24"/>
          <w:szCs w:val="24"/>
        </w:rPr>
      </w:pPr>
      <w:r>
        <w:rPr>
          <w:rFonts w:cs="Arial" w:ascii="Times New Roman" w:hAnsi="Times New Roman"/>
          <w:sz w:val="24"/>
          <w:szCs w:val="24"/>
          <w:lang w:val="es-ES"/>
        </w:rPr>
        <w:tab/>
        <w:t>La vigencia del Convenio se extenderá desde la fecha de suscripción del mismo por ambas partes y se considerará extinguido una vez cumplidas las obligaciones de los intervinientes y, en todo caso, a 20 de enero de 2025.</w:t>
      </w:r>
    </w:p>
    <w:p>
      <w:pPr>
        <w:pStyle w:val="Normal"/>
        <w:jc w:val="both"/>
        <w:rPr>
          <w:rFonts w:ascii="Times New Roman" w:hAnsi="Times New Roman" w:cs="Arial"/>
          <w:b/>
          <w:sz w:val="24"/>
          <w:szCs w:val="24"/>
          <w:lang w:val="es-ES"/>
        </w:rPr>
      </w:pPr>
      <w:r>
        <w:rPr>
          <w:rFonts w:cs="Arial" w:ascii="Times New Roman" w:hAnsi="Times New Roman"/>
          <w:b/>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ab/>
        <w:t>DÉCIMO.- NATURALEZA JURÍDICA.</w:t>
      </w:r>
    </w:p>
    <w:p>
      <w:pPr>
        <w:pStyle w:val="Normal"/>
        <w:jc w:val="both"/>
        <w:rPr>
          <w:rFonts w:ascii="Times New Roman" w:hAnsi="Times New Roman"/>
          <w:sz w:val="24"/>
          <w:szCs w:val="24"/>
        </w:rPr>
      </w:pPr>
      <w:r>
        <w:rPr>
          <w:rFonts w:cs="Arial" w:ascii="Times New Roman" w:hAnsi="Times New Roman"/>
          <w:sz w:val="24"/>
          <w:szCs w:val="24"/>
          <w:lang w:val="es-ES"/>
        </w:rPr>
        <w:tab/>
        <w:t>El presente Convenio tiene naturaleza administrativa. Las cuestiones litigiosas que pudieran derivar de su interpretación del clausulado del propio Convenio, serán sometidas a la jurisdicción Contencioso-Administrativa.</w:t>
      </w:r>
    </w:p>
    <w:p>
      <w:pPr>
        <w:pStyle w:val="Normal"/>
        <w:jc w:val="both"/>
        <w:rPr>
          <w:rFonts w:ascii="Times New Roman" w:hAnsi="Times New Roman" w:cs="Arial"/>
          <w:b/>
          <w:bCs/>
          <w:sz w:val="24"/>
          <w:szCs w:val="24"/>
          <w:lang w:val="es-ES"/>
        </w:rPr>
      </w:pPr>
      <w:r>
        <w:rPr>
          <w:rFonts w:cs="Arial" w:ascii="Times New Roman" w:hAnsi="Times New Roman"/>
          <w:b/>
          <w:bCs/>
          <w:sz w:val="24"/>
          <w:szCs w:val="24"/>
          <w:lang w:val="es-ES"/>
        </w:rPr>
      </w:r>
    </w:p>
    <w:p>
      <w:pPr>
        <w:pStyle w:val="Normal"/>
        <w:jc w:val="both"/>
        <w:rPr>
          <w:rFonts w:ascii="Times New Roman" w:hAnsi="Times New Roman"/>
          <w:sz w:val="24"/>
          <w:szCs w:val="24"/>
        </w:rPr>
      </w:pPr>
      <w:r>
        <w:rPr>
          <w:rFonts w:cs="Arial" w:ascii="Times New Roman" w:hAnsi="Times New Roman"/>
          <w:b/>
          <w:bCs/>
          <w:sz w:val="24"/>
          <w:szCs w:val="24"/>
          <w:lang w:val="es-ES"/>
        </w:rPr>
        <w:tab/>
        <w:t>UNDÉCIMO.- RÉGIMEN APLICABLE.</w:t>
      </w:r>
    </w:p>
    <w:p>
      <w:pPr>
        <w:pStyle w:val="Normal"/>
        <w:jc w:val="both"/>
        <w:rPr>
          <w:rFonts w:ascii="Times New Roman" w:hAnsi="Times New Roman"/>
          <w:sz w:val="24"/>
          <w:szCs w:val="24"/>
        </w:rPr>
      </w:pPr>
      <w:r>
        <w:rPr>
          <w:rFonts w:cs="Arial" w:ascii="Times New Roman" w:hAnsi="Times New Roman"/>
          <w:sz w:val="24"/>
          <w:szCs w:val="24"/>
          <w:lang w:val="es-ES"/>
        </w:rPr>
        <w:tab/>
        <w:t xml:space="preserve">En todas aquellas cuestiones no previstas en el presente Convenio, éste se atenderá a lo dispuesto en la Ordenanza General de Subvenciones del Ayuntamiento de Miranda de Ebro y a la Ley general de Subvenciones. </w:t>
      </w:r>
    </w:p>
    <w:p>
      <w:pPr>
        <w:pStyle w:val="Normal"/>
        <w:jc w:val="both"/>
        <w:rPr>
          <w:rFonts w:ascii="Times New Roman" w:hAnsi="Times New Roman" w:cs="Arial"/>
          <w:color w:val="000000"/>
          <w:sz w:val="24"/>
          <w:szCs w:val="24"/>
          <w:lang w:val="es-ES"/>
        </w:rPr>
      </w:pPr>
      <w:r>
        <w:rPr>
          <w:rFonts w:cs="Arial" w:ascii="Times New Roman" w:hAnsi="Times New Roman"/>
          <w:color w:val="000000"/>
          <w:sz w:val="24"/>
          <w:szCs w:val="24"/>
          <w:lang w:val="es-ES"/>
        </w:rPr>
      </w:r>
    </w:p>
    <w:p>
      <w:pPr>
        <w:pStyle w:val="Normal"/>
        <w:jc w:val="both"/>
        <w:rPr>
          <w:rFonts w:ascii="Times New Roman" w:hAnsi="Times New Roman"/>
          <w:sz w:val="24"/>
          <w:szCs w:val="24"/>
        </w:rPr>
      </w:pPr>
      <w:r>
        <w:rPr>
          <w:rFonts w:cs="Arial" w:ascii="Times New Roman" w:hAnsi="Times New Roman"/>
          <w:color w:val="000000"/>
          <w:sz w:val="24"/>
          <w:szCs w:val="24"/>
          <w:lang w:val="es-ES"/>
        </w:rPr>
        <w:tab/>
        <w:t xml:space="preserve">Y para que conste, los otorgantes se afirman y ratifican en lo expuesto en el presente documento firmándolo a un solo efecto, ante mí, el Secretario General, que doy fe. </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ind w:left="5664" w:hanging="5664"/>
        <w:rPr>
          <w:rFonts w:ascii="Times New Roman" w:hAnsi="Times New Roman"/>
          <w:sz w:val="24"/>
          <w:szCs w:val="24"/>
        </w:rPr>
      </w:pPr>
      <w:r>
        <w:rPr>
          <w:rFonts w:cs="Arial" w:ascii="Times New Roman" w:hAnsi="Times New Roman"/>
          <w:sz w:val="24"/>
          <w:szCs w:val="24"/>
          <w:lang w:val="es-ES"/>
        </w:rPr>
        <w:t xml:space="preserve">          </w:t>
      </w:r>
      <w:r>
        <w:rPr>
          <w:rFonts w:cs="Arial" w:ascii="Times New Roman" w:hAnsi="Times New Roman"/>
          <w:sz w:val="24"/>
          <w:szCs w:val="24"/>
          <w:lang w:val="es-ES"/>
        </w:rPr>
        <w:t xml:space="preserve">La Alcaldesa                            </w:t>
        <w:tab/>
        <w:t>Por ACECAA</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color w:val="000000"/>
          <w:sz w:val="24"/>
          <w:szCs w:val="24"/>
          <w:lang w:val="es-ES"/>
        </w:rPr>
        <w:t xml:space="preserve"> </w:t>
      </w:r>
      <w:r>
        <w:rPr>
          <w:rFonts w:cs="Arial" w:ascii="Times New Roman" w:hAnsi="Times New Roman"/>
          <w:color w:val="000000"/>
          <w:sz w:val="24"/>
          <w:szCs w:val="24"/>
          <w:lang w:val="es-ES"/>
        </w:rPr>
        <w:t xml:space="preserve">Aitana Hernando Ruiz </w:t>
        <w:tab/>
        <w:tab/>
        <w:tab/>
        <w:t xml:space="preserve">   </w:t>
        <w:tab/>
        <w:t xml:space="preserve">  Sonia Araico Mediavilla</w:t>
      </w:r>
    </w:p>
    <w:p>
      <w:pPr>
        <w:pStyle w:val="Normal"/>
        <w:jc w:val="both"/>
        <w:rPr>
          <w:rFonts w:ascii="Times New Roman" w:hAnsi="Times New Roman" w:cs="Arial"/>
          <w:color w:val="000000"/>
          <w:sz w:val="24"/>
          <w:szCs w:val="24"/>
          <w:lang w:val="es-ES"/>
        </w:rPr>
      </w:pPr>
      <w:r>
        <w:rPr>
          <w:rFonts w:cs="Arial" w:ascii="Times New Roman" w:hAnsi="Times New Roman"/>
          <w:color w:val="000000"/>
          <w:sz w:val="24"/>
          <w:szCs w:val="24"/>
          <w:lang w:val="es-ES"/>
        </w:rPr>
      </w:r>
    </w:p>
    <w:p>
      <w:pPr>
        <w:pStyle w:val="Normal"/>
        <w:jc w:val="center"/>
        <w:rPr>
          <w:rFonts w:ascii="Times New Roman" w:hAnsi="Times New Roman" w:cs="Arial"/>
          <w:color w:val="000000"/>
          <w:sz w:val="24"/>
          <w:szCs w:val="24"/>
          <w:lang w:val="es-ES"/>
        </w:rPr>
      </w:pPr>
      <w:r>
        <w:rPr>
          <w:rFonts w:cs="Arial" w:ascii="Times New Roman" w:hAnsi="Times New Roman"/>
          <w:color w:val="000000"/>
          <w:sz w:val="24"/>
          <w:szCs w:val="24"/>
          <w:lang w:val="es-ES"/>
        </w:rPr>
      </w:r>
    </w:p>
    <w:p>
      <w:pPr>
        <w:pStyle w:val="Normal"/>
        <w:jc w:val="center"/>
        <w:rPr>
          <w:rFonts w:ascii="Times New Roman" w:hAnsi="Times New Roman"/>
          <w:sz w:val="24"/>
          <w:szCs w:val="24"/>
        </w:rPr>
      </w:pPr>
      <w:r>
        <w:rPr>
          <w:rFonts w:cs="Arial" w:ascii="Times New Roman" w:hAnsi="Times New Roman"/>
          <w:color w:val="000000"/>
          <w:sz w:val="24"/>
          <w:szCs w:val="24"/>
          <w:lang w:val="es-ES"/>
        </w:rPr>
        <w:t>El Secretario General</w:t>
      </w:r>
    </w:p>
    <w:p>
      <w:pPr>
        <w:pStyle w:val="Normal"/>
        <w:jc w:val="center"/>
        <w:rPr>
          <w:rFonts w:ascii="Times New Roman" w:hAnsi="Times New Roman" w:cs="Arial"/>
          <w:sz w:val="24"/>
          <w:szCs w:val="24"/>
          <w:lang w:val="es-ES"/>
        </w:rPr>
      </w:pPr>
      <w:r>
        <w:rPr>
          <w:rFonts w:cs="Arial" w:ascii="Times New Roman" w:hAnsi="Times New Roman"/>
          <w:sz w:val="24"/>
          <w:szCs w:val="24"/>
          <w:lang w:val="es-ES"/>
        </w:rPr>
      </w:r>
    </w:p>
    <w:p>
      <w:pPr>
        <w:pStyle w:val="Normal"/>
        <w:jc w:val="center"/>
        <w:rPr>
          <w:rFonts w:ascii="Times New Roman" w:hAnsi="Times New Roman" w:cs="Arial"/>
          <w:sz w:val="24"/>
          <w:szCs w:val="24"/>
          <w:lang w:val="es-ES"/>
        </w:rPr>
      </w:pPr>
      <w:r>
        <w:rPr>
          <w:rFonts w:cs="Arial" w:ascii="Times New Roman" w:hAnsi="Times New Roman"/>
          <w:sz w:val="24"/>
          <w:szCs w:val="24"/>
          <w:lang w:val="es-ES"/>
        </w:rPr>
      </w:r>
    </w:p>
    <w:p>
      <w:pPr>
        <w:pStyle w:val="Normal"/>
        <w:spacing w:before="0" w:after="200"/>
        <w:jc w:val="center"/>
        <w:rPr>
          <w:rFonts w:ascii="Times New Roman" w:hAnsi="Times New Roman"/>
          <w:sz w:val="24"/>
          <w:szCs w:val="24"/>
        </w:rPr>
      </w:pPr>
      <w:r>
        <w:rPr>
          <w:rFonts w:cs="Arial" w:ascii="Times New Roman" w:hAnsi="Times New Roman"/>
          <w:color w:val="000000"/>
          <w:sz w:val="24"/>
          <w:szCs w:val="24"/>
          <w:lang w:val="es-ES"/>
        </w:rPr>
        <w:t>J. Javier Merino Alonso de Ozalla</w:t>
      </w:r>
    </w:p>
    <w:p>
      <w:pPr>
        <w:pStyle w:val="Normal"/>
        <w:spacing w:before="0" w:after="200"/>
        <w:jc w:val="center"/>
        <w:rPr/>
      </w:pPr>
      <w:r>
        <w:rPr/>
      </w:r>
    </w:p>
    <w:sectPr>
      <w:headerReference w:type="default" r:id="rId2"/>
      <w:footerReference w:type="default" r:id="rId3"/>
      <w:type w:val="nextPage"/>
      <w:pgSz w:w="11906" w:h="16838"/>
      <w:pgMar w:left="1701" w:right="1701" w:gutter="0" w:header="1417" w:top="2206" w:footer="1417" w:bottom="220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spacing w:before="0" w:after="200"/>
      <w:rPr/>
    </w:pPr>
    <w:r>
      <w:rPr/>
      <w:tab/>
      <w:tab/>
      <w:tab/>
      <w:tab/>
      <w:tab/>
    </w:r>
    <w:r>
      <w:rPr/>
      <w:fldChar w:fldCharType="begin"/>
    </w:r>
    <w:r>
      <w:rPr/>
      <w:instrText xml:space="preserve"> PAGE </w:instrText>
    </w:r>
    <w:r>
      <w:rPr/>
      <w:fldChar w:fldCharType="separate"/>
    </w:r>
    <w:r>
      <w:rPr/>
      <w:t>8</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suppressLineNumbers/>
      <w:spacing w:before="0" w:after="200"/>
      <w:rPr/>
    </w:pPr>
    <w:r>
      <w:rPr/>
      <w:drawing>
        <wp:anchor behindDoc="1" distT="0" distB="0" distL="0" distR="0" simplePos="0" locked="0" layoutInCell="0" allowOverlap="1" relativeHeight="9">
          <wp:simplePos x="0" y="0"/>
          <wp:positionH relativeFrom="column">
            <wp:posOffset>0</wp:posOffset>
          </wp:positionH>
          <wp:positionV relativeFrom="paragraph">
            <wp:posOffset>-476250</wp:posOffset>
          </wp:positionV>
          <wp:extent cx="5400040" cy="803275"/>
          <wp:effectExtent l="0" t="0" r="0" b="0"/>
          <wp:wrapSquare wrapText="largest"/>
          <wp:docPr id="1" name="Imagen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Copia 1 Copia 1" descr=""/>
                  <pic:cNvPicPr>
                    <a:picLocks noChangeAspect="1" noChangeArrowheads="1"/>
                  </pic:cNvPicPr>
                </pic:nvPicPr>
                <pic:blipFill>
                  <a:blip r:embed="rId1"/>
                  <a:stretch>
                    <a:fillRect/>
                  </a:stretch>
                </pic:blipFill>
                <pic:spPr bwMode="auto">
                  <a:xfrm>
                    <a:off x="0" y="0"/>
                    <a:ext cx="5400040" cy="80327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1440" w:hanging="360"/>
      </w:pPr>
      <w:rPr>
        <w:rFonts w:ascii="Calibri" w:hAnsi="Calibri" w:cs="Calibri" w:hint="default"/>
        <w:sz w:val="24"/>
        <w:b/>
      </w:rPr>
    </w:lvl>
    <w:lvl w:ilvl="1">
      <w:start w:val="1"/>
      <w:numFmt w:val="bullet"/>
      <w:lvlText w:val="o"/>
      <w:lvlJc w:val="left"/>
      <w:pPr>
        <w:tabs>
          <w:tab w:val="num" w:pos="720"/>
        </w:tabs>
        <w:ind w:left="2160" w:hanging="360"/>
      </w:pPr>
      <w:rPr>
        <w:rFonts w:ascii="Courier New" w:hAnsi="Courier New" w:cs="Courier New" w:hint="default"/>
      </w:rPr>
    </w:lvl>
    <w:lvl w:ilvl="2">
      <w:start w:val="1"/>
      <w:numFmt w:val="bullet"/>
      <w:lvlText w:val=""/>
      <w:lvlJc w:val="left"/>
      <w:pPr>
        <w:tabs>
          <w:tab w:val="num" w:pos="720"/>
        </w:tabs>
        <w:ind w:left="2880" w:hanging="360"/>
      </w:pPr>
      <w:rPr>
        <w:rFonts w:ascii="Wingdings" w:hAnsi="Wingdings" w:cs="Wingdings" w:hint="default"/>
      </w:rPr>
    </w:lvl>
    <w:lvl w:ilvl="3">
      <w:start w:val="1"/>
      <w:numFmt w:val="bullet"/>
      <w:lvlText w:val=""/>
      <w:lvlJc w:val="left"/>
      <w:pPr>
        <w:tabs>
          <w:tab w:val="num" w:pos="720"/>
        </w:tabs>
        <w:ind w:left="3600" w:hanging="360"/>
      </w:pPr>
      <w:rPr>
        <w:rFonts w:ascii="Symbol" w:hAnsi="Symbol" w:cs="Symbol" w:hint="default"/>
      </w:rPr>
    </w:lvl>
    <w:lvl w:ilvl="4">
      <w:start w:val="1"/>
      <w:numFmt w:val="bullet"/>
      <w:lvlText w:val="o"/>
      <w:lvlJc w:val="left"/>
      <w:pPr>
        <w:tabs>
          <w:tab w:val="num" w:pos="720"/>
        </w:tabs>
        <w:ind w:left="4320" w:hanging="360"/>
      </w:pPr>
      <w:rPr>
        <w:rFonts w:ascii="Courier New" w:hAnsi="Courier New" w:cs="Courier New" w:hint="default"/>
      </w:rPr>
    </w:lvl>
    <w:lvl w:ilvl="5">
      <w:start w:val="1"/>
      <w:numFmt w:val="bullet"/>
      <w:lvlText w:val=""/>
      <w:lvlJc w:val="left"/>
      <w:pPr>
        <w:tabs>
          <w:tab w:val="num" w:pos="720"/>
        </w:tabs>
        <w:ind w:left="5040" w:hanging="360"/>
      </w:pPr>
      <w:rPr>
        <w:rFonts w:ascii="Wingdings" w:hAnsi="Wingdings" w:cs="Wingdings" w:hint="default"/>
      </w:rPr>
    </w:lvl>
    <w:lvl w:ilvl="6">
      <w:start w:val="1"/>
      <w:numFmt w:val="bullet"/>
      <w:lvlText w:val=""/>
      <w:lvlJc w:val="left"/>
      <w:pPr>
        <w:tabs>
          <w:tab w:val="num" w:pos="720"/>
        </w:tabs>
        <w:ind w:left="5760" w:hanging="360"/>
      </w:pPr>
      <w:rPr>
        <w:rFonts w:ascii="Symbol" w:hAnsi="Symbol" w:cs="Symbol" w:hint="default"/>
      </w:rPr>
    </w:lvl>
    <w:lvl w:ilvl="7">
      <w:start w:val="1"/>
      <w:numFmt w:val="bullet"/>
      <w:lvlText w:val="o"/>
      <w:lvlJc w:val="left"/>
      <w:pPr>
        <w:tabs>
          <w:tab w:val="num" w:pos="720"/>
        </w:tabs>
        <w:ind w:left="6480" w:hanging="360"/>
      </w:pPr>
      <w:rPr>
        <w:rFonts w:ascii="Courier New" w:hAnsi="Courier New" w:cs="Courier New" w:hint="default"/>
      </w:rPr>
    </w:lvl>
    <w:lvl w:ilvl="8">
      <w:start w:val="1"/>
      <w:numFmt w:val="bullet"/>
      <w:lvlText w:val=""/>
      <w:lvlJc w:val="left"/>
      <w:pPr>
        <w:tabs>
          <w:tab w:val="num" w:pos="720"/>
        </w:tabs>
        <w:ind w:left="720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8"/>
  <w:defaultTabStop w:val="708"/>
  <w:autoHyphenation w:val="true"/>
  <w:compat>
    <w:compatSetting w:name="compatibilityMode" w:uri="http://schemas.microsoft.com/office/word" w:val="12"/>
  </w:compat>
  <w:themeFontLang w:val="es-ES_tradn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66ef2"/>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00000A"/>
      <w:kern w:val="0"/>
      <w:sz w:val="22"/>
      <w:szCs w:val="22"/>
      <w:lang w:val="en-US" w:eastAsia="en-US" w:bidi="ar-SA"/>
    </w:rPr>
  </w:style>
  <w:style w:type="character" w:styleId="DefaultParagraphFont" w:default="1">
    <w:name w:val="Default Paragraph Font"/>
    <w:semiHidden/>
    <w:unhideWhenUsed/>
    <w:qFormat/>
    <w:rPr/>
  </w:style>
  <w:style w:type="character" w:styleId="TextodegloboCar" w:customStyle="1">
    <w:name w:val="Texto de globo Car"/>
    <w:basedOn w:val="DefaultParagraphFont"/>
    <w:uiPriority w:val="99"/>
    <w:semiHidden/>
    <w:qFormat/>
    <w:rsid w:val="001d7262"/>
    <w:rPr>
      <w:rFonts w:ascii="Tahoma" w:hAnsi="Tahoma" w:cs="Tahoma"/>
      <w:sz w:val="16"/>
      <w:szCs w:val="16"/>
    </w:rPr>
  </w:style>
  <w:style w:type="character" w:styleId="Caracteresdenotaalpie">
    <w:name w:val="Caracteres de nota al pie"/>
    <w:qFormat/>
    <w:rPr>
      <w:vertAlign w:val="superscript"/>
    </w:rPr>
  </w:style>
  <w:style w:type="character" w:styleId="Ancladenotaalpie">
    <w:name w:val="Footnote Reference"/>
    <w:rPr>
      <w:vertAlign w:val="superscript"/>
    </w:rPr>
  </w:style>
  <w:style w:type="character" w:styleId="Caracteresdenotafinal">
    <w:name w:val="Caracteres de nota final"/>
    <w:qFormat/>
    <w:rPr>
      <w:vertAlign w:val="superscript"/>
    </w:rPr>
  </w:style>
  <w:style w:type="character" w:styleId="Ancladenotafinal">
    <w:name w:val="Endnote Reference"/>
    <w:rPr>
      <w:vertAlign w:val="superscrip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rsid w:val="00566ef2"/>
    <w:pPr>
      <w:spacing w:before="0" w:after="140"/>
    </w:pPr>
    <w:rPr/>
  </w:style>
  <w:style w:type="paragraph" w:styleId="Lista">
    <w:name w:val="List"/>
    <w:basedOn w:val="Cuerpodetexto"/>
    <w:rsid w:val="00566ef2"/>
    <w:pPr/>
    <w:rPr>
      <w:rFonts w:cs="Arial"/>
    </w:rPr>
  </w:style>
  <w:style w:type="paragraph" w:styleId="Leyenda" w:customStyle="1">
    <w:name w:val="Caption"/>
    <w:basedOn w:val="Normal"/>
    <w:qFormat/>
    <w:rsid w:val="00566ef2"/>
    <w:pPr>
      <w:suppressLineNumbers/>
      <w:spacing w:before="120" w:after="120"/>
    </w:pPr>
    <w:rPr>
      <w:rFonts w:cs="Arial"/>
      <w:i/>
      <w:iCs/>
      <w:sz w:val="24"/>
      <w:szCs w:val="24"/>
    </w:rPr>
  </w:style>
  <w:style w:type="paragraph" w:styleId="Ndice" w:customStyle="1">
    <w:name w:val="Índice"/>
    <w:basedOn w:val="Normal"/>
    <w:qFormat/>
    <w:rsid w:val="00566ef2"/>
    <w:pPr>
      <w:suppressLineNumbers/>
    </w:pPr>
    <w:rPr>
      <w:rFonts w:cs="Arial"/>
    </w:rPr>
  </w:style>
  <w:style w:type="paragraph" w:styleId="Ttulogeneral">
    <w:name w:val="Title"/>
    <w:basedOn w:val="Normal"/>
    <w:qFormat/>
    <w:rsid w:val="00566ef2"/>
    <w:pPr>
      <w:keepNext w:val="true"/>
      <w:spacing w:before="240" w:after="120"/>
    </w:pPr>
    <w:rPr>
      <w:rFonts w:ascii="Liberation Sans" w:hAnsi="Liberation Sans" w:eastAsia="Microsoft YaHei" w:cs="Arial"/>
      <w:sz w:val="28"/>
      <w:szCs w:val="28"/>
    </w:rPr>
  </w:style>
  <w:style w:type="paragraph" w:styleId="ListParagraph">
    <w:name w:val="List Paragraph"/>
    <w:basedOn w:val="Normal"/>
    <w:uiPriority w:val="34"/>
    <w:qFormat/>
    <w:rsid w:val="00b2046d"/>
    <w:pPr>
      <w:spacing w:before="0" w:after="200"/>
      <w:ind w:left="720" w:hanging="0"/>
      <w:contextualSpacing/>
    </w:pPr>
    <w:rPr/>
  </w:style>
  <w:style w:type="paragraph" w:styleId="BalloonText">
    <w:name w:val="Balloon Text"/>
    <w:basedOn w:val="Normal"/>
    <w:link w:val="TextodegloboCar"/>
    <w:uiPriority w:val="99"/>
    <w:semiHidden/>
    <w:unhideWhenUsed/>
    <w:qFormat/>
    <w:rsid w:val="001d7262"/>
    <w:pPr>
      <w:spacing w:lineRule="auto" w:line="240" w:before="0" w:after="0"/>
    </w:pPr>
    <w:rPr>
      <w:rFonts w:ascii="Tahoma" w:hAnsi="Tahoma" w:cs="Tahoma"/>
      <w:sz w:val="16"/>
      <w:szCs w:val="16"/>
    </w:rPr>
  </w:style>
  <w:style w:type="paragraph" w:styleId="Cabeceraypie">
    <w:name w:val="Cabecera y pie"/>
    <w:basedOn w:val="Normal"/>
    <w:qFormat/>
    <w:pPr/>
    <w:rPr/>
  </w:style>
  <w:style w:type="paragraph" w:styleId="Piedepgina">
    <w:name w:val="Footer"/>
    <w:basedOn w:val="Normal"/>
    <w:pPr/>
    <w:rPr/>
  </w:style>
  <w:style w:type="paragraph" w:styleId="Notaalpie">
    <w:name w:val="Footnote Text"/>
    <w:basedOn w:val="Normal"/>
    <w:pPr/>
    <w:rPr/>
  </w:style>
  <w:style w:type="paragraph" w:styleId="Cabecera">
    <w:name w:val="Header"/>
    <w:basedOn w:val="Cabeceraypie"/>
    <w:pPr>
      <w:suppressLineNumbers/>
      <w:tabs>
        <w:tab w:val="clear" w:pos="708"/>
        <w:tab w:val="center" w:pos="4252" w:leader="none"/>
        <w:tab w:val="right" w:pos="8504" w:leader="none"/>
      </w:tabs>
    </w:pPr>
    <w:rPr/>
  </w:style>
  <w:style w:type="numbering" w:styleId="NoList" w:default="1">
    <w:name w:val="No List"/>
    <w:semiHidden/>
    <w:unhideWhenUsed/>
    <w:qFormat/>
  </w:style>
  <w:style w:type="table" w:default="1" w:styleId="Tablanormal">
    <w:name w:val="Normal Table"/>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981</TotalTime>
  <Application>LibreOffice/7.5.8.2$Windows_X86_64 LibreOffice_project/f718d63693263970429a68f568db6046aaa9df01</Application>
  <AppVersion>15.0000</AppVersion>
  <Pages>8</Pages>
  <Words>2014</Words>
  <Characters>10864</Characters>
  <CharactersWithSpaces>12923</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2020-11-04T11:11:00Z</dcterms:created>
  <dc:creator>Miguel Angel Adrian</dc:creator>
  <dc:description/>
  <dc:language>es-ES</dc:language>
  <cp:lastModifiedBy/>
  <cp:lastPrinted>2024-11-11T10:33:42Z</cp:lastPrinted>
  <dcterms:modified xsi:type="dcterms:W3CDTF">2024-11-15T09:58:07Z</dcterms:modified>
  <cp:revision>87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