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PADRON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Convocatoria de subvenciones y ayudas públicas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Extracto d</w:t>
      </w:r>
      <w:r>
        <w:rPr>
          <w:rFonts w:ascii="Arial" w:hAnsi="Arial"/>
          <w:b/>
          <w:bCs/>
          <w:sz w:val="20"/>
          <w:szCs w:val="20"/>
        </w:rPr>
        <w:t>e la resolución de Alcaldía de 30/10/2024</w:t>
      </w:r>
      <w:r>
        <w:rPr>
          <w:rFonts w:ascii="Arial" w:hAnsi="Arial"/>
          <w:b/>
          <w:bCs/>
          <w:sz w:val="20"/>
          <w:szCs w:val="20"/>
        </w:rPr>
        <w:t xml:space="preserve"> donde </w:t>
      </w:r>
      <w:r>
        <w:rPr>
          <w:rFonts w:ascii="Arial" w:hAnsi="Arial"/>
          <w:b/>
          <w:bCs/>
          <w:sz w:val="20"/>
          <w:szCs w:val="20"/>
        </w:rPr>
        <w:t>ap</w:t>
      </w:r>
      <w:r>
        <w:rPr>
          <w:rFonts w:ascii="Arial" w:hAnsi="Arial"/>
          <w:b/>
          <w:bCs/>
          <w:sz w:val="20"/>
          <w:szCs w:val="20"/>
        </w:rPr>
        <w:t xml:space="preserve">robaron las Bases de la Convocatoria pública de subvenciones municipales a entidades </w:t>
      </w:r>
      <w:r>
        <w:rPr>
          <w:rFonts w:ascii="Arial" w:hAnsi="Arial"/>
          <w:b/>
          <w:bCs/>
          <w:sz w:val="20"/>
          <w:szCs w:val="20"/>
        </w:rPr>
        <w:t>deportivas sin ánimo de lucro destinadas al fomento y apoyo de la realización de actividades deportivas durante el</w:t>
      </w:r>
      <w:r>
        <w:rPr>
          <w:rFonts w:ascii="Arial" w:hAnsi="Arial"/>
          <w:b/>
          <w:bCs/>
          <w:sz w:val="20"/>
          <w:szCs w:val="20"/>
        </w:rPr>
        <w:t xml:space="preserve"> Año 202</w:t>
      </w:r>
      <w:r>
        <w:rPr>
          <w:rFonts w:ascii="Arial" w:hAnsi="Arial"/>
          <w:b/>
          <w:bCs/>
          <w:sz w:val="20"/>
          <w:szCs w:val="20"/>
        </w:rPr>
        <w:t>4</w:t>
      </w:r>
      <w:r>
        <w:rPr>
          <w:rFonts w:ascii="Arial" w:hAnsi="Arial"/>
          <w:b/>
          <w:bCs/>
          <w:sz w:val="20"/>
          <w:szCs w:val="20"/>
        </w:rPr>
        <w:t>.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</w:rPr>
      </w:pPr>
      <w:r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</w:rPr>
        <w:t>Primero.- Beneficiarios</w:t>
      </w:r>
    </w:p>
    <w:p>
      <w:pPr>
        <w:pStyle w:val="Normal"/>
        <w:jc w:val="both"/>
        <w:rPr>
          <w:rFonts w:ascii="Arial" w:hAnsi="Arial"/>
          <w:position w:val="0"/>
          <w:sz w:val="20"/>
          <w:sz w:val="20"/>
          <w:szCs w:val="20"/>
          <w:vertAlign w:val="baseline"/>
        </w:rPr>
      </w:pPr>
      <w:r>
        <w:rPr>
          <w:rFonts w:ascii="Arial" w:hAnsi="Arial"/>
          <w:position w:val="0"/>
          <w:sz w:val="20"/>
          <w:sz w:val="20"/>
          <w:szCs w:val="20"/>
          <w:vertAlign w:val="baseline"/>
        </w:rPr>
      </w:r>
    </w:p>
    <w:p>
      <w:pPr>
        <w:pStyle w:val="Normal"/>
        <w:jc w:val="both"/>
        <w:rPr>
          <w:rFonts w:ascii="Arial" w:hAnsi="Arial"/>
          <w:position w:val="0"/>
          <w:sz w:val="20"/>
          <w:sz w:val="20"/>
          <w:szCs w:val="20"/>
          <w:vertAlign w:val="baseline"/>
        </w:rPr>
      </w:pPr>
      <w:r>
        <w:rPr>
          <w:rFonts w:ascii="Arial" w:hAnsi="Arial"/>
          <w:position w:val="0"/>
          <w:sz w:val="20"/>
          <w:sz w:val="20"/>
          <w:szCs w:val="20"/>
          <w:vertAlign w:val="baseline"/>
        </w:rPr>
        <w:t>Personas o entidades públicas o privadas jurídicamente constituídas, así como agrupaciones de personas físicas y jurídicas sin personalidad jurídica constituídas para alcanzar fines señalados como subvencionables y que cumplan las siguientes  condiciones:</w:t>
      </w:r>
    </w:p>
    <w:p>
      <w:pPr>
        <w:pStyle w:val="Normal"/>
        <w:jc w:val="both"/>
        <w:rPr>
          <w:rFonts w:ascii="Arial" w:hAnsi="Arial"/>
          <w:position w:val="0"/>
          <w:sz w:val="20"/>
          <w:sz w:val="20"/>
          <w:szCs w:val="20"/>
          <w:vertAlign w:val="baseline"/>
        </w:rPr>
      </w:pPr>
      <w:r>
        <w:rPr>
          <w:rFonts w:ascii="Arial" w:hAnsi="Arial"/>
          <w:position w:val="0"/>
          <w:sz w:val="20"/>
          <w:sz w:val="20"/>
          <w:szCs w:val="20"/>
          <w:vertAlign w:val="baseline"/>
        </w:rPr>
      </w:r>
    </w:p>
    <w:p>
      <w:pPr>
        <w:pStyle w:val="Normal"/>
        <w:jc w:val="both"/>
        <w:rPr>
          <w:rFonts w:ascii="Arial" w:hAnsi="Arial"/>
          <w:sz w:val="20"/>
          <w:szCs w:val="20"/>
          <w:lang w:val="es-ES"/>
        </w:rPr>
      </w:pPr>
      <w:r>
        <w:rPr>
          <w:rFonts w:ascii="Arial" w:hAnsi="Arial"/>
          <w:sz w:val="20"/>
          <w:szCs w:val="20"/>
          <w:lang w:val="es-ES"/>
        </w:rPr>
        <w:t xml:space="preserve"> • </w:t>
      </w:r>
      <w:r>
        <w:rPr>
          <w:rFonts w:ascii="Arial" w:hAnsi="Arial"/>
          <w:sz w:val="20"/>
          <w:szCs w:val="20"/>
          <w:lang w:val="es-ES"/>
        </w:rPr>
        <w:t xml:space="preserve">Carecer de fines de lucro.                                                                                                                                          </w:t>
      </w:r>
    </w:p>
    <w:p>
      <w:pPr>
        <w:pStyle w:val="Normal"/>
        <w:jc w:val="both"/>
        <w:rPr>
          <w:rFonts w:ascii="Arial" w:hAnsi="Arial"/>
          <w:sz w:val="20"/>
          <w:szCs w:val="20"/>
          <w:lang w:val="es-ES"/>
        </w:rPr>
      </w:pPr>
      <w:r>
        <w:rPr>
          <w:rFonts w:ascii="Arial" w:hAnsi="Arial"/>
          <w:sz w:val="20"/>
          <w:szCs w:val="20"/>
          <w:lang w:val="es-ES"/>
        </w:rPr>
        <w:t xml:space="preserve"> • </w:t>
      </w:r>
      <w:r>
        <w:rPr>
          <w:rFonts w:ascii="Arial" w:hAnsi="Arial"/>
          <w:sz w:val="20"/>
          <w:szCs w:val="20"/>
          <w:lang w:val="es-ES"/>
        </w:rPr>
        <w:t>Desarrollar sus actividades en el término municipal de Padrón.</w:t>
      </w:r>
    </w:p>
    <w:p>
      <w:pPr>
        <w:pStyle w:val="Normal"/>
        <w:jc w:val="both"/>
        <w:rPr>
          <w:rFonts w:ascii="Arial" w:hAnsi="Arial"/>
          <w:sz w:val="20"/>
          <w:szCs w:val="20"/>
          <w:lang w:val="es-ES"/>
        </w:rPr>
      </w:pPr>
      <w:r>
        <w:rPr>
          <w:rFonts w:ascii="Arial" w:hAnsi="Arial"/>
          <w:sz w:val="20"/>
          <w:szCs w:val="20"/>
          <w:lang w:val="es-ES"/>
        </w:rPr>
        <w:t xml:space="preserve"> • </w:t>
      </w:r>
      <w:r>
        <w:rPr>
          <w:rFonts w:ascii="Arial" w:hAnsi="Arial"/>
          <w:sz w:val="20"/>
          <w:szCs w:val="20"/>
          <w:lang w:val="es-ES"/>
        </w:rPr>
        <w:t>No tener pendiente de justificar ninguna subvención concedida por el Ayuntamiento de Padrón.</w:t>
      </w:r>
    </w:p>
    <w:p>
      <w:pPr>
        <w:pStyle w:val="Normal"/>
        <w:jc w:val="both"/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  <w:t xml:space="preserve"> • </w:t>
      </w:r>
      <w:r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  <w:t>No estar incursas en ninguna de las causas de incompatibilidad o prohibición de las mencionadas en el artículo 13 de la LXS.</w:t>
      </w:r>
    </w:p>
    <w:p>
      <w:pPr>
        <w:pStyle w:val="Normal"/>
        <w:jc w:val="both"/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</w:r>
    </w:p>
    <w:p>
      <w:pPr>
        <w:pStyle w:val="Normal"/>
        <w:jc w:val="both"/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  <w:t>Segundo.- Finalidad</w:t>
      </w:r>
    </w:p>
    <w:p>
      <w:pPr>
        <w:pStyle w:val="Normal"/>
        <w:jc w:val="both"/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</w:r>
    </w:p>
    <w:p>
      <w:pPr>
        <w:pStyle w:val="Normal"/>
        <w:jc w:val="both"/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  <w:t>Conceder las subvenciones municipales, de acuerdo con los principios de publicidad, libre concurrencia e igualdad para la prestación de servicios o la realización de actividades que complementen o suplan a las atribuidas a la competencia municipal, o que en general, contribuyan al fomento de los intereses peculiares del Ayuntamiento de Padrón.</w:t>
      </w:r>
    </w:p>
    <w:p>
      <w:pPr>
        <w:pStyle w:val="Normal"/>
        <w:jc w:val="both"/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</w:r>
    </w:p>
    <w:p>
      <w:pPr>
        <w:pStyle w:val="Normal"/>
        <w:jc w:val="both"/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  <w:t>Tercero.- Bases reguladoras</w:t>
      </w:r>
    </w:p>
    <w:p>
      <w:pPr>
        <w:pStyle w:val="Normal"/>
        <w:jc w:val="both"/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</w:r>
    </w:p>
    <w:p>
      <w:pPr>
        <w:pStyle w:val="Normal"/>
        <w:jc w:val="both"/>
        <w:rPr>
          <w:rFonts w:ascii="Arial" w:hAnsi="Arial"/>
          <w:sz w:val="20"/>
          <w:szCs w:val="20"/>
          <w:shd w:fill="auto" w:val="clear"/>
        </w:rPr>
      </w:pP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 xml:space="preserve">Las bases reguladoras de la convocatoria pública de subvenciones municipales </w:t>
      </w:r>
      <w:r>
        <w:rPr>
          <w:rFonts w:ascii="Arial" w:hAnsi="Arial"/>
          <w:b w:val="false"/>
          <w:bCs w:val="false"/>
          <w:position w:val="0"/>
          <w:sz w:val="20"/>
          <w:sz w:val="20"/>
          <w:szCs w:val="20"/>
          <w:shd w:fill="auto" w:val="clear"/>
          <w:vertAlign w:val="baseline"/>
          <w:lang w:val="es-ES"/>
        </w:rPr>
        <w:t xml:space="preserve">a entidades </w:t>
      </w:r>
      <w:r>
        <w:rPr>
          <w:rFonts w:ascii="Arial" w:hAnsi="Arial"/>
          <w:b w:val="false"/>
          <w:bCs w:val="false"/>
          <w:position w:val="0"/>
          <w:sz w:val="20"/>
          <w:sz w:val="20"/>
          <w:szCs w:val="20"/>
          <w:shd w:fill="auto" w:val="clear"/>
          <w:vertAlign w:val="baseline"/>
          <w:lang w:val="es-ES"/>
        </w:rPr>
        <w:t>deportivas sin ánimo de lucro destinadas al fomento y apoyo de la realización de actividades deportivas durante el</w:t>
      </w:r>
      <w:r>
        <w:rPr>
          <w:rFonts w:ascii="Arial" w:hAnsi="Arial"/>
          <w:b w:val="false"/>
          <w:bCs w:val="false"/>
          <w:position w:val="0"/>
          <w:sz w:val="20"/>
          <w:sz w:val="20"/>
          <w:szCs w:val="20"/>
          <w:shd w:fill="auto" w:val="clear"/>
          <w:vertAlign w:val="baseline"/>
          <w:lang w:val="es-ES"/>
        </w:rPr>
        <w:t xml:space="preserve"> Año 202</w:t>
      </w:r>
      <w:r>
        <w:rPr>
          <w:rFonts w:ascii="Arial" w:hAnsi="Arial"/>
          <w:b w:val="false"/>
          <w:bCs w:val="false"/>
          <w:position w:val="0"/>
          <w:sz w:val="20"/>
          <w:sz w:val="20"/>
          <w:szCs w:val="20"/>
          <w:shd w:fill="auto" w:val="clear"/>
          <w:vertAlign w:val="baseline"/>
          <w:lang w:val="es-ES"/>
        </w:rPr>
        <w:t>4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 xml:space="preserve"> publicadas en el BOP de A Coruña n.º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>213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 xml:space="preserve">, 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 xml:space="preserve">de 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>5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 xml:space="preserve"> 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 xml:space="preserve">de 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>Noviembre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 xml:space="preserve"> 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>de 202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>4</w:t>
      </w:r>
      <w:r>
        <w:rPr>
          <w:rFonts w:ascii="Arial" w:hAnsi="Arial"/>
          <w:position w:val="0"/>
          <w:sz w:val="20"/>
          <w:sz w:val="20"/>
          <w:szCs w:val="20"/>
          <w:shd w:fill="auto" w:val="clear"/>
          <w:vertAlign w:val="baseline"/>
          <w:lang w:val="es-ES"/>
        </w:rPr>
        <w:t>.</w:t>
      </w:r>
    </w:p>
    <w:p>
      <w:pPr>
        <w:pStyle w:val="Normal"/>
        <w:jc w:val="both"/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position w:val="0"/>
          <w:sz w:val="20"/>
          <w:sz w:val="20"/>
          <w:szCs w:val="20"/>
          <w:vertAlign w:val="baseline"/>
          <w:lang w:val="es-ES"/>
        </w:rPr>
      </w:r>
    </w:p>
    <w:p>
      <w:pPr>
        <w:pStyle w:val="Normal"/>
        <w:jc w:val="both"/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  <w:t>Cuarto.- Importe</w:t>
      </w:r>
    </w:p>
    <w:p>
      <w:pPr>
        <w:pStyle w:val="Normal"/>
        <w:jc w:val="both"/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</w:r>
    </w:p>
    <w:p>
      <w:pPr>
        <w:pStyle w:val="Normal"/>
        <w:jc w:val="both"/>
        <w:rPr>
          <w:rFonts w:ascii="Arial" w:hAnsi="Arial"/>
          <w:b w:val="false"/>
          <w:bCs w:val="false"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b w:val="false"/>
          <w:bCs w:val="false"/>
          <w:position w:val="0"/>
          <w:sz w:val="20"/>
          <w:sz w:val="20"/>
          <w:szCs w:val="20"/>
          <w:vertAlign w:val="baseline"/>
          <w:lang w:val="es-ES"/>
        </w:rPr>
        <w:t xml:space="preserve">El importe total de la presente convocatoria asciende a </w:t>
      </w:r>
      <w:r>
        <w:rPr>
          <w:rFonts w:ascii="Arial" w:hAnsi="Arial"/>
          <w:b w:val="false"/>
          <w:bCs w:val="false"/>
          <w:position w:val="0"/>
          <w:sz w:val="20"/>
          <w:sz w:val="20"/>
          <w:szCs w:val="20"/>
          <w:vertAlign w:val="baseline"/>
          <w:lang w:val="es-ES"/>
        </w:rPr>
        <w:t>15</w:t>
      </w:r>
      <w:r>
        <w:rPr>
          <w:rFonts w:ascii="Arial" w:hAnsi="Arial"/>
          <w:b w:val="false"/>
          <w:bCs w:val="false"/>
          <w:position w:val="0"/>
          <w:sz w:val="20"/>
          <w:sz w:val="20"/>
          <w:szCs w:val="20"/>
          <w:vertAlign w:val="baseline"/>
          <w:lang w:val="es-ES"/>
        </w:rPr>
        <w:t>.000 €.</w:t>
      </w:r>
    </w:p>
    <w:p>
      <w:pPr>
        <w:pStyle w:val="Normal"/>
        <w:jc w:val="both"/>
        <w:rPr>
          <w:rFonts w:ascii="Arial" w:hAnsi="Arial"/>
          <w:b w:val="false"/>
          <w:bCs w:val="false"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b w:val="false"/>
          <w:bCs w:val="false"/>
          <w:position w:val="0"/>
          <w:sz w:val="20"/>
          <w:sz w:val="20"/>
          <w:szCs w:val="20"/>
          <w:vertAlign w:val="baseline"/>
          <w:lang w:val="es-ES"/>
        </w:rPr>
      </w:r>
    </w:p>
    <w:p>
      <w:pPr>
        <w:pStyle w:val="Normal"/>
        <w:jc w:val="both"/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  <w:t>Quinto.- Plazo de presentación de solicitudes</w:t>
      </w:r>
    </w:p>
    <w:p>
      <w:pPr>
        <w:pStyle w:val="Normal"/>
        <w:jc w:val="both"/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b/>
          <w:bCs/>
          <w:position w:val="0"/>
          <w:sz w:val="20"/>
          <w:sz w:val="20"/>
          <w:szCs w:val="20"/>
          <w:vertAlign w:val="baseline"/>
          <w:lang w:val="es-ES"/>
        </w:rPr>
      </w:r>
    </w:p>
    <w:p>
      <w:pPr>
        <w:pStyle w:val="Normal"/>
        <w:jc w:val="both"/>
        <w:rPr>
          <w:rFonts w:ascii="Arial" w:hAnsi="Arial"/>
          <w:b w:val="false"/>
          <w:bCs w:val="false"/>
          <w:position w:val="0"/>
          <w:sz w:val="20"/>
          <w:sz w:val="20"/>
          <w:szCs w:val="20"/>
          <w:vertAlign w:val="baseline"/>
          <w:lang w:val="es-ES"/>
        </w:rPr>
      </w:pPr>
      <w:r>
        <w:rPr>
          <w:rFonts w:ascii="Arial" w:hAnsi="Arial"/>
          <w:b w:val="false"/>
          <w:bCs w:val="false"/>
          <w:position w:val="0"/>
          <w:sz w:val="20"/>
          <w:sz w:val="20"/>
          <w:szCs w:val="20"/>
          <w:vertAlign w:val="baseline"/>
          <w:lang w:val="es-ES"/>
        </w:rPr>
        <w:t>15 días naturales contados a partir del día siguiente al de publicación del extracto de la convocatoria en el BOP de A Coruña.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true"/>
      <w:bidi w:val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92</TotalTime>
  <Application>LibreOffice/24.2.5.2$Windows_X86_64 LibreOffice_project/bffef4ea93e59bebbeaf7f431bb02b1a39ee8a59</Application>
  <AppVersion>15.0000</AppVersion>
  <Pages>1</Pages>
  <Words>279</Words>
  <Characters>1571</Characters>
  <CharactersWithSpaces>1977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2021-06-24T10:27:38Z</dcterms:created>
  <dc:creator/>
  <dc:description/>
  <dc:language>gl-ES</dc:language>
  <cp:lastModifiedBy/>
  <dcterms:modified xsi:type="dcterms:W3CDTF">2024-11-05T10:39:23Z</dcterms:modified>
  <cp:revision>11</cp:revision>
  <dc:subject/>
  <dc:title/>
</cp:coreProperties>
</file>