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72C739" w14:textId="4F35B8D5" w:rsidR="00FF4F74" w:rsidRDefault="00FF4F74" w:rsidP="00FF4F74">
      <w:pPr>
        <w:spacing w:line="360" w:lineRule="auto"/>
        <w:jc w:val="center"/>
        <w:rPr>
          <w:rFonts w:ascii="Arial" w:hAnsi="Arial" w:cs="Arial"/>
          <w:b/>
          <w:u w:val="single"/>
        </w:rPr>
      </w:pPr>
      <w:r>
        <w:rPr>
          <w:rFonts w:ascii="Arial" w:hAnsi="Arial" w:cs="Arial"/>
          <w:b/>
          <w:u w:val="single"/>
        </w:rPr>
        <w:t>EDICT</w:t>
      </w:r>
      <w:r>
        <w:rPr>
          <w:rFonts w:ascii="Arial" w:hAnsi="Arial" w:cs="Arial"/>
          <w:b/>
          <w:u w:val="single"/>
        </w:rPr>
        <w:t>O</w:t>
      </w:r>
    </w:p>
    <w:p w14:paraId="5D51CA38" w14:textId="77777777" w:rsidR="00FF4F74" w:rsidRDefault="00FF4F74" w:rsidP="00FF4F74">
      <w:pPr>
        <w:spacing w:line="360" w:lineRule="auto"/>
        <w:rPr>
          <w:rFonts w:ascii="Arial" w:hAnsi="Arial" w:cs="Arial"/>
        </w:rPr>
      </w:pPr>
    </w:p>
    <w:p w14:paraId="25C7B17E" w14:textId="77777777" w:rsidR="00FF4F74" w:rsidRDefault="00FF4F74" w:rsidP="00FF4F74">
      <w:pPr>
        <w:spacing w:line="360" w:lineRule="auto"/>
        <w:jc w:val="both"/>
        <w:rPr>
          <w:rFonts w:ascii="Arial" w:hAnsi="Arial" w:cs="Arial"/>
        </w:rPr>
      </w:pPr>
    </w:p>
    <w:p w14:paraId="1333D2A3" w14:textId="77777777" w:rsidR="00FF4F74" w:rsidRPr="00FF4F74" w:rsidRDefault="00FF4F74" w:rsidP="00FF4F74">
      <w:pPr>
        <w:spacing w:line="360" w:lineRule="auto"/>
        <w:jc w:val="both"/>
        <w:rPr>
          <w:rFonts w:ascii="Arial" w:hAnsi="Arial"/>
          <w:lang w:val="es-ES"/>
        </w:rPr>
      </w:pPr>
      <w:r w:rsidRPr="00FF4F74">
        <w:rPr>
          <w:rFonts w:ascii="Arial" w:hAnsi="Arial"/>
          <w:lang w:val="es-ES"/>
        </w:rPr>
        <w:t>En fecha 1 de julio de 2024, la Alcaldía ha dictado Resolución de Alcaldía por la que se ordenaba la incoación del expediente para proceder a la elaboración del expediente por la elaboración de las bases y convocatoria de subvenciones por la rehabilitación de fachadas de los inmuebles para el 2024.</w:t>
      </w:r>
    </w:p>
    <w:p w14:paraId="4624605A" w14:textId="77777777" w:rsidR="00FF4F74" w:rsidRPr="00FF4F74" w:rsidRDefault="00FF4F74" w:rsidP="00FF4F74">
      <w:pPr>
        <w:spacing w:line="360" w:lineRule="auto"/>
        <w:jc w:val="both"/>
        <w:rPr>
          <w:rFonts w:ascii="Arial" w:hAnsi="Arial"/>
          <w:lang w:val="es-ES"/>
        </w:rPr>
      </w:pPr>
    </w:p>
    <w:p w14:paraId="7C912BD1" w14:textId="77777777" w:rsidR="00FF4F74" w:rsidRPr="00FF4F74" w:rsidRDefault="00FF4F74" w:rsidP="00FF4F74">
      <w:pPr>
        <w:spacing w:line="360" w:lineRule="auto"/>
        <w:jc w:val="both"/>
        <w:rPr>
          <w:rFonts w:ascii="Arial" w:hAnsi="Arial"/>
          <w:lang w:val="es-ES"/>
        </w:rPr>
      </w:pPr>
      <w:r w:rsidRPr="00FF4F74">
        <w:rPr>
          <w:rFonts w:ascii="Arial" w:hAnsi="Arial"/>
          <w:lang w:val="es-ES"/>
        </w:rPr>
        <w:t>El Pleno del Ayuntamiento de Bellvís, en sesión ordinaria de fecha 11 de julio de 2024, aprobó inicialmente la Ordenanza municipal reguladora de las bases de las subvenciones para la rehabilitación de fachadas de los inmuebles, año 2024, el texto íntegro de las cuales consta en el expediente.</w:t>
      </w:r>
    </w:p>
    <w:p w14:paraId="684AE9EF" w14:textId="77777777" w:rsidR="00FF4F74" w:rsidRPr="00FF4F74" w:rsidRDefault="00FF4F74" w:rsidP="00FF4F74">
      <w:pPr>
        <w:spacing w:line="360" w:lineRule="auto"/>
        <w:jc w:val="both"/>
        <w:rPr>
          <w:rFonts w:ascii="Arial" w:hAnsi="Arial"/>
          <w:lang w:val="es-ES"/>
        </w:rPr>
      </w:pPr>
    </w:p>
    <w:p w14:paraId="1CFD5D27" w14:textId="7855300E" w:rsidR="00FF4F74" w:rsidRPr="00FF4F74" w:rsidRDefault="00FF4F74" w:rsidP="00FF4F74">
      <w:pPr>
        <w:spacing w:line="360" w:lineRule="auto"/>
        <w:jc w:val="both"/>
        <w:rPr>
          <w:rFonts w:ascii="Arial" w:hAnsi="Arial"/>
          <w:lang w:val="es-ES"/>
        </w:rPr>
      </w:pPr>
      <w:r w:rsidRPr="00FF4F74">
        <w:rPr>
          <w:rFonts w:ascii="Arial" w:hAnsi="Arial"/>
          <w:lang w:val="es-ES"/>
        </w:rPr>
        <w:t xml:space="preserve">La Junta de Gobierno Local, en sesión de fecha </w:t>
      </w:r>
      <w:r>
        <w:rPr>
          <w:rFonts w:ascii="Arial" w:hAnsi="Arial"/>
          <w:lang w:val="es-ES"/>
        </w:rPr>
        <w:t>15 de octubre</w:t>
      </w:r>
      <w:r w:rsidRPr="00FF4F74">
        <w:rPr>
          <w:rFonts w:ascii="Arial" w:hAnsi="Arial"/>
          <w:lang w:val="es-ES"/>
        </w:rPr>
        <w:t xml:space="preserve"> de 2024, aprobó la convocatoria correspondiente al año 2024, por importe total de 1.500 euros, con cargo a la aplicación presupuestaria de gastos 48.000/231 – Atenciones benéficas y asistenciales, del presupuesto municipal para el ejercicio 2024.</w:t>
      </w:r>
    </w:p>
    <w:p w14:paraId="3EEB6727" w14:textId="77777777" w:rsidR="00FF4F74" w:rsidRPr="00FF4F74" w:rsidRDefault="00FF4F74" w:rsidP="00FF4F74">
      <w:pPr>
        <w:spacing w:line="360" w:lineRule="auto"/>
        <w:jc w:val="both"/>
        <w:rPr>
          <w:rFonts w:ascii="Arial" w:hAnsi="Arial"/>
          <w:lang w:val="es-ES"/>
        </w:rPr>
      </w:pPr>
    </w:p>
    <w:p w14:paraId="67E10FAB" w14:textId="77777777" w:rsidR="00FF4F74" w:rsidRPr="00FF4F74" w:rsidRDefault="00FF4F74" w:rsidP="00FF4F74">
      <w:pPr>
        <w:spacing w:line="360" w:lineRule="auto"/>
        <w:jc w:val="both"/>
        <w:rPr>
          <w:rFonts w:ascii="Arial" w:hAnsi="Arial"/>
          <w:lang w:val="es-ES"/>
        </w:rPr>
      </w:pPr>
      <w:r w:rsidRPr="00FF4F74">
        <w:rPr>
          <w:rFonts w:ascii="Arial" w:hAnsi="Arial"/>
          <w:lang w:val="es-ES"/>
        </w:rPr>
        <w:t>El plazo para la presentación de las solicitudes está abierto durante el plazo en que se mantenga vigente esta ordenanza y exista partida presupuestaria en el presupuesto de gastos del ayuntamiento del ejercicio correspondiente.</w:t>
      </w:r>
    </w:p>
    <w:p w14:paraId="4022FE6B" w14:textId="77777777" w:rsidR="00FF4F74" w:rsidRPr="00FF4F74" w:rsidRDefault="00FF4F74" w:rsidP="00FF4F74">
      <w:pPr>
        <w:spacing w:line="360" w:lineRule="auto"/>
        <w:jc w:val="both"/>
        <w:rPr>
          <w:rFonts w:ascii="Arial" w:hAnsi="Arial"/>
          <w:lang w:val="es-ES"/>
        </w:rPr>
      </w:pPr>
    </w:p>
    <w:p w14:paraId="19872CE9" w14:textId="77777777" w:rsidR="00FF4F74" w:rsidRPr="00FF4F74" w:rsidRDefault="00FF4F74" w:rsidP="00FF4F74">
      <w:pPr>
        <w:spacing w:line="360" w:lineRule="auto"/>
        <w:jc w:val="both"/>
        <w:rPr>
          <w:rFonts w:ascii="Arial" w:hAnsi="Arial"/>
          <w:lang w:val="es-ES"/>
        </w:rPr>
      </w:pPr>
      <w:r w:rsidRPr="00FF4F74">
        <w:rPr>
          <w:rFonts w:ascii="Arial" w:hAnsi="Arial"/>
          <w:lang w:val="es-ES"/>
        </w:rPr>
        <w:t>Las solicitudes de ayudas económicas se formularán ante el Ayuntamiento al solicitar la licencia correspondiente, en los modelos oficiales y acompañando la siguiente documentación:</w:t>
      </w:r>
    </w:p>
    <w:p w14:paraId="71D2988B" w14:textId="77777777" w:rsidR="00FF4F74" w:rsidRPr="00FF4F74" w:rsidRDefault="00FF4F74" w:rsidP="00FF4F74">
      <w:pPr>
        <w:spacing w:line="360" w:lineRule="auto"/>
        <w:jc w:val="both"/>
        <w:rPr>
          <w:rFonts w:ascii="Arial" w:hAnsi="Arial"/>
          <w:lang w:val="es-ES"/>
        </w:rPr>
      </w:pPr>
    </w:p>
    <w:p w14:paraId="3C52C296" w14:textId="1210C285" w:rsidR="00FF4F74" w:rsidRPr="00FF4F74" w:rsidRDefault="00FF4F74" w:rsidP="00FF4F74">
      <w:pPr>
        <w:spacing w:line="360" w:lineRule="auto"/>
        <w:jc w:val="both"/>
        <w:rPr>
          <w:rFonts w:ascii="Arial" w:hAnsi="Arial"/>
          <w:lang w:val="es-ES"/>
        </w:rPr>
      </w:pPr>
      <w:r w:rsidRPr="00FF4F74">
        <w:rPr>
          <w:rFonts w:ascii="Arial" w:hAnsi="Arial"/>
          <w:lang w:val="es-ES"/>
        </w:rPr>
        <w:t xml:space="preserve">a) </w:t>
      </w:r>
      <w:r>
        <w:rPr>
          <w:rFonts w:ascii="Arial" w:hAnsi="Arial"/>
          <w:lang w:val="es-ES"/>
        </w:rPr>
        <w:t>P</w:t>
      </w:r>
      <w:r w:rsidRPr="00FF4F74">
        <w:rPr>
          <w:rFonts w:ascii="Arial" w:hAnsi="Arial"/>
          <w:lang w:val="es-ES"/>
        </w:rPr>
        <w:t>royecto técnico suscrito por técnico competente y visado por el correspondiente colegio profesional,</w:t>
      </w:r>
      <w:r>
        <w:rPr>
          <w:rFonts w:ascii="Arial" w:hAnsi="Arial"/>
          <w:lang w:val="es-ES"/>
        </w:rPr>
        <w:t xml:space="preserve"> </w:t>
      </w:r>
      <w:r w:rsidRPr="00FF4F74">
        <w:rPr>
          <w:rFonts w:ascii="Arial" w:hAnsi="Arial"/>
          <w:lang w:val="es-ES"/>
        </w:rPr>
        <w:t>cuando la intervención sobre el edificio así lo exija.</w:t>
      </w:r>
    </w:p>
    <w:p w14:paraId="1E93723D" w14:textId="77777777" w:rsidR="00FB6BD5" w:rsidRDefault="00FB6BD5" w:rsidP="00FF4F74">
      <w:pPr>
        <w:spacing w:line="360" w:lineRule="auto"/>
        <w:jc w:val="both"/>
        <w:rPr>
          <w:rFonts w:ascii="Arial" w:hAnsi="Arial"/>
          <w:lang w:val="es-ES"/>
        </w:rPr>
      </w:pPr>
    </w:p>
    <w:p w14:paraId="4DFFC1D1" w14:textId="0FC89F49" w:rsidR="00FF4F74" w:rsidRPr="00FF4F74" w:rsidRDefault="00FB6BD5" w:rsidP="00FF4F74">
      <w:pPr>
        <w:spacing w:line="360" w:lineRule="auto"/>
        <w:jc w:val="both"/>
        <w:rPr>
          <w:rFonts w:ascii="Arial" w:hAnsi="Arial"/>
          <w:lang w:val="es-ES"/>
        </w:rPr>
      </w:pPr>
      <w:r>
        <w:rPr>
          <w:rFonts w:ascii="Arial" w:hAnsi="Arial"/>
          <w:lang w:val="es-ES"/>
        </w:rPr>
        <w:t>b</w:t>
      </w:r>
      <w:r w:rsidR="00FF4F74" w:rsidRPr="00FF4F74">
        <w:rPr>
          <w:rFonts w:ascii="Arial" w:hAnsi="Arial"/>
          <w:lang w:val="es-ES"/>
        </w:rPr>
        <w:t>) En el resto de los casos:</w:t>
      </w:r>
    </w:p>
    <w:p w14:paraId="67BB5A25" w14:textId="280326BC" w:rsidR="00FF4F74" w:rsidRPr="00FF4F74" w:rsidRDefault="00FF4F74" w:rsidP="00FF4F74">
      <w:pPr>
        <w:spacing w:line="360" w:lineRule="auto"/>
        <w:jc w:val="both"/>
        <w:rPr>
          <w:rFonts w:ascii="Arial" w:hAnsi="Arial"/>
          <w:lang w:val="es-ES"/>
        </w:rPr>
      </w:pPr>
      <w:r w:rsidRPr="00FF4F74">
        <w:rPr>
          <w:rFonts w:ascii="Arial" w:hAnsi="Arial"/>
          <w:lang w:val="es-ES"/>
        </w:rPr>
        <w:t xml:space="preserve">  - </w:t>
      </w:r>
      <w:r>
        <w:rPr>
          <w:rFonts w:ascii="Arial" w:hAnsi="Arial"/>
          <w:lang w:val="es-ES"/>
        </w:rPr>
        <w:t>M</w:t>
      </w:r>
      <w:r w:rsidRPr="00FF4F74">
        <w:rPr>
          <w:rFonts w:ascii="Arial" w:hAnsi="Arial"/>
          <w:lang w:val="es-ES"/>
        </w:rPr>
        <w:t>emoria explicativa de la actuación</w:t>
      </w:r>
      <w:r>
        <w:rPr>
          <w:rFonts w:ascii="Arial" w:hAnsi="Arial"/>
          <w:lang w:val="es-ES"/>
        </w:rPr>
        <w:t>.</w:t>
      </w:r>
    </w:p>
    <w:p w14:paraId="197E3AE0" w14:textId="59CA1C2B" w:rsidR="00FF4F74" w:rsidRPr="00FF4F74" w:rsidRDefault="00FF4F74" w:rsidP="00FF4F74">
      <w:pPr>
        <w:spacing w:line="360" w:lineRule="auto"/>
        <w:jc w:val="both"/>
        <w:rPr>
          <w:rFonts w:ascii="Arial" w:hAnsi="Arial"/>
          <w:lang w:val="es-ES"/>
        </w:rPr>
      </w:pPr>
      <w:r w:rsidRPr="00FF4F74">
        <w:rPr>
          <w:rFonts w:ascii="Arial" w:hAnsi="Arial"/>
          <w:lang w:val="es-ES"/>
        </w:rPr>
        <w:t xml:space="preserve">  - </w:t>
      </w:r>
      <w:r>
        <w:rPr>
          <w:rFonts w:ascii="Arial" w:hAnsi="Arial"/>
          <w:lang w:val="es-ES"/>
        </w:rPr>
        <w:t>P</w:t>
      </w:r>
      <w:r w:rsidRPr="00FF4F74">
        <w:rPr>
          <w:rFonts w:ascii="Arial" w:hAnsi="Arial"/>
          <w:lang w:val="es-ES"/>
        </w:rPr>
        <w:t>resupuesto detallado por partidas</w:t>
      </w:r>
      <w:r>
        <w:rPr>
          <w:rFonts w:ascii="Arial" w:hAnsi="Arial"/>
          <w:lang w:val="es-ES"/>
        </w:rPr>
        <w:t>.</w:t>
      </w:r>
    </w:p>
    <w:p w14:paraId="1AA55967" w14:textId="69F1EC47" w:rsidR="00FF4F74" w:rsidRPr="00FF4F74" w:rsidRDefault="00FF4F74" w:rsidP="00FF4F74">
      <w:pPr>
        <w:spacing w:line="360" w:lineRule="auto"/>
        <w:jc w:val="both"/>
        <w:rPr>
          <w:rFonts w:ascii="Arial" w:hAnsi="Arial"/>
          <w:lang w:val="es-ES"/>
        </w:rPr>
      </w:pPr>
      <w:r w:rsidRPr="00FF4F74">
        <w:rPr>
          <w:rFonts w:ascii="Arial" w:hAnsi="Arial"/>
          <w:lang w:val="es-ES"/>
        </w:rPr>
        <w:t xml:space="preserve">  - </w:t>
      </w:r>
      <w:r>
        <w:rPr>
          <w:rFonts w:ascii="Arial" w:hAnsi="Arial"/>
          <w:lang w:val="es-ES"/>
        </w:rPr>
        <w:t>P</w:t>
      </w:r>
      <w:r w:rsidRPr="00FF4F74">
        <w:rPr>
          <w:rFonts w:ascii="Arial" w:hAnsi="Arial"/>
          <w:lang w:val="es-ES"/>
        </w:rPr>
        <w:t>lano de la actuación.</w:t>
      </w:r>
    </w:p>
    <w:p w14:paraId="1B1DB9B1" w14:textId="77777777" w:rsidR="00FB6BD5" w:rsidRDefault="00FB6BD5" w:rsidP="00FF4F74">
      <w:pPr>
        <w:spacing w:line="360" w:lineRule="auto"/>
        <w:jc w:val="both"/>
        <w:rPr>
          <w:rFonts w:ascii="Arial" w:hAnsi="Arial"/>
          <w:lang w:val="es-ES"/>
        </w:rPr>
      </w:pPr>
    </w:p>
    <w:p w14:paraId="4512E4C1" w14:textId="199242EA" w:rsidR="00FF4F74" w:rsidRPr="00FF4F74" w:rsidRDefault="00FF4F74" w:rsidP="00FF4F74">
      <w:pPr>
        <w:spacing w:line="360" w:lineRule="auto"/>
        <w:jc w:val="both"/>
        <w:rPr>
          <w:rFonts w:ascii="Arial" w:hAnsi="Arial"/>
          <w:lang w:val="es-ES"/>
        </w:rPr>
      </w:pPr>
      <w:r w:rsidRPr="00FF4F74">
        <w:rPr>
          <w:rFonts w:ascii="Arial" w:hAnsi="Arial"/>
          <w:lang w:val="es-ES"/>
        </w:rPr>
        <w:t>c) Documento público acreditativo de la propiedad.</w:t>
      </w:r>
    </w:p>
    <w:p w14:paraId="00DE8739" w14:textId="77777777" w:rsidR="00FF4F74" w:rsidRPr="00FF4F74" w:rsidRDefault="00FF4F74" w:rsidP="00FF4F74">
      <w:pPr>
        <w:spacing w:line="360" w:lineRule="auto"/>
        <w:jc w:val="both"/>
        <w:rPr>
          <w:rFonts w:ascii="Arial" w:hAnsi="Arial"/>
          <w:lang w:val="es-ES"/>
        </w:rPr>
      </w:pPr>
      <w:r w:rsidRPr="00FF4F74">
        <w:rPr>
          <w:rFonts w:ascii="Arial" w:hAnsi="Arial"/>
          <w:lang w:val="es-ES"/>
        </w:rPr>
        <w:lastRenderedPageBreak/>
        <w:t>d) Consentimiento de los ocupados por cualquier título de la vivienda objeto de rehabilitación, cuando se trate de personas distintas del propietario que solicita la subvención.</w:t>
      </w:r>
    </w:p>
    <w:p w14:paraId="0EBA2F3C" w14:textId="77777777" w:rsidR="00FB6BD5" w:rsidRDefault="00FB6BD5" w:rsidP="00FF4F74">
      <w:pPr>
        <w:spacing w:line="360" w:lineRule="auto"/>
        <w:jc w:val="both"/>
        <w:rPr>
          <w:rFonts w:ascii="Arial" w:hAnsi="Arial"/>
          <w:lang w:val="es-ES"/>
        </w:rPr>
      </w:pPr>
    </w:p>
    <w:p w14:paraId="73F657A4" w14:textId="5E6974FE" w:rsidR="00FF4F74" w:rsidRPr="00FF4F74" w:rsidRDefault="00FF4F74" w:rsidP="00FF4F74">
      <w:pPr>
        <w:spacing w:line="360" w:lineRule="auto"/>
        <w:jc w:val="both"/>
        <w:rPr>
          <w:rFonts w:ascii="Arial" w:hAnsi="Arial"/>
          <w:lang w:val="es-ES"/>
        </w:rPr>
      </w:pPr>
      <w:r w:rsidRPr="00FF4F74">
        <w:rPr>
          <w:rFonts w:ascii="Arial" w:hAnsi="Arial"/>
          <w:lang w:val="es-ES"/>
        </w:rPr>
        <w:t>e) Cualquier documento que el Ayuntamiento crea necesario o exija el técnico municipal.</w:t>
      </w:r>
    </w:p>
    <w:p w14:paraId="4C8D28C9" w14:textId="77777777" w:rsidR="00FF4F74" w:rsidRPr="00FF4F74" w:rsidRDefault="00FF4F74" w:rsidP="00FF4F74">
      <w:pPr>
        <w:spacing w:line="360" w:lineRule="auto"/>
        <w:jc w:val="both"/>
        <w:rPr>
          <w:rFonts w:ascii="Arial" w:hAnsi="Arial"/>
          <w:lang w:val="es-ES"/>
        </w:rPr>
      </w:pPr>
    </w:p>
    <w:p w14:paraId="5E629649" w14:textId="77777777" w:rsidR="00FF4F74" w:rsidRPr="00FF4F74" w:rsidRDefault="00FF4F74" w:rsidP="00FF4F74">
      <w:pPr>
        <w:spacing w:line="360" w:lineRule="auto"/>
        <w:jc w:val="both"/>
        <w:rPr>
          <w:rFonts w:ascii="Arial" w:hAnsi="Arial"/>
          <w:lang w:val="es-ES"/>
        </w:rPr>
      </w:pPr>
    </w:p>
    <w:p w14:paraId="072C649C" w14:textId="77777777" w:rsidR="00FF4F74" w:rsidRPr="00FF4F74" w:rsidRDefault="00FF4F74" w:rsidP="00FF4F74">
      <w:pPr>
        <w:spacing w:line="360" w:lineRule="auto"/>
        <w:jc w:val="both"/>
        <w:rPr>
          <w:rFonts w:ascii="Arial" w:hAnsi="Arial"/>
          <w:lang w:val="es-ES"/>
        </w:rPr>
      </w:pPr>
      <w:r w:rsidRPr="00FF4F74">
        <w:rPr>
          <w:rFonts w:ascii="Arial" w:hAnsi="Arial"/>
          <w:lang w:val="es-ES"/>
        </w:rPr>
        <w:t>Bellvís, en la fecha de la firma electrónica.</w:t>
      </w:r>
    </w:p>
    <w:p w14:paraId="4D1C7256" w14:textId="77777777" w:rsidR="00FF4F74" w:rsidRPr="00FF4F74" w:rsidRDefault="00FF4F74" w:rsidP="00FF4F74">
      <w:pPr>
        <w:spacing w:line="360" w:lineRule="auto"/>
        <w:jc w:val="both"/>
        <w:rPr>
          <w:rFonts w:ascii="Arial" w:hAnsi="Arial"/>
          <w:lang w:val="es-ES"/>
        </w:rPr>
      </w:pPr>
    </w:p>
    <w:p w14:paraId="575B39E3" w14:textId="77777777" w:rsidR="00FF4F74" w:rsidRPr="00FF4F74" w:rsidRDefault="00FF4F74" w:rsidP="00FF4F74">
      <w:pPr>
        <w:spacing w:line="360" w:lineRule="auto"/>
        <w:jc w:val="both"/>
        <w:rPr>
          <w:rFonts w:ascii="Arial" w:hAnsi="Arial"/>
          <w:lang w:val="es-ES"/>
        </w:rPr>
      </w:pPr>
    </w:p>
    <w:p w14:paraId="61C8A1D7" w14:textId="77777777" w:rsidR="00FF4F74" w:rsidRPr="00FF4F74" w:rsidRDefault="00FF4F74" w:rsidP="00FF4F74">
      <w:pPr>
        <w:spacing w:line="360" w:lineRule="auto"/>
        <w:jc w:val="both"/>
        <w:rPr>
          <w:rFonts w:ascii="Arial" w:hAnsi="Arial"/>
          <w:lang w:val="es-ES"/>
        </w:rPr>
      </w:pPr>
    </w:p>
    <w:p w14:paraId="68F58FEB" w14:textId="77777777" w:rsidR="00FF4F74" w:rsidRPr="00FF4F74" w:rsidRDefault="00FF4F74" w:rsidP="00FF4F74">
      <w:pPr>
        <w:spacing w:line="360" w:lineRule="auto"/>
        <w:jc w:val="both"/>
        <w:rPr>
          <w:rFonts w:ascii="Arial" w:hAnsi="Arial"/>
          <w:lang w:val="es-ES"/>
        </w:rPr>
      </w:pPr>
    </w:p>
    <w:p w14:paraId="2F9F09E8" w14:textId="77777777" w:rsidR="00FF4F74" w:rsidRPr="00FF4F74" w:rsidRDefault="00FF4F74" w:rsidP="00FF4F74">
      <w:pPr>
        <w:spacing w:line="360" w:lineRule="auto"/>
        <w:jc w:val="both"/>
        <w:rPr>
          <w:rFonts w:ascii="Arial" w:hAnsi="Arial"/>
          <w:lang w:val="es-ES"/>
        </w:rPr>
      </w:pPr>
    </w:p>
    <w:p w14:paraId="034BD377" w14:textId="77777777" w:rsidR="00FF4F74" w:rsidRPr="00FF4F74" w:rsidRDefault="00FF4F74" w:rsidP="00FF4F74">
      <w:pPr>
        <w:spacing w:line="360" w:lineRule="auto"/>
        <w:jc w:val="both"/>
        <w:rPr>
          <w:rFonts w:ascii="Arial" w:hAnsi="Arial"/>
          <w:lang w:val="es-ES"/>
        </w:rPr>
      </w:pPr>
      <w:r w:rsidRPr="00FF4F74">
        <w:rPr>
          <w:rFonts w:ascii="Arial" w:hAnsi="Arial"/>
          <w:lang w:val="es-ES"/>
        </w:rPr>
        <w:t>La alcaldesa</w:t>
      </w:r>
    </w:p>
    <w:p w14:paraId="4833C86E" w14:textId="0EFC28F7" w:rsidR="00FF4F74" w:rsidRPr="00FF4F74" w:rsidRDefault="00FF4F74" w:rsidP="00FF4F74">
      <w:pPr>
        <w:spacing w:line="360" w:lineRule="auto"/>
        <w:jc w:val="both"/>
        <w:rPr>
          <w:lang w:val="es-ES"/>
        </w:rPr>
      </w:pPr>
      <w:r w:rsidRPr="00FF4F74">
        <w:rPr>
          <w:rFonts w:ascii="Arial" w:hAnsi="Arial"/>
          <w:lang w:val="es-ES"/>
        </w:rPr>
        <w:t>Silvia Escalé Farrera</w:t>
      </w:r>
    </w:p>
    <w:sectPr w:rsidR="00FF4F74" w:rsidRPr="00FF4F7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6B6D58"/>
    <w:multiLevelType w:val="multilevel"/>
    <w:tmpl w:val="496AC2F2"/>
    <w:lvl w:ilvl="0">
      <w:start w:val="3"/>
      <w:numFmt w:val="lowerLetter"/>
      <w:lvlText w:val="%1)"/>
      <w:lvlJc w:val="left"/>
      <w:pPr>
        <w:tabs>
          <w:tab w:val="num" w:pos="0"/>
        </w:tabs>
        <w:ind w:left="117" w:hanging="245"/>
      </w:pPr>
      <w:rPr>
        <w:rFonts w:ascii="Arial" w:hAnsi="Arial"/>
        <w:b w:val="0"/>
        <w:sz w:val="22"/>
      </w:rPr>
    </w:lvl>
    <w:lvl w:ilvl="1">
      <w:numFmt w:val="bullet"/>
      <w:lvlText w:val=""/>
      <w:lvlJc w:val="left"/>
      <w:pPr>
        <w:tabs>
          <w:tab w:val="num" w:pos="0"/>
        </w:tabs>
        <w:ind w:left="1038" w:hanging="245"/>
      </w:pPr>
      <w:rPr>
        <w:rFonts w:ascii="Symbol" w:hAnsi="Symbol" w:cs="Symbol" w:hint="default"/>
      </w:rPr>
    </w:lvl>
    <w:lvl w:ilvl="2">
      <w:numFmt w:val="bullet"/>
      <w:lvlText w:val=""/>
      <w:lvlJc w:val="left"/>
      <w:pPr>
        <w:tabs>
          <w:tab w:val="num" w:pos="0"/>
        </w:tabs>
        <w:ind w:left="1957" w:hanging="245"/>
      </w:pPr>
      <w:rPr>
        <w:rFonts w:ascii="Symbol" w:hAnsi="Symbol" w:cs="Symbol" w:hint="default"/>
      </w:rPr>
    </w:lvl>
    <w:lvl w:ilvl="3">
      <w:numFmt w:val="bullet"/>
      <w:lvlText w:val=""/>
      <w:lvlJc w:val="left"/>
      <w:pPr>
        <w:tabs>
          <w:tab w:val="num" w:pos="0"/>
        </w:tabs>
        <w:ind w:left="2875" w:hanging="245"/>
      </w:pPr>
      <w:rPr>
        <w:rFonts w:ascii="Symbol" w:hAnsi="Symbol" w:cs="Symbol" w:hint="default"/>
      </w:rPr>
    </w:lvl>
    <w:lvl w:ilvl="4">
      <w:numFmt w:val="bullet"/>
      <w:lvlText w:val=""/>
      <w:lvlJc w:val="left"/>
      <w:pPr>
        <w:tabs>
          <w:tab w:val="num" w:pos="0"/>
        </w:tabs>
        <w:ind w:left="3794" w:hanging="245"/>
      </w:pPr>
      <w:rPr>
        <w:rFonts w:ascii="Symbol" w:hAnsi="Symbol" w:cs="Symbol" w:hint="default"/>
      </w:rPr>
    </w:lvl>
    <w:lvl w:ilvl="5">
      <w:numFmt w:val="bullet"/>
      <w:lvlText w:val=""/>
      <w:lvlJc w:val="left"/>
      <w:pPr>
        <w:tabs>
          <w:tab w:val="num" w:pos="0"/>
        </w:tabs>
        <w:ind w:left="4712" w:hanging="245"/>
      </w:pPr>
      <w:rPr>
        <w:rFonts w:ascii="Symbol" w:hAnsi="Symbol" w:cs="Symbol" w:hint="default"/>
      </w:rPr>
    </w:lvl>
    <w:lvl w:ilvl="6">
      <w:numFmt w:val="bullet"/>
      <w:lvlText w:val=""/>
      <w:lvlJc w:val="left"/>
      <w:pPr>
        <w:tabs>
          <w:tab w:val="num" w:pos="0"/>
        </w:tabs>
        <w:ind w:left="5631" w:hanging="245"/>
      </w:pPr>
      <w:rPr>
        <w:rFonts w:ascii="Symbol" w:hAnsi="Symbol" w:cs="Symbol" w:hint="default"/>
      </w:rPr>
    </w:lvl>
    <w:lvl w:ilvl="7">
      <w:numFmt w:val="bullet"/>
      <w:lvlText w:val=""/>
      <w:lvlJc w:val="left"/>
      <w:pPr>
        <w:tabs>
          <w:tab w:val="num" w:pos="0"/>
        </w:tabs>
        <w:ind w:left="6549" w:hanging="245"/>
      </w:pPr>
      <w:rPr>
        <w:rFonts w:ascii="Symbol" w:hAnsi="Symbol" w:cs="Symbol" w:hint="default"/>
      </w:rPr>
    </w:lvl>
    <w:lvl w:ilvl="8">
      <w:numFmt w:val="bullet"/>
      <w:lvlText w:val=""/>
      <w:lvlJc w:val="left"/>
      <w:pPr>
        <w:tabs>
          <w:tab w:val="num" w:pos="0"/>
        </w:tabs>
        <w:ind w:left="7468" w:hanging="245"/>
      </w:pPr>
      <w:rPr>
        <w:rFonts w:ascii="Symbol" w:hAnsi="Symbol" w:cs="Symbol" w:hint="default"/>
      </w:rPr>
    </w:lvl>
  </w:abstractNum>
  <w:num w:numId="1" w16cid:durableId="520124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F74"/>
    <w:rsid w:val="005101FE"/>
    <w:rsid w:val="00D41791"/>
    <w:rsid w:val="00FB6BD5"/>
    <w:rsid w:val="00FF4F7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40A0A"/>
  <w15:chartTrackingRefBased/>
  <w15:docId w15:val="{19FA83EF-1A27-4314-A02C-F33681C31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E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F74"/>
    <w:pPr>
      <w:suppressAutoHyphens/>
      <w:spacing w:after="0" w:line="240" w:lineRule="auto"/>
    </w:pPr>
    <w:rPr>
      <w:rFonts w:eastAsia="Calibri"/>
      <w:kern w:val="0"/>
      <w:sz w:val="22"/>
      <w:szCs w:val="22"/>
      <w:lang w:val="ca-ES" w:eastAsia="en-US"/>
      <w14:ligatures w14:val="none"/>
    </w:rPr>
  </w:style>
  <w:style w:type="paragraph" w:styleId="Ttulo1">
    <w:name w:val="heading 1"/>
    <w:basedOn w:val="Normal"/>
    <w:next w:val="Normal"/>
    <w:link w:val="Ttulo1Car"/>
    <w:uiPriority w:val="9"/>
    <w:qFormat/>
    <w:rsid w:val="00FF4F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F4F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F4F7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F4F7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F4F7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F4F7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F4F7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F4F7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F4F7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4F7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F4F7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F4F7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F4F7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F4F7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F4F7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F4F7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F4F7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F4F74"/>
    <w:rPr>
      <w:rFonts w:eastAsiaTheme="majorEastAsia" w:cstheme="majorBidi"/>
      <w:color w:val="272727" w:themeColor="text1" w:themeTint="D8"/>
    </w:rPr>
  </w:style>
  <w:style w:type="paragraph" w:styleId="Ttulo">
    <w:name w:val="Title"/>
    <w:basedOn w:val="Normal"/>
    <w:next w:val="Normal"/>
    <w:link w:val="TtuloCar"/>
    <w:uiPriority w:val="10"/>
    <w:qFormat/>
    <w:rsid w:val="00FF4F7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F4F7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F4F7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F4F7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F4F74"/>
    <w:pPr>
      <w:spacing w:before="160"/>
      <w:jc w:val="center"/>
    </w:pPr>
    <w:rPr>
      <w:i/>
      <w:iCs/>
      <w:color w:val="404040" w:themeColor="text1" w:themeTint="BF"/>
    </w:rPr>
  </w:style>
  <w:style w:type="character" w:customStyle="1" w:styleId="CitaCar">
    <w:name w:val="Cita Car"/>
    <w:basedOn w:val="Fuentedeprrafopredeter"/>
    <w:link w:val="Cita"/>
    <w:uiPriority w:val="29"/>
    <w:rsid w:val="00FF4F74"/>
    <w:rPr>
      <w:i/>
      <w:iCs/>
      <w:color w:val="404040" w:themeColor="text1" w:themeTint="BF"/>
    </w:rPr>
  </w:style>
  <w:style w:type="paragraph" w:styleId="Prrafodelista">
    <w:name w:val="List Paragraph"/>
    <w:basedOn w:val="Normal"/>
    <w:uiPriority w:val="34"/>
    <w:qFormat/>
    <w:rsid w:val="00FF4F74"/>
    <w:pPr>
      <w:ind w:left="720"/>
      <w:contextualSpacing/>
    </w:pPr>
  </w:style>
  <w:style w:type="character" w:styleId="nfasisintenso">
    <w:name w:val="Intense Emphasis"/>
    <w:basedOn w:val="Fuentedeprrafopredeter"/>
    <w:uiPriority w:val="21"/>
    <w:qFormat/>
    <w:rsid w:val="00FF4F74"/>
    <w:rPr>
      <w:i/>
      <w:iCs/>
      <w:color w:val="0F4761" w:themeColor="accent1" w:themeShade="BF"/>
    </w:rPr>
  </w:style>
  <w:style w:type="paragraph" w:styleId="Citadestacada">
    <w:name w:val="Intense Quote"/>
    <w:basedOn w:val="Normal"/>
    <w:next w:val="Normal"/>
    <w:link w:val="CitadestacadaCar"/>
    <w:uiPriority w:val="30"/>
    <w:qFormat/>
    <w:rsid w:val="00FF4F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F4F74"/>
    <w:rPr>
      <w:i/>
      <w:iCs/>
      <w:color w:val="0F4761" w:themeColor="accent1" w:themeShade="BF"/>
    </w:rPr>
  </w:style>
  <w:style w:type="character" w:styleId="Referenciaintensa">
    <w:name w:val="Intense Reference"/>
    <w:basedOn w:val="Fuentedeprrafopredeter"/>
    <w:uiPriority w:val="32"/>
    <w:qFormat/>
    <w:rsid w:val="00FF4F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361</Words>
  <Characters>1670</Characters>
  <Application>Microsoft Office Word</Application>
  <DocSecurity>0</DocSecurity>
  <Lines>75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Bellvis</dc:creator>
  <cp:keywords/>
  <dc:description/>
  <cp:lastModifiedBy>Ajuntament de Bellvis</cp:lastModifiedBy>
  <cp:revision>2</cp:revision>
  <dcterms:created xsi:type="dcterms:W3CDTF">2024-10-11T10:10:00Z</dcterms:created>
  <dcterms:modified xsi:type="dcterms:W3CDTF">2024-10-11T10:23:00Z</dcterms:modified>
</cp:coreProperties>
</file>