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DEA72" w14:textId="77777777" w:rsidR="00EE377A" w:rsidRPr="00894892" w:rsidRDefault="00EE377A" w:rsidP="00796AE8">
      <w:pPr>
        <w:pStyle w:val="Standard"/>
        <w:spacing w:after="100" w:afterAutospacing="1" w:line="276" w:lineRule="auto"/>
        <w:jc w:val="both"/>
        <w:rPr>
          <w:rFonts w:ascii="Roboto" w:hAnsi="Roboto" w:cs="Arial"/>
          <w:sz w:val="22"/>
          <w:szCs w:val="22"/>
          <w:lang w:val="ca-ES-valencia"/>
        </w:rPr>
      </w:pPr>
      <w:r w:rsidRPr="00894892">
        <w:rPr>
          <w:rFonts w:ascii="Roboto" w:hAnsi="Roboto" w:cs="Arial"/>
          <w:b/>
          <w:bCs/>
          <w:sz w:val="22"/>
          <w:szCs w:val="22"/>
          <w:lang w:val="ca-ES-valencia"/>
        </w:rPr>
        <w:t>CONVENI DE COL·LABORACIÓ, ENTRE LA GENERALITAT, A TRAVÉS DE LA PRESIDÈNCIA, I LA UNIVERSITAT D’ALACANT, PER AL FOMENT DE LES ACTIVITATS DE LES UNIVERSITATS PÚBLIQUES DE LA COMUNITAT VALENCIANA EN MATÈRIA DE PARTICIPACIÓ CIUTADANA, DURANT L’EXERCICI 2024</w:t>
      </w:r>
      <w:r w:rsidRPr="00894892">
        <w:rPr>
          <w:rFonts w:ascii="Roboto" w:hAnsi="Roboto" w:cs="Arial"/>
          <w:sz w:val="22"/>
          <w:szCs w:val="22"/>
          <w:lang w:val="ca-ES-valencia"/>
        </w:rPr>
        <w:t>.</w:t>
      </w:r>
    </w:p>
    <w:p w14:paraId="4EE7DE85" w14:textId="1D3B5BF0"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Per una part, la Generalitat, representada per Santiago Lumbreras Peláez, secretari autonòmic de Relacions Institucionals i Transparència, segons el nomenament efectuat pel Decret 113/2023, de 25 de juliol, del Consell, i autoritzat</w:t>
      </w:r>
      <w:r w:rsidR="00E8707E" w:rsidRPr="00894892">
        <w:rPr>
          <w:rFonts w:ascii="Roboto" w:hAnsi="Roboto" w:cs="Arial"/>
          <w:sz w:val="22"/>
          <w:szCs w:val="22"/>
          <w:lang w:val="ca-ES-valencia"/>
        </w:rPr>
        <w:t>,</w:t>
      </w:r>
      <w:r w:rsidRPr="00894892">
        <w:rPr>
          <w:rFonts w:ascii="Roboto" w:hAnsi="Roboto" w:cs="Arial"/>
          <w:sz w:val="22"/>
          <w:szCs w:val="22"/>
          <w:lang w:val="ca-ES-valencia"/>
        </w:rPr>
        <w:t xml:space="preserve"> per a la firma d</w:t>
      </w:r>
      <w:r w:rsidR="00D86484" w:rsidRPr="00894892">
        <w:rPr>
          <w:rFonts w:ascii="Roboto" w:hAnsi="Roboto" w:cs="Arial"/>
          <w:sz w:val="22"/>
          <w:szCs w:val="22"/>
          <w:lang w:val="ca-ES-valencia"/>
        </w:rPr>
        <w:t>’</w:t>
      </w:r>
      <w:r w:rsidRPr="00894892">
        <w:rPr>
          <w:rFonts w:ascii="Roboto" w:hAnsi="Roboto" w:cs="Arial"/>
          <w:sz w:val="22"/>
          <w:szCs w:val="22"/>
          <w:lang w:val="ca-ES-valencia"/>
        </w:rPr>
        <w:t xml:space="preserve">este conveni, d'acord amb el que establix l'article 6 del Decret 176/2014, de 10 d'octubre, del Consell, pel qual regula els convenis que subscriga la Generalitat i el seu registre, per l’acord del Consell de </w:t>
      </w:r>
      <w:r w:rsidR="00894892" w:rsidRPr="00894892">
        <w:rPr>
          <w:rFonts w:ascii="Roboto" w:hAnsi="Roboto" w:cs="Arial"/>
          <w:sz w:val="22"/>
          <w:szCs w:val="22"/>
          <w:lang w:val="ca-ES-valencia"/>
        </w:rPr>
        <w:t>7</w:t>
      </w:r>
      <w:r w:rsidRPr="00894892">
        <w:rPr>
          <w:rFonts w:ascii="Roboto" w:hAnsi="Roboto" w:cs="Arial"/>
          <w:sz w:val="22"/>
          <w:szCs w:val="22"/>
          <w:lang w:val="ca-ES-valencia"/>
        </w:rPr>
        <w:t xml:space="preserve"> de</w:t>
      </w:r>
      <w:r w:rsidR="00894892" w:rsidRPr="00894892">
        <w:rPr>
          <w:rFonts w:ascii="Roboto" w:hAnsi="Roboto" w:cs="Arial"/>
          <w:sz w:val="22"/>
          <w:szCs w:val="22"/>
          <w:lang w:val="ca-ES-valencia"/>
        </w:rPr>
        <w:t xml:space="preserve"> maig</w:t>
      </w:r>
      <w:r w:rsidRPr="00894892">
        <w:rPr>
          <w:rFonts w:ascii="Roboto" w:hAnsi="Roboto" w:cs="Arial"/>
          <w:sz w:val="22"/>
          <w:szCs w:val="22"/>
          <w:lang w:val="ca-ES-valencia"/>
        </w:rPr>
        <w:t xml:space="preserve"> de 2024.</w:t>
      </w:r>
    </w:p>
    <w:p w14:paraId="30507C9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I per l’altra part, la Universitat d’Alacant (d’ara en avant, UA), amb CIF Q0332001G, representada per la rectora d’esta, Amparo Navarro </w:t>
      </w:r>
      <w:proofErr w:type="spellStart"/>
      <w:r w:rsidRPr="00894892">
        <w:rPr>
          <w:rFonts w:ascii="Roboto" w:hAnsi="Roboto" w:cs="Arial"/>
          <w:sz w:val="22"/>
          <w:szCs w:val="22"/>
          <w:lang w:val="ca-ES-valencia"/>
        </w:rPr>
        <w:t>Faure</w:t>
      </w:r>
      <w:proofErr w:type="spellEnd"/>
      <w:r w:rsidRPr="00894892">
        <w:rPr>
          <w:rFonts w:ascii="Roboto" w:hAnsi="Roboto" w:cs="Arial"/>
          <w:sz w:val="22"/>
          <w:szCs w:val="22"/>
          <w:lang w:val="ca-ES-valencia"/>
        </w:rPr>
        <w:t>, en exercici de les competències que a este efecte li reconeixen la Llei orgànica 6/2001, de 21 de desembre, d’universitats; els estatuts d’esta universitat aprovats pel Decret 25/2012, de 3 de febrer, del Consell de la Generalitat (DOGV núm. 6710, de 09.02.2012), i el Decret 210/2020, de 18 de desembre, del Consell, relatiu al seu nomenament (DOGV núm. 8979, de 21.12.2020).</w:t>
      </w:r>
    </w:p>
    <w:p w14:paraId="1AC98D3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Les parts, en la representació que tenen i amb les facultats que els seus respectius càrrecs els conferixen, es reconeixen capacitat legal suficient per a l’atorgament d’este conveni, i a este efecte,</w:t>
      </w:r>
    </w:p>
    <w:p w14:paraId="413C672E" w14:textId="77777777" w:rsidR="00EE377A" w:rsidRPr="004879B3" w:rsidRDefault="00EE377A" w:rsidP="00796AE8">
      <w:pPr>
        <w:pStyle w:val="Standard"/>
        <w:spacing w:after="100" w:afterAutospacing="1" w:line="276" w:lineRule="auto"/>
        <w:jc w:val="center"/>
        <w:rPr>
          <w:rFonts w:ascii="Roboto" w:hAnsi="Roboto" w:cs="Arial"/>
          <w:b/>
          <w:bCs/>
          <w:sz w:val="22"/>
          <w:szCs w:val="22"/>
          <w:lang w:val="ca-ES-valencia"/>
        </w:rPr>
      </w:pPr>
      <w:r w:rsidRPr="004879B3">
        <w:rPr>
          <w:rFonts w:ascii="Roboto" w:hAnsi="Roboto" w:cs="Arial"/>
          <w:b/>
          <w:bCs/>
          <w:sz w:val="22"/>
          <w:szCs w:val="22"/>
          <w:lang w:val="ca-ES-valencia"/>
        </w:rPr>
        <w:t>EXPOSEN</w:t>
      </w:r>
    </w:p>
    <w:p w14:paraId="454F1984"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I. L’Estatut d’Autonomia de la Comunitat Valenciana preveu en l’article 9.4 que tots els valencians tenen dret a participar de manera individual, o col·lectiva, en la vida política, econòmica, cultural i social de la Comunitat Valenciana. La Generalitat promourà la participació dels agents socials i del conjunt de la societat civil en els assumptes públics.</w:t>
      </w:r>
    </w:p>
    <w:p w14:paraId="0692B39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II. En el marc de la legislació de la Comunitat Valenciana, la Llei 4/2023, de 13 d’abril, de participació ciutadana i foment de l’associacionisme de la Comunitat Valenciana (DOGV núm. 9579, de 20.04.2023), té entre els seus objectius promoure i fomentar la participació ciutadana en els assumptes públics de forma individual o col·lectiva, i regula en els capítols I </w:t>
      </w:r>
      <w:proofErr w:type="spellStart"/>
      <w:r w:rsidRPr="00894892">
        <w:rPr>
          <w:rFonts w:ascii="Roboto" w:hAnsi="Roboto" w:cs="Arial"/>
          <w:sz w:val="22"/>
          <w:szCs w:val="22"/>
          <w:lang w:val="ca-ES-valencia"/>
        </w:rPr>
        <w:t>i</w:t>
      </w:r>
      <w:proofErr w:type="spellEnd"/>
      <w:r w:rsidRPr="00894892">
        <w:rPr>
          <w:rFonts w:ascii="Roboto" w:hAnsi="Roboto" w:cs="Arial"/>
          <w:sz w:val="22"/>
          <w:szCs w:val="22"/>
          <w:lang w:val="ca-ES-valencia"/>
        </w:rPr>
        <w:t xml:space="preserve"> III del títol II les mesures de promoció de la participació i les relacions de la Generalitat amb la ciutadania i amb les entitats de la societat civil de la Comunitat Valenciana. En este context la Generalitat ha iniciat una vertadera política de foment de la participació ciutadana en els assumptes públics que ha de constituir un dels pilars bàsics sobre els quals es desenvolupen i prenen forma la democràcia avançada i l’autogovern.</w:t>
      </w:r>
    </w:p>
    <w:p w14:paraId="44FFC0FB"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III. El Decret 10/2023, de 19 de juliol, del president de la Generalitat, pel qual es determinen el nombre i la denominació de les conselleries, i les seues atribucions, assigna a la Presidència de la Generalitat, entre altres, les competències en matèria de participació i transparència, i l’article 4 del Decret 131/2023, de 10 d’agost, pel qual s’aprova el Reglament orgànic i funcional de la Presidència de la Generalitat, atribuïx a la Direcció General de Transparència i Participació l’exercici, entre altres, de les funcions de coordinació de les polítiques del Consell en matèria de participació ciutadana.</w:t>
      </w:r>
    </w:p>
    <w:p w14:paraId="229B27F7"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IV. La línia nominativa de subvencions S0785, “Foment de les activitats de les universitats públiques de la Comunitat Valenciana en matèria de participació ciutadana”, està prevista en la Llei 8/2023, de 27 de desembre, de pressupostos de la Generalitat per a l’exercici 2024, de la qual la UA és una de les beneficiàries, i esta inclosa en el Pla estratègic de subvencions de la Presidència de la Generalitat i els seus organismes públics, per al període 2024-2026. D'esta manera, esta línia de subvenció està dins dels objectius estratègics d'este pla, que pretén convertir la Generalitat en referent per a la ciutadania i per a altres administracions, en matèria de participació ciutadana.</w:t>
      </w:r>
    </w:p>
    <w:p w14:paraId="3558ECD9"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V. És necessari instrumentar l’esmentada subvenció nominativa mitjançant un conveni, segons el que es preveu en l’article 168.1.A de la Llei 1/2015, de 6 de febrer, de la Generalitat, d’hisenda pública, del sector públic instrumental i de subvencions (d’ara en avant, LHPG) i, en els mateixos termes, l’article 22.2.a de la Llei 38/2003, de 17 de novembre, general de subvencions (d’ara en avant, LGS).</w:t>
      </w:r>
    </w:p>
    <w:p w14:paraId="2F830A90"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Així mateix, cal ajustar-se al que s’establix en l’article 160.1.b de </w:t>
      </w:r>
      <w:r w:rsidR="00DF1B17">
        <w:rPr>
          <w:rFonts w:ascii="Roboto" w:hAnsi="Roboto" w:cs="Arial"/>
          <w:sz w:val="22"/>
          <w:szCs w:val="22"/>
          <w:lang w:val="ca-ES-valencia"/>
        </w:rPr>
        <w:t>la LHPG</w:t>
      </w:r>
      <w:r w:rsidRPr="00894892">
        <w:rPr>
          <w:rFonts w:ascii="Roboto" w:hAnsi="Roboto" w:cs="Arial"/>
          <w:sz w:val="22"/>
          <w:szCs w:val="22"/>
          <w:lang w:val="ca-ES-valencia"/>
        </w:rPr>
        <w:t>, en els articles 47 i següents de la Llei 40/2015, d’1 d’octubre, de règim jurídic del sector públic (d’ara en avant, LRJSP), i en l’article 12.6.a i b del Decret 176/2014, de 10 d’octubre, del Consell, pel qual regula els convenis que subscriga la Generalitat i el seu registre (d’ara en avant, Decret 176/2014).</w:t>
      </w:r>
    </w:p>
    <w:p w14:paraId="513905F6"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VI. La Presidència de la Generalitat té interés a subscriure este conveni de col·laboració per a fomentar activitats de formació, divulgació i investigació en matèria de participació ciutadana.</w:t>
      </w:r>
    </w:p>
    <w:p w14:paraId="13A68B6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VII. La UA és una entitat de dret públic que exercix activitats de formació, investigació i transferència de coneixements, interessada a col·laborar amb els sectors socioeconòmics públics i privats amb la finalitat d’assegurar un dels fins de la formació i la investigació, que és la innovació i la modernització de l’entorn socioeconòmic.</w:t>
      </w:r>
    </w:p>
    <w:p w14:paraId="773FC55D"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VIII. La Llei 14/2011, d’1 de juny, de la ciència, la tecnologia i la innovació, constituïx un marc de referència per a promoure la col·laboració dels organismes públics d’investigació, les administracions públiques i les empreses, amb la finalitat de donar una resposta eficaç a les exigències del desenvolupament econòmic i social.</w:t>
      </w:r>
    </w:p>
    <w:p w14:paraId="648368C9"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IX. L’article 11 de la Llei orgànica 2/2023, de 22 de març, del Sistema Universitari, indica que la investigació és una de les funcions fonamentals de les universitats, les quals impulsaran estructures d’investigació i de transferència i intercanvi del coneixement i innovació que faciliten la interdisciplinarietat i multidisciplinarietat; així mateix, promocionaran les relacions entre la investigació universitària, les necessitats socials i culturals i la seua articulació amb el sistema productiu, atenent especialment l’estructura social i econòmica del territori en què estan implantades.</w:t>
      </w:r>
    </w:p>
    <w:p w14:paraId="2057C55B"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X. Ambdós entitats manifesten interés comú i la voluntat social de potenciar este conveni desenvolupant els projectes del programa establit.</w:t>
      </w:r>
    </w:p>
    <w:p w14:paraId="623B01D5" w14:textId="77777777" w:rsidR="00EE377A" w:rsidRDefault="00EE377A" w:rsidP="00796AE8">
      <w:pPr>
        <w:pStyle w:val="Standard"/>
        <w:spacing w:after="100" w:afterAutospacing="1" w:line="276" w:lineRule="auto"/>
        <w:jc w:val="both"/>
        <w:rPr>
          <w:rFonts w:ascii="Roboto" w:hAnsi="Roboto" w:cs="Arial"/>
          <w:sz w:val="22"/>
          <w:szCs w:val="22"/>
          <w:lang w:val="ca-ES-valencia"/>
        </w:rPr>
      </w:pPr>
      <w:r w:rsidRPr="00894892">
        <w:rPr>
          <w:rFonts w:ascii="Roboto" w:hAnsi="Roboto" w:cs="Arial"/>
          <w:sz w:val="22"/>
          <w:szCs w:val="22"/>
          <w:lang w:val="ca-ES-valencia"/>
        </w:rPr>
        <w:t>Per tot el que s’ha expressat anteriorment, les parts signants formalitzen este conveni de col·laboració, conformement a les següents</w:t>
      </w:r>
    </w:p>
    <w:p w14:paraId="0CC2370D" w14:textId="77777777" w:rsidR="00796AE8" w:rsidRPr="00894892" w:rsidRDefault="00796AE8" w:rsidP="00796AE8">
      <w:pPr>
        <w:pStyle w:val="Standard"/>
        <w:spacing w:after="100" w:afterAutospacing="1" w:line="276" w:lineRule="auto"/>
        <w:jc w:val="both"/>
        <w:rPr>
          <w:rFonts w:ascii="Roboto" w:hAnsi="Roboto" w:cs="Arial"/>
          <w:sz w:val="22"/>
          <w:szCs w:val="22"/>
          <w:lang w:val="ca-ES-valencia"/>
        </w:rPr>
      </w:pPr>
    </w:p>
    <w:p w14:paraId="11C6AC11" w14:textId="77777777" w:rsidR="00EE377A" w:rsidRPr="004879B3" w:rsidRDefault="00EE377A" w:rsidP="00796AE8">
      <w:pPr>
        <w:pStyle w:val="Standard"/>
        <w:spacing w:after="120" w:line="276" w:lineRule="auto"/>
        <w:jc w:val="center"/>
        <w:rPr>
          <w:rFonts w:ascii="Roboto" w:hAnsi="Roboto" w:cs="Arial"/>
          <w:b/>
          <w:bCs/>
          <w:sz w:val="22"/>
          <w:szCs w:val="22"/>
          <w:lang w:val="ca-ES-valencia"/>
        </w:rPr>
      </w:pPr>
      <w:r w:rsidRPr="004879B3">
        <w:rPr>
          <w:rFonts w:ascii="Roboto" w:hAnsi="Roboto" w:cs="Arial"/>
          <w:b/>
          <w:bCs/>
          <w:sz w:val="22"/>
          <w:szCs w:val="22"/>
          <w:lang w:val="ca-ES-valencia"/>
        </w:rPr>
        <w:t>CLÀUSULES</w:t>
      </w:r>
    </w:p>
    <w:p w14:paraId="0DC3C073" w14:textId="77777777" w:rsidR="00EE377A" w:rsidRPr="004879B3" w:rsidRDefault="00EE377A" w:rsidP="00796AE8">
      <w:pPr>
        <w:pStyle w:val="Standard"/>
        <w:spacing w:after="120" w:line="276" w:lineRule="auto"/>
        <w:jc w:val="both"/>
        <w:rPr>
          <w:rFonts w:ascii="Roboto" w:hAnsi="Roboto" w:cs="Arial"/>
          <w:b/>
          <w:bCs/>
          <w:sz w:val="22"/>
          <w:szCs w:val="22"/>
          <w:lang w:val="ca-ES-valencia"/>
        </w:rPr>
      </w:pPr>
      <w:r w:rsidRPr="004879B3">
        <w:rPr>
          <w:rFonts w:ascii="Roboto" w:hAnsi="Roboto" w:cs="Arial"/>
          <w:b/>
          <w:bCs/>
          <w:sz w:val="22"/>
          <w:szCs w:val="22"/>
          <w:lang w:val="ca-ES-valencia"/>
        </w:rPr>
        <w:t>PRIMERA. Objecte</w:t>
      </w:r>
    </w:p>
    <w:p w14:paraId="29BABF11"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És objecte del present conveni determinar la col·laboració entre la Presidència de la Generalitat i la UA en la realització d’activitats relacionades amb el foment de les activitats de les universitats públiques de la Comunitat Valenciana en matèria de participació ciutadana, durant l’exercici 2024, d’acord amb els objectius manifestats en la part expositiva d’este conveni. En concret, la col·laboració es focalitzarà en la investigació i la promoció de la participació ciutadana en les entitats locals i en les entitats associatives de la Comunitat.</w:t>
      </w:r>
    </w:p>
    <w:p w14:paraId="7C40A6FE" w14:textId="77777777" w:rsidR="00EE377A" w:rsidRPr="00F43555" w:rsidRDefault="00EE377A" w:rsidP="00796AE8">
      <w:pPr>
        <w:pStyle w:val="Standard"/>
        <w:spacing w:after="120" w:line="276" w:lineRule="auto"/>
        <w:jc w:val="both"/>
        <w:rPr>
          <w:rFonts w:ascii="Roboto" w:hAnsi="Roboto" w:cs="Arial"/>
          <w:b/>
          <w:bCs/>
          <w:sz w:val="22"/>
          <w:szCs w:val="22"/>
          <w:lang w:val="ca-ES-valencia"/>
        </w:rPr>
      </w:pPr>
      <w:r w:rsidRPr="00F43555">
        <w:rPr>
          <w:rFonts w:ascii="Roboto" w:hAnsi="Roboto" w:cs="Arial"/>
          <w:b/>
          <w:bCs/>
          <w:sz w:val="22"/>
          <w:szCs w:val="22"/>
          <w:lang w:val="ca-ES-valencia"/>
        </w:rPr>
        <w:t>SEGONA. Activitats que es realitzaran</w:t>
      </w:r>
    </w:p>
    <w:p w14:paraId="57536AD6"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Línia 1. Anàlisi de potencialitats i debilitats en la figura de pressupostos participatius municipals en ajuntaments de 2.500 a 20.000 habitants</w:t>
      </w:r>
    </w:p>
    <w:p w14:paraId="36368AA8" w14:textId="77777777" w:rsidR="00EE377A" w:rsidRPr="00894892" w:rsidRDefault="00EE377A" w:rsidP="00796AE8">
      <w:pPr>
        <w:pStyle w:val="Standard"/>
        <w:numPr>
          <w:ilvl w:val="0"/>
          <w:numId w:val="2"/>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Anàlisis de contingut de pàgines web d'estos ajuntaments, per a determinar l'abast dels pressupostos participatius a la Comunitat Valenciana.</w:t>
      </w:r>
    </w:p>
    <w:p w14:paraId="65720C9F" w14:textId="77777777" w:rsidR="00EE377A" w:rsidRPr="00894892" w:rsidRDefault="00EE377A" w:rsidP="00796AE8">
      <w:pPr>
        <w:pStyle w:val="Standard"/>
        <w:numPr>
          <w:ilvl w:val="0"/>
          <w:numId w:val="2"/>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Valoració dels factors que determinen l'èxit d'uns pressupostos participatius en estes localitats.</w:t>
      </w:r>
    </w:p>
    <w:p w14:paraId="635B1570" w14:textId="77777777" w:rsidR="00EE377A" w:rsidRPr="00894892" w:rsidRDefault="00EE377A" w:rsidP="00796AE8">
      <w:pPr>
        <w:pStyle w:val="Standard"/>
        <w:numPr>
          <w:ilvl w:val="0"/>
          <w:numId w:val="2"/>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Dissenyar indicadors sistematitzats que identifiquen processos que enfortixen o afeblixen el desenvolupament dels pressupostos participatius en localitats amb menys de 20.000 habitants.</w:t>
      </w:r>
    </w:p>
    <w:p w14:paraId="3852562F" w14:textId="77777777" w:rsidR="00EE377A" w:rsidRPr="00894892" w:rsidRDefault="00EE377A" w:rsidP="00796AE8">
      <w:pPr>
        <w:pStyle w:val="Standard"/>
        <w:numPr>
          <w:ilvl w:val="0"/>
          <w:numId w:val="2"/>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Coordinar accions de devolució dels resultats a través d'actes dirigits a tots els agents implicats en el procés d'investigació.</w:t>
      </w:r>
    </w:p>
    <w:p w14:paraId="49C1238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Línia 2. Exploració dels factors que influïxen en la participació activa del teixit associatiu en les figures d'innovació participativa dels pressupostos participatius i els laboratoris ciutadans o de participació</w:t>
      </w:r>
    </w:p>
    <w:p w14:paraId="117C3BA6" w14:textId="77777777" w:rsidR="00EE377A" w:rsidRPr="00894892" w:rsidRDefault="00EE377A" w:rsidP="00796AE8">
      <w:pPr>
        <w:pStyle w:val="Standard"/>
        <w:numPr>
          <w:ilvl w:val="0"/>
          <w:numId w:val="3"/>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Anàlisi de literatura acadèmica i revisió de fonts primàries i secundàries sobre el paper de l'associacionisme en el desenvolupament dels pressupostos participatius.</w:t>
      </w:r>
    </w:p>
    <w:p w14:paraId="660907B9" w14:textId="77777777" w:rsidR="00EE377A" w:rsidRPr="00894892" w:rsidRDefault="00EE377A" w:rsidP="00796AE8">
      <w:pPr>
        <w:pStyle w:val="Standard"/>
        <w:numPr>
          <w:ilvl w:val="0"/>
          <w:numId w:val="3"/>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Anàlisi de resultats sobre el paper de les associacions en la constitució i el desenvolupament dels </w:t>
      </w:r>
      <w:r w:rsidR="00E8707E" w:rsidRPr="00894892">
        <w:rPr>
          <w:rFonts w:ascii="Roboto" w:hAnsi="Roboto" w:cs="Arial"/>
          <w:sz w:val="22"/>
          <w:szCs w:val="22"/>
          <w:lang w:val="ca-ES-valencia"/>
        </w:rPr>
        <w:t>laboratoris d’innovació participativa</w:t>
      </w:r>
      <w:r w:rsidRPr="00894892">
        <w:rPr>
          <w:rFonts w:ascii="Roboto" w:hAnsi="Roboto" w:cs="Arial"/>
          <w:sz w:val="22"/>
          <w:szCs w:val="22"/>
          <w:lang w:val="ca-ES-valencia"/>
        </w:rPr>
        <w:t>.</w:t>
      </w:r>
    </w:p>
    <w:p w14:paraId="037A3BCC"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Línia 3. Revisió i sistematització d'experiències de laboratoris regionals d'innovació participativa </w:t>
      </w:r>
    </w:p>
    <w:p w14:paraId="0354B0B1" w14:textId="77777777" w:rsidR="00EE377A" w:rsidRPr="00894892" w:rsidRDefault="00EE377A" w:rsidP="00796AE8">
      <w:pPr>
        <w:pStyle w:val="Standard"/>
        <w:numPr>
          <w:ilvl w:val="0"/>
          <w:numId w:val="4"/>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Identificar experiències de </w:t>
      </w:r>
      <w:r w:rsidR="00E8707E" w:rsidRPr="00894892">
        <w:rPr>
          <w:rFonts w:ascii="Roboto" w:hAnsi="Roboto" w:cs="Arial"/>
          <w:sz w:val="22"/>
          <w:szCs w:val="22"/>
          <w:lang w:val="ca-ES-valencia"/>
        </w:rPr>
        <w:t>laboratori d’innovació democràtica i participativa en altres regions</w:t>
      </w:r>
      <w:r w:rsidRPr="00894892">
        <w:rPr>
          <w:rFonts w:ascii="Roboto" w:hAnsi="Roboto" w:cs="Arial"/>
          <w:sz w:val="22"/>
          <w:szCs w:val="22"/>
          <w:lang w:val="ca-ES-valencia"/>
        </w:rPr>
        <w:t>.</w:t>
      </w:r>
    </w:p>
    <w:p w14:paraId="630B36E3" w14:textId="77777777" w:rsidR="00EE377A" w:rsidRPr="00894892" w:rsidRDefault="00EE377A" w:rsidP="00796AE8">
      <w:pPr>
        <w:pStyle w:val="Standard"/>
        <w:numPr>
          <w:ilvl w:val="0"/>
          <w:numId w:val="4"/>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Analitzar potencials i debilitats d'</w:t>
      </w:r>
      <w:r w:rsidR="00E8707E" w:rsidRPr="00894892">
        <w:rPr>
          <w:rFonts w:ascii="Roboto" w:hAnsi="Roboto" w:cs="Arial"/>
          <w:sz w:val="22"/>
          <w:szCs w:val="22"/>
          <w:lang w:val="ca-ES-valencia"/>
        </w:rPr>
        <w:t>experiències de laboratori</w:t>
      </w:r>
      <w:r w:rsidRPr="00894892">
        <w:rPr>
          <w:rFonts w:ascii="Roboto" w:hAnsi="Roboto" w:cs="Arial"/>
          <w:sz w:val="22"/>
          <w:szCs w:val="22"/>
          <w:lang w:val="ca-ES-valencia"/>
        </w:rPr>
        <w:t xml:space="preserve"> a través de consultes i entrevistes a coordinadors o gestors d'estes iniciatives.</w:t>
      </w:r>
    </w:p>
    <w:p w14:paraId="40459256" w14:textId="77777777" w:rsidR="00EE377A" w:rsidRPr="00F43555" w:rsidRDefault="00EE377A" w:rsidP="00796AE8">
      <w:pPr>
        <w:pStyle w:val="Standard"/>
        <w:spacing w:after="120" w:line="276" w:lineRule="auto"/>
        <w:jc w:val="both"/>
        <w:rPr>
          <w:rFonts w:ascii="Roboto" w:hAnsi="Roboto" w:cs="Arial"/>
          <w:b/>
          <w:bCs/>
          <w:sz w:val="22"/>
          <w:szCs w:val="22"/>
          <w:lang w:val="ca-ES-valencia"/>
        </w:rPr>
      </w:pPr>
      <w:r w:rsidRPr="00F43555">
        <w:rPr>
          <w:rFonts w:ascii="Roboto" w:hAnsi="Roboto" w:cs="Arial"/>
          <w:b/>
          <w:bCs/>
          <w:sz w:val="22"/>
          <w:szCs w:val="22"/>
          <w:lang w:val="ca-ES-valencia"/>
        </w:rPr>
        <w:t>TERCERA. Despeses subvencionables</w:t>
      </w:r>
    </w:p>
    <w:p w14:paraId="480BBEFD"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 xml:space="preserve">1. Seran susceptibles de ser finançades pel present conveni aquelles despeses directes, de funcionament i de personal, que duga a terme l’entitat, necessàries per a la realització del projecte presentat, que hagen sigut realitzades des de l’1 de gener de 2024 fins al 15 de novembre de 2024, que responguen de manera indubtable a la naturalesa de l’activitat subvencionada i resulten estrictament necessàries per a això. </w:t>
      </w:r>
    </w:p>
    <w:p w14:paraId="05AAD046"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En concret, i de conformitat amb el que s’establix en l’article 31 de </w:t>
      </w:r>
      <w:r w:rsidR="00DF1B17">
        <w:rPr>
          <w:rFonts w:ascii="Roboto" w:hAnsi="Roboto" w:cs="Arial"/>
          <w:sz w:val="22"/>
          <w:szCs w:val="22"/>
          <w:lang w:val="ca-ES-valencia"/>
        </w:rPr>
        <w:t>la LGS</w:t>
      </w:r>
      <w:r w:rsidRPr="00894892">
        <w:rPr>
          <w:rFonts w:ascii="Roboto" w:hAnsi="Roboto" w:cs="Arial"/>
          <w:sz w:val="22"/>
          <w:szCs w:val="22"/>
          <w:lang w:val="ca-ES-valencia"/>
        </w:rPr>
        <w:t>, seran subvencionables les despeses següents:</w:t>
      </w:r>
    </w:p>
    <w:p w14:paraId="0504B12D" w14:textId="77777777" w:rsidR="00EE377A" w:rsidRPr="00894892" w:rsidRDefault="00EE377A" w:rsidP="00796AE8">
      <w:pPr>
        <w:pStyle w:val="Standard"/>
        <w:numPr>
          <w:ilvl w:val="0"/>
          <w:numId w:val="5"/>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Personal: els costos de personal relacionats amb personal investigador, tècnic i la resta de personal auxiliar de la mateixa entitat, imputables a la realització del projecte.</w:t>
      </w:r>
    </w:p>
    <w:p w14:paraId="200DB11D" w14:textId="77777777" w:rsidR="00EE377A" w:rsidRPr="00894892" w:rsidRDefault="00EE377A" w:rsidP="00796AE8">
      <w:pPr>
        <w:pStyle w:val="Standard"/>
        <w:numPr>
          <w:ilvl w:val="0"/>
          <w:numId w:val="5"/>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Subcontractació: despeses corresponents als serveis prestats per entitats o empreses amb les quals subcontracten tasques de les activitats del projecte. Es podran subcontractar aquelles activitats que no puguen ser realitzades per mitjans propis fins a un màxim d’un 80% de l’import total del present conveni.</w:t>
      </w:r>
    </w:p>
    <w:p w14:paraId="48506DFE" w14:textId="77777777" w:rsidR="00EE377A" w:rsidRPr="00894892" w:rsidRDefault="00EE377A" w:rsidP="00796AE8">
      <w:pPr>
        <w:pStyle w:val="Standard"/>
        <w:numPr>
          <w:ilvl w:val="0"/>
          <w:numId w:val="5"/>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Material fungible, necessari per al desenvolupament de les activitats, justificant convenientment la seua vinculació amb el projecte.</w:t>
      </w:r>
    </w:p>
    <w:p w14:paraId="5098758D" w14:textId="77777777" w:rsidR="00EE377A" w:rsidRPr="00894892" w:rsidRDefault="00EE377A" w:rsidP="00796AE8">
      <w:pPr>
        <w:pStyle w:val="Standard"/>
        <w:numPr>
          <w:ilvl w:val="0"/>
          <w:numId w:val="5"/>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Viatges i dietes: despeses de desplaçament i dietes del personal propi o contractat que participe en el projecte per a l’estricte desenvolupament de les activitats que s’hi preveuen. Per a les despeses per dietes i transport caldrà ajustar-se al que s’establix en el Decret 24/1997, d’11 de febrer, del Govern Valencià, sobre indemnitzacions per raó del servei i gratificacions per serveis extraordinaris.</w:t>
      </w:r>
    </w:p>
    <w:p w14:paraId="03E2789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2. Per contra, no seran objecte de subvenció les despeses d’adquisició de béns inventariables, les despeses produïdes amb motiu de procediments judicials i els impostos, excepte les corresponents al pagament de les factures que ocasione l’activitat subvencionada, d’acord amb l’article 31.8 de </w:t>
      </w:r>
      <w:r w:rsidR="00DF1B17">
        <w:rPr>
          <w:rFonts w:ascii="Roboto" w:hAnsi="Roboto" w:cs="Arial"/>
          <w:sz w:val="22"/>
          <w:szCs w:val="22"/>
          <w:lang w:val="ca-ES-valencia"/>
        </w:rPr>
        <w:t>la LGS</w:t>
      </w:r>
      <w:r w:rsidRPr="00894892">
        <w:rPr>
          <w:rFonts w:ascii="Roboto" w:hAnsi="Roboto" w:cs="Arial"/>
          <w:sz w:val="22"/>
          <w:szCs w:val="22"/>
          <w:lang w:val="ca-ES-valencia"/>
        </w:rPr>
        <w:t>.</w:t>
      </w:r>
    </w:p>
    <w:p w14:paraId="223A096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3. Amb caràcter previ a la realització de la despesa, la comissió de seguiment a què es referix la clàusula novena aprovarà una memòria econòmica o un pressupost en el qual es quantifiquen les despeses generals previstes per a activitats realitzades a l’empara d’este conveni.</w:t>
      </w:r>
    </w:p>
    <w:p w14:paraId="2788BE78"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Respecte a les despeses ja realitzades durant l’exercici 2024 amb anterioritat a la signatura del present conveni, la comissió de seguiment les ratificarà amb la finalitat que siguen incloses en la memòria econòmica o pressupost de les activitats.</w:t>
      </w:r>
    </w:p>
    <w:p w14:paraId="43FFBE96"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QUARTA. Obligacions de les parts</w:t>
      </w:r>
    </w:p>
    <w:p w14:paraId="453F54C9"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1. La Generalitat es compromet a abonar l’import de la subvenció, segons el que es disposa en la clàusula quinta. La Presidència de la Generalitat posarà a la disposició de l’equip investigador de la UA la informació, de la qual dispose, necessària per a dur a terme els treballs objecte d’este conveni.</w:t>
      </w:r>
    </w:p>
    <w:p w14:paraId="29A48A1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2. La UA es compromet al fet que l’activitat que fonamenta la concessió de la subvenció estiga executada i se n’haja realitzat el pagament abans de la finalització del termini de </w:t>
      </w:r>
      <w:r w:rsidRPr="00894892">
        <w:rPr>
          <w:rFonts w:ascii="Roboto" w:hAnsi="Roboto" w:cs="Arial"/>
          <w:sz w:val="22"/>
          <w:szCs w:val="22"/>
          <w:lang w:val="ca-ES-valencia"/>
        </w:rPr>
        <w:lastRenderedPageBreak/>
        <w:t xml:space="preserve">justificació que s’establisca en la clàusula sexta. Així mateix, la UA es compromet al compliment de totes les obligacions assenyalades en l’article 14 de </w:t>
      </w:r>
      <w:r w:rsidR="00DF1B17">
        <w:rPr>
          <w:rFonts w:ascii="Roboto" w:hAnsi="Roboto" w:cs="Arial"/>
          <w:sz w:val="22"/>
          <w:szCs w:val="22"/>
          <w:lang w:val="ca-ES-valencia"/>
        </w:rPr>
        <w:t>la LGS</w:t>
      </w:r>
      <w:r w:rsidRPr="00894892">
        <w:rPr>
          <w:rFonts w:ascii="Roboto" w:hAnsi="Roboto" w:cs="Arial"/>
          <w:sz w:val="22"/>
          <w:szCs w:val="22"/>
          <w:lang w:val="ca-ES-valencia"/>
        </w:rPr>
        <w:t>.</w:t>
      </w:r>
    </w:p>
    <w:p w14:paraId="28539EB4"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3. Totes aquelles activitats efectuades amb el finançament de la Presidència de la Generalitat  hauran de comptar amb l’adequada publicitat institucional en la qual es faça constar la participació financera de la Generalitat, a través de la Presidència. </w:t>
      </w:r>
    </w:p>
    <w:p w14:paraId="2AFC3842"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Totes les actuacions en matèria de publicitat institucional s’hauran d’ajustar a les prescripcions que s’inclouen sobre la matèria en la Llei 12/2018, de 24 de maig, de la Generalitat, de publicitat institucional per a l’interés ciutadà i la concepció col·lectiva de les infraestructures públiques.</w:t>
      </w:r>
    </w:p>
    <w:p w14:paraId="2906FFCA"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QUINTA. Import i pagament de la subvenció</w:t>
      </w:r>
    </w:p>
    <w:p w14:paraId="0C8FAA9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1. El finançament de les activitats subvencionables ascendix a un import total màxim de 30.000€ (trenta mil euros). L’esmentat import serà finançat a càrrec del capítol IV de l’aplicació pressupostària 0105.02.02.112H00, de la línia nominativa de subvencions S0785, “Foment de les activitats de les universitats públiques de la Comunitat Valenciana en matèria de </w:t>
      </w:r>
      <w:r w:rsidR="003F7B81" w:rsidRPr="00894892">
        <w:rPr>
          <w:rFonts w:ascii="Roboto" w:hAnsi="Roboto" w:cs="Arial"/>
          <w:sz w:val="22"/>
          <w:szCs w:val="22"/>
          <w:lang w:val="ca-ES-valencia"/>
        </w:rPr>
        <w:t>participació</w:t>
      </w:r>
      <w:r w:rsidRPr="00894892">
        <w:rPr>
          <w:rFonts w:ascii="Roboto" w:hAnsi="Roboto" w:cs="Arial"/>
          <w:sz w:val="22"/>
          <w:szCs w:val="22"/>
          <w:lang w:val="ca-ES-valencia"/>
        </w:rPr>
        <w:t xml:space="preserve"> ciutadana”, dels pressupostos de la Generalitat per a l’exercici 2024.</w:t>
      </w:r>
    </w:p>
    <w:p w14:paraId="7E915F1D"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Les aportacions establides en este conveni de col·laboració queden excloses de l’àmbit de l’article 107.1 del Tractat de funcionament de la Comunitat Europea, als efectes previstos en el Decret 128/2017, de 29 de setembre, del Consell, pel qual es regula el procediment de notificació i comunicació a la Comissió Europea dels projectes de la Generalitat dirigits a establir, concedir o modificar ajudes públiques, ja que a esta ajuda no s’aplica el principi d’incompatibilitat amb el mercat comú per no afavorir cap empresa ni falsejar la competència, perquè els seus destinataris no realitzen activitat econòmica.</w:t>
      </w:r>
    </w:p>
    <w:p w14:paraId="29FAD512"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 La dotació econòmica es podrà aportar de la manera següent:</w:t>
      </w:r>
    </w:p>
    <w:p w14:paraId="16CCDEF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El 30% de l’aportació econòmica en el moment de la signatura del present conveni per a la realització d’activitats d’este, en virtut del que s’establix en l’article 171.3.a de l</w:t>
      </w:r>
      <w:r w:rsidR="003F7B81">
        <w:rPr>
          <w:rFonts w:ascii="Roboto" w:hAnsi="Roboto" w:cs="Arial"/>
          <w:sz w:val="22"/>
          <w:szCs w:val="22"/>
          <w:lang w:val="ca-ES-valencia"/>
        </w:rPr>
        <w:t xml:space="preserve">a </w:t>
      </w:r>
      <w:r w:rsidRPr="00894892">
        <w:rPr>
          <w:rFonts w:ascii="Roboto" w:hAnsi="Roboto" w:cs="Arial"/>
          <w:sz w:val="22"/>
          <w:szCs w:val="22"/>
          <w:lang w:val="ca-ES-valencia"/>
        </w:rPr>
        <w:t>LHPG.</w:t>
      </w:r>
    </w:p>
    <w:p w14:paraId="4C938CB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La Presidència de la Generalitat anticiparà al seu torn un altre 20% per al desenvolupament d’activitats del conveni, una vegada s’haja justificat de manera suficient i adequada l’efectiva aplicació dels fons anticipats.</w:t>
      </w:r>
    </w:p>
    <w:p w14:paraId="538B2007"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El restant 50% s’abonarà després de la justificació, per part de la UA, de la totalitat de la despesa objecte de la subvenció atorgada.</w:t>
      </w:r>
    </w:p>
    <w:p w14:paraId="1B587F91"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Tot això, de conformitat amb el que s’establix en els articles 168.1.A i 171.3 i 4 de l</w:t>
      </w:r>
      <w:r w:rsidR="003F7B81">
        <w:rPr>
          <w:rFonts w:ascii="Roboto" w:hAnsi="Roboto" w:cs="Arial"/>
          <w:sz w:val="22"/>
          <w:szCs w:val="22"/>
          <w:lang w:val="ca-ES-valencia"/>
        </w:rPr>
        <w:t xml:space="preserve">a </w:t>
      </w:r>
      <w:r w:rsidRPr="00894892">
        <w:rPr>
          <w:rFonts w:ascii="Roboto" w:hAnsi="Roboto" w:cs="Arial"/>
          <w:sz w:val="22"/>
          <w:szCs w:val="22"/>
          <w:lang w:val="ca-ES-valencia"/>
        </w:rPr>
        <w:t>LHPG, i d’acord amb l’article 22.2.a de l</w:t>
      </w:r>
      <w:r w:rsidR="003F7B81">
        <w:rPr>
          <w:rFonts w:ascii="Roboto" w:hAnsi="Roboto" w:cs="Arial"/>
          <w:sz w:val="22"/>
          <w:szCs w:val="22"/>
          <w:lang w:val="ca-ES-valencia"/>
        </w:rPr>
        <w:t xml:space="preserve">a </w:t>
      </w:r>
      <w:r w:rsidRPr="00894892">
        <w:rPr>
          <w:rFonts w:ascii="Roboto" w:hAnsi="Roboto" w:cs="Arial"/>
          <w:sz w:val="22"/>
          <w:szCs w:val="22"/>
          <w:lang w:val="ca-ES-valencia"/>
        </w:rPr>
        <w:t>LGS.</w:t>
      </w:r>
    </w:p>
    <w:p w14:paraId="2D229B0B"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3. No obstant això, amb caràcter previ al pagament de la subvenció, l’entitat beneficiària haurà d’estar al corrent en el compliment d’obligacions tributàries i davant de la Seguretat Social. Així mateix, no podrà realitzar-se el pagament si l’entitat beneficiària és deutora per resolució de procedència de reintegrament.</w:t>
      </w:r>
    </w:p>
    <w:p w14:paraId="23A2C5C5"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4. La UA queda exonerada de la constitució de garanties per les quantitats anticipades, en virtut de l’article 171.5.g de l</w:t>
      </w:r>
      <w:r w:rsidR="003F7B81">
        <w:rPr>
          <w:rFonts w:ascii="Roboto" w:hAnsi="Roboto" w:cs="Arial"/>
          <w:sz w:val="22"/>
          <w:szCs w:val="22"/>
          <w:lang w:val="ca-ES-valencia"/>
        </w:rPr>
        <w:t xml:space="preserve">a </w:t>
      </w:r>
      <w:r w:rsidRPr="00894892">
        <w:rPr>
          <w:rFonts w:ascii="Roboto" w:hAnsi="Roboto" w:cs="Arial"/>
          <w:sz w:val="22"/>
          <w:szCs w:val="22"/>
          <w:lang w:val="ca-ES-valencia"/>
        </w:rPr>
        <w:t>LHPG.</w:t>
      </w:r>
    </w:p>
    <w:p w14:paraId="3689E910"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5. El pagament per part de la Presidència de la Generalitat s’efectuarà mitjançant transferència bancària en el compte que designe la UA.</w:t>
      </w:r>
    </w:p>
    <w:p w14:paraId="63BEE420"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SEXTA. Termini i forma de justificació de la subvenció</w:t>
      </w:r>
    </w:p>
    <w:p w14:paraId="2D428D3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1. La justificació de la subvenció comprén la realització de l’activitat, el compliment de la finalitat de la subvenció (article 14.1.b de </w:t>
      </w:r>
      <w:r w:rsidR="00DF1B17">
        <w:rPr>
          <w:rFonts w:ascii="Roboto" w:hAnsi="Roboto" w:cs="Arial"/>
          <w:sz w:val="22"/>
          <w:szCs w:val="22"/>
          <w:lang w:val="ca-ES-valencia"/>
        </w:rPr>
        <w:t>la LGS</w:t>
      </w:r>
      <w:r w:rsidRPr="00894892">
        <w:rPr>
          <w:rFonts w:ascii="Roboto" w:hAnsi="Roboto" w:cs="Arial"/>
          <w:sz w:val="22"/>
          <w:szCs w:val="22"/>
          <w:lang w:val="ca-ES-valencia"/>
        </w:rPr>
        <w:t xml:space="preserve">), el compliment de la finalitat per a la qual es concedix i l’aplicació dels fons percebuts (article 17.3.i de </w:t>
      </w:r>
      <w:r w:rsidR="00DF1B17">
        <w:rPr>
          <w:rFonts w:ascii="Roboto" w:hAnsi="Roboto" w:cs="Arial"/>
          <w:sz w:val="22"/>
          <w:szCs w:val="22"/>
          <w:lang w:val="ca-ES-valencia"/>
        </w:rPr>
        <w:t>la LGS</w:t>
      </w:r>
      <w:r w:rsidRPr="00894892">
        <w:rPr>
          <w:rFonts w:ascii="Roboto" w:hAnsi="Roboto" w:cs="Arial"/>
          <w:sz w:val="22"/>
          <w:szCs w:val="22"/>
          <w:lang w:val="ca-ES-valencia"/>
        </w:rPr>
        <w:t xml:space="preserve">), i el compliment de les condicions imposades i de la consecució dels objectius previstos en l’acte de concessió (article 30.1 de </w:t>
      </w:r>
      <w:r w:rsidR="00DF1B17">
        <w:rPr>
          <w:rFonts w:ascii="Roboto" w:hAnsi="Roboto" w:cs="Arial"/>
          <w:sz w:val="22"/>
          <w:szCs w:val="22"/>
          <w:lang w:val="ca-ES-valencia"/>
        </w:rPr>
        <w:t>la LGS</w:t>
      </w:r>
      <w:r w:rsidRPr="00894892">
        <w:rPr>
          <w:rFonts w:ascii="Roboto" w:hAnsi="Roboto" w:cs="Arial"/>
          <w:sz w:val="22"/>
          <w:szCs w:val="22"/>
          <w:lang w:val="ca-ES-valencia"/>
        </w:rPr>
        <w:t>).</w:t>
      </w:r>
    </w:p>
    <w:p w14:paraId="6D3179C2"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2. Per a efectuar el pagament, la UA haurà d’ajustar-se als requisits i formes d’acreditació establits en els articles 30 i 31 de </w:t>
      </w:r>
      <w:r w:rsidR="00DF1B17">
        <w:rPr>
          <w:rFonts w:ascii="Roboto" w:hAnsi="Roboto" w:cs="Arial"/>
          <w:sz w:val="22"/>
          <w:szCs w:val="22"/>
          <w:lang w:val="ca-ES-valencia"/>
        </w:rPr>
        <w:t>la LGS</w:t>
      </w:r>
      <w:r w:rsidRPr="00894892">
        <w:rPr>
          <w:rFonts w:ascii="Roboto" w:hAnsi="Roboto" w:cs="Arial"/>
          <w:sz w:val="22"/>
          <w:szCs w:val="22"/>
          <w:lang w:val="ca-ES-valencia"/>
        </w:rPr>
        <w:t xml:space="preserve">, així com en l’article 169 de </w:t>
      </w:r>
      <w:r w:rsidR="00DF1B17">
        <w:rPr>
          <w:rFonts w:ascii="Roboto" w:hAnsi="Roboto" w:cs="Arial"/>
          <w:sz w:val="22"/>
          <w:szCs w:val="22"/>
          <w:lang w:val="ca-ES-valencia"/>
        </w:rPr>
        <w:t>la LHPG</w:t>
      </w:r>
      <w:r w:rsidRPr="00894892">
        <w:rPr>
          <w:rFonts w:ascii="Roboto" w:hAnsi="Roboto" w:cs="Arial"/>
          <w:sz w:val="22"/>
          <w:szCs w:val="22"/>
          <w:lang w:val="ca-ES-valencia"/>
        </w:rPr>
        <w:t>, i haurà de presentar un compte justificatiu, que contindrà la documentació següent:</w:t>
      </w:r>
    </w:p>
    <w:p w14:paraId="1E18F972"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2.1. Una memòria d’actuació justificativa del compliment de les condicions imposades en la concessió de la subvenció, amb indicació de les activitats realitzades i dels resultats obtinguts, detallant els mitjans emprats, les dates de realització, el nombre d’hores, el nombre de participants, els materials utilitzats, les persones responsables i un resum de la manera en què s’ha dut a terme cada activitat. A este document s’unirà el material utilitzat (cartells, tríptics, fotografies, circulars, convocatòries, temaris, llistes d’assistents, material utilitzat per a l’avaluació i resultats d’esta) en les activitats realitzades i el resultat de l’activitat investigadora o treballs efectuats.</w:t>
      </w:r>
    </w:p>
    <w:p w14:paraId="3F264888"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La memòria haurà d’estar subscrita per la persona responsable de l’actuació o les actuacions realitzades.</w:t>
      </w:r>
    </w:p>
    <w:p w14:paraId="3AB9532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2.2. Un article científic amb les conclusions del projecte com a resultat de la continuació de la línia d’investigació plantejada per la UA.</w:t>
      </w:r>
    </w:p>
    <w:p w14:paraId="72B7355C"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2.3. Una memòria econòmica justificativa del cost de les activitats realitzades, que contindrà:</w:t>
      </w:r>
    </w:p>
    <w:p w14:paraId="79870DD8" w14:textId="77777777" w:rsidR="00CA53A3"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a) Una relació classificada de les despeses de l’activitat, amb identificació del creditor i del document, l’import, la data d’emissió i la data de pagament d’estes o, si és el cas, la data de reconeixement de l’obligació i proposta de pagament. La relació estarà subscrita per la persona responsable de la gestió econòmica i pressupostària de l’entitat beneficiària de la subvenció.</w:t>
      </w:r>
    </w:p>
    <w:p w14:paraId="4D2B086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b) Les factures, nòmines o documents de valor probatori equivalent en el tràfic jurídic mercantil o amb eficàcia administrativa incorporats en la relació a què es fa referència en el paràgraf anterior i, si és el cas, la documentació acreditativa del pagament.</w:t>
      </w:r>
    </w:p>
    <w:p w14:paraId="06ED8D9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c) Un detall d’altres ingressos o subvencions que hagen finançat l’activitat subvencionada, amb indicació de l’import i la procedència.</w:t>
      </w:r>
    </w:p>
    <w:p w14:paraId="625E9D18"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3. La justificació haurà de dirigir-se a la Direcció General de Transparència i Participació. Es presentarà en el registre electrònic de la Presidència de la Generalitat, en l’URL </w:t>
      </w:r>
      <w:hyperlink r:id="rId7" w:history="1">
        <w:r w:rsidRPr="00DF1B17">
          <w:rPr>
            <w:rStyle w:val="Hipervnculo"/>
            <w:rFonts w:ascii="Roboto" w:hAnsi="Roboto" w:cs="Arial"/>
            <w:sz w:val="22"/>
            <w:szCs w:val="22"/>
            <w:lang w:val="ca-ES-valencia"/>
          </w:rPr>
          <w:t>https://www.gva.es/va/inicio/procedimientos?id_proc=G18487</w:t>
        </w:r>
      </w:hyperlink>
    </w:p>
    <w:p w14:paraId="62BD927C"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4. El termini de justificació de les despeses finançades per este conveni vencerà el 15 de novembre de 2024, sense perjudici de la vigència del conveni.</w:t>
      </w:r>
    </w:p>
    <w:p w14:paraId="1DA9870D"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SÈPTIMA. Reintegrament i minoració de l’ajuda</w:t>
      </w:r>
    </w:p>
    <w:p w14:paraId="0BAEB5B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1. Serà procedent el reintegrament de les ajudes concedides o la seua minoració, amb reembossament de les quantitats percebudes i l’exigència dels interessos de demora des del moment del pagament de la subvenció, per incompliment de les obligacions i requisits que s’establixen en este conveni, així com en els supòsits de causes de reintegrament que establix l’article 37 de </w:t>
      </w:r>
      <w:r w:rsidR="00DF1B17">
        <w:rPr>
          <w:rFonts w:ascii="Roboto" w:hAnsi="Roboto" w:cs="Arial"/>
          <w:sz w:val="22"/>
          <w:szCs w:val="22"/>
          <w:lang w:val="ca-ES-valencia"/>
        </w:rPr>
        <w:t>la LGS</w:t>
      </w:r>
      <w:r w:rsidRPr="00894892">
        <w:rPr>
          <w:rFonts w:ascii="Roboto" w:hAnsi="Roboto" w:cs="Arial"/>
          <w:sz w:val="22"/>
          <w:szCs w:val="22"/>
          <w:lang w:val="ca-ES-valencia"/>
        </w:rPr>
        <w:t>.</w:t>
      </w:r>
    </w:p>
    <w:p w14:paraId="487D3B70"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2. El procediment de reintegrament s’ajustarà a les previsions contingudes en l’article 172 de </w:t>
      </w:r>
      <w:r w:rsidR="00DF1B17">
        <w:rPr>
          <w:rFonts w:ascii="Roboto" w:hAnsi="Roboto" w:cs="Arial"/>
          <w:sz w:val="22"/>
          <w:szCs w:val="22"/>
          <w:lang w:val="ca-ES-valencia"/>
        </w:rPr>
        <w:t>la LHPG</w:t>
      </w:r>
      <w:r w:rsidRPr="00894892">
        <w:rPr>
          <w:rFonts w:ascii="Roboto" w:hAnsi="Roboto" w:cs="Arial"/>
          <w:sz w:val="22"/>
          <w:szCs w:val="22"/>
          <w:lang w:val="ca-ES-valencia"/>
        </w:rPr>
        <w:t>.</w:t>
      </w:r>
    </w:p>
    <w:p w14:paraId="075E265C"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3. La tramitació del procediment garantirà l’audiència a l’entitat interessada. Es podrà prescindir del tràmit d’audiència quan l’entitat sol·licitant renuncie a la subvenció i no figuren en el procediment ni siguen tinguts en compte en la resolució altres fets ni altres al·legacions o proves que les presentades per l’entitat interessada.</w:t>
      </w:r>
    </w:p>
    <w:p w14:paraId="41F255C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4. El termini màxim per a resoldre i notificar la resolució procedent serà de dotze mesos a comptar de l’inici de l’expedient de declaració de pèrdua de dret o de minoració.</w:t>
      </w:r>
    </w:p>
    <w:p w14:paraId="08D0F87A"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5. La resolució d’este procediment posarà fi a la via administrativa, i contra esta podrà interposar-se, potestativament, </w:t>
      </w:r>
      <w:bookmarkStart w:id="0" w:name="_Hlk165372439"/>
      <w:r w:rsidRPr="00894892">
        <w:rPr>
          <w:rFonts w:ascii="Roboto" w:hAnsi="Roboto" w:cs="Arial"/>
          <w:sz w:val="22"/>
          <w:szCs w:val="22"/>
          <w:lang w:val="ca-ES-valencia"/>
        </w:rPr>
        <w:t>un recurs de reposició davant del mateix òrgan que l'ha dictada, en el termini d'un mes comptat des de l'endemà de ser notificada, o bé, directament</w:t>
      </w:r>
      <w:bookmarkEnd w:id="0"/>
      <w:r w:rsidRPr="00894892">
        <w:rPr>
          <w:rFonts w:ascii="Roboto" w:hAnsi="Roboto" w:cs="Arial"/>
          <w:sz w:val="22"/>
          <w:szCs w:val="22"/>
          <w:lang w:val="ca-ES-valencia"/>
        </w:rPr>
        <w:t>, un recurs contenciós administratiu davant de la Sala Contenciosa Administrativa del Tribunal Superior de Justícia de la Comunitat Valenciana, en el termini de dos mesos comptats des de l'endemà de la notificació, de conformitat amb el que es preveu en els articles 123 i 124 de la Llei 39/2015, d'1 d'octubre, del procediment administratiu comú de les administracions públiques (LPACAP), i en els articles 10.1.a i 46.1 de la Llei 29/1998, de 13 de juliol, reguladora de la jurisdicció contenciosa administrativa (d’ara en avant, LJCA).</w:t>
      </w:r>
    </w:p>
    <w:p w14:paraId="53D9239B"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OCTAVA. Compatibilitat de la subvenció</w:t>
      </w:r>
    </w:p>
    <w:p w14:paraId="4C37CF7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La subvenció a què es referix este conveni es declara compatible amb qualssevol altres subvencions, ajudes, ingressos o recursos per a la mateixa finalitat, procedents de qualssevol administracions o ens públics o privats, nacionals, de la Unió Europea o d’organismes internacionals, sempre que, en conjunt, no superen el cost de l’activitat subvencionada.</w:t>
      </w:r>
    </w:p>
    <w:p w14:paraId="141FFAFB"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NOVENA. Comissió de seguiment i control</w:t>
      </w:r>
    </w:p>
    <w:p w14:paraId="29EC195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1. Per al seguiment de l’execució i el desenvolupament d’este conveni es crea una comissió mixta de seguiment i control, composta per tres representants de cadascuna de les institucions signants, que adequarà el seu funcionament al que es preveu en els articles 15 i següents de </w:t>
      </w:r>
      <w:r w:rsidR="00F22519">
        <w:rPr>
          <w:rFonts w:ascii="Roboto" w:hAnsi="Roboto" w:cs="Arial"/>
          <w:sz w:val="22"/>
          <w:szCs w:val="22"/>
          <w:lang w:val="ca-ES-valencia"/>
        </w:rPr>
        <w:t>la LRJSP</w:t>
      </w:r>
      <w:r w:rsidRPr="00894892">
        <w:rPr>
          <w:rFonts w:ascii="Roboto" w:hAnsi="Roboto" w:cs="Arial"/>
          <w:sz w:val="22"/>
          <w:szCs w:val="22"/>
          <w:lang w:val="ca-ES-valencia"/>
        </w:rPr>
        <w:t>.</w:t>
      </w:r>
    </w:p>
    <w:p w14:paraId="61960F1A"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 La comissió de seguiment i control estarà integrada:</w:t>
      </w:r>
    </w:p>
    <w:p w14:paraId="54CE3E1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a. Per part de la Presidència de la Generalitat, pel director general de Transparència i Participació, pel subdirector general de Participació Ciutadana i per la cap del Servei de Polítiques de Participació Ciutadana, o les persones que les substituïsquen.</w:t>
      </w:r>
    </w:p>
    <w:p w14:paraId="073217C3"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b. Per part de la UA, per tres persones representants de l’entitat.</w:t>
      </w:r>
    </w:p>
    <w:p w14:paraId="27C647EB"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3. La comissió de seguiment, que serà presidida pel director general de Transparència i Participació, es constituirà en el termini de 15 dies a partir de la firma d’este conveni, i sense perjudici de les funcions que expressament es recullen en l’article 9 del Decret 176/2014.</w:t>
      </w:r>
    </w:p>
    <w:p w14:paraId="7CC1BF0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4. A l’efecte d’adoptar acords, correspondrà al director general de Transparència i Participació dirimir amb el seu vot els empats.</w:t>
      </w:r>
    </w:p>
    <w:p w14:paraId="2FCBA799"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5. Les funcions de secretaria seran exercides per la cap del Servei de Polítiques de Participació Ciutadana, o la persona que la substituïsca.</w:t>
      </w:r>
    </w:p>
    <w:p w14:paraId="32E969E1" w14:textId="77777777" w:rsidR="00EE377A" w:rsidRPr="00894892" w:rsidRDefault="00EE377A" w:rsidP="00796AE8">
      <w:pPr>
        <w:pStyle w:val="Standard"/>
        <w:spacing w:after="120" w:line="276" w:lineRule="auto"/>
        <w:jc w:val="both"/>
        <w:rPr>
          <w:rFonts w:ascii="Roboto" w:hAnsi="Roboto" w:cs="Arial"/>
          <w:sz w:val="22"/>
          <w:szCs w:val="22"/>
          <w:lang w:val="ca-ES-valencia"/>
        </w:rPr>
      </w:pPr>
      <w:bookmarkStart w:id="1" w:name="_Hlk165372934"/>
      <w:r w:rsidRPr="00894892">
        <w:rPr>
          <w:rFonts w:ascii="Roboto" w:hAnsi="Roboto" w:cs="Arial"/>
          <w:sz w:val="22"/>
          <w:szCs w:val="22"/>
          <w:lang w:val="ca-ES-valencia"/>
        </w:rPr>
        <w:t>6. Les actes, acords o informes que, si escau, emeta la comissió en el desenvolupament i execució de les funcions que té assignades es remetran a la Subdirecció General de Participació Ciutadana.</w:t>
      </w:r>
    </w:p>
    <w:bookmarkEnd w:id="1"/>
    <w:p w14:paraId="3F8FB9A6"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7. La comissió es reunirà almenys una vegada a l’any i les que es considere necessari, a petició de qualsevol de les parts signants del conveni.</w:t>
      </w:r>
    </w:p>
    <w:p w14:paraId="07D1F824"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8. Correspondrà a la comissió de seguiment vetlar pel correcte compliment del conveni, impulsant la realització de totes les actuacions que siguen necessàries per al seu desenvolupament i execució, sense perjudici de les funcions que expressament es recullen en l’article 9 del Decret 176/2014.</w:t>
      </w:r>
    </w:p>
    <w:p w14:paraId="1D292099"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D</w:t>
      </w:r>
      <w:r w:rsidR="00F22519" w:rsidRPr="00CF7037">
        <w:rPr>
          <w:rFonts w:ascii="Roboto" w:hAnsi="Roboto" w:cs="Arial"/>
          <w:b/>
          <w:bCs/>
          <w:sz w:val="22"/>
          <w:szCs w:val="22"/>
          <w:lang w:val="ca-ES-valencia"/>
        </w:rPr>
        <w:t>ESEN</w:t>
      </w:r>
      <w:r w:rsidRPr="00CF7037">
        <w:rPr>
          <w:rFonts w:ascii="Roboto" w:hAnsi="Roboto" w:cs="Arial"/>
          <w:b/>
          <w:bCs/>
          <w:sz w:val="22"/>
          <w:szCs w:val="22"/>
          <w:lang w:val="ca-ES-valencia"/>
        </w:rPr>
        <w:t>A. Règim sancionador</w:t>
      </w:r>
    </w:p>
    <w:p w14:paraId="4DD444C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S’aplicarà el règim sancionador per la comissió d’infraccions administratives previstes en la normativa bàsica estatal que s’establix en el títol IV de </w:t>
      </w:r>
      <w:r w:rsidR="00DF1B17">
        <w:rPr>
          <w:rFonts w:ascii="Roboto" w:hAnsi="Roboto" w:cs="Arial"/>
          <w:sz w:val="22"/>
          <w:szCs w:val="22"/>
          <w:lang w:val="ca-ES-valencia"/>
        </w:rPr>
        <w:t>la LGS</w:t>
      </w:r>
      <w:r w:rsidRPr="00894892">
        <w:rPr>
          <w:rFonts w:ascii="Roboto" w:hAnsi="Roboto" w:cs="Arial"/>
          <w:sz w:val="22"/>
          <w:szCs w:val="22"/>
          <w:lang w:val="ca-ES-valencia"/>
        </w:rPr>
        <w:t xml:space="preserve"> als subjectes beneficiaris de subvencions que siguen responsables d’estes, que seran sancionats conforme al que es disposa en el capítol IV del títol X de </w:t>
      </w:r>
      <w:r w:rsidR="00DF1B17">
        <w:rPr>
          <w:rFonts w:ascii="Roboto" w:hAnsi="Roboto" w:cs="Arial"/>
          <w:sz w:val="22"/>
          <w:szCs w:val="22"/>
          <w:lang w:val="ca-ES-valencia"/>
        </w:rPr>
        <w:t>la LHPG</w:t>
      </w:r>
      <w:r w:rsidRPr="00894892">
        <w:rPr>
          <w:rFonts w:ascii="Roboto" w:hAnsi="Roboto" w:cs="Arial"/>
          <w:sz w:val="22"/>
          <w:szCs w:val="22"/>
          <w:lang w:val="ca-ES-valencia"/>
        </w:rPr>
        <w:t xml:space="preserve">, i amb caràcter procedimental, en els articles 25 a 31 de </w:t>
      </w:r>
      <w:r w:rsidR="00F22519">
        <w:rPr>
          <w:rFonts w:ascii="Roboto" w:hAnsi="Roboto" w:cs="Arial"/>
          <w:sz w:val="22"/>
          <w:szCs w:val="22"/>
          <w:lang w:val="ca-ES-valencia"/>
        </w:rPr>
        <w:t>la LRJSP</w:t>
      </w:r>
      <w:r w:rsidRPr="00894892">
        <w:rPr>
          <w:rFonts w:ascii="Roboto" w:hAnsi="Roboto" w:cs="Arial"/>
          <w:sz w:val="22"/>
          <w:szCs w:val="22"/>
          <w:lang w:val="ca-ES-valencia"/>
        </w:rPr>
        <w:t xml:space="preserve"> i en els articles 53, 56 i 77.4 de </w:t>
      </w:r>
      <w:r w:rsidR="00DF1B17">
        <w:rPr>
          <w:rFonts w:ascii="Roboto" w:hAnsi="Roboto" w:cs="Arial"/>
          <w:sz w:val="22"/>
          <w:szCs w:val="22"/>
          <w:lang w:val="ca-ES-valencia"/>
        </w:rPr>
        <w:t>la LPACAP</w:t>
      </w:r>
      <w:r w:rsidRPr="00894892">
        <w:rPr>
          <w:rFonts w:ascii="Roboto" w:hAnsi="Roboto" w:cs="Arial"/>
          <w:sz w:val="22"/>
          <w:szCs w:val="22"/>
          <w:lang w:val="ca-ES-valencia"/>
        </w:rPr>
        <w:t>.</w:t>
      </w:r>
    </w:p>
    <w:p w14:paraId="636067A7" w14:textId="77777777" w:rsidR="00EE377A" w:rsidRPr="00CF7037" w:rsidRDefault="00F22519"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ONZEN</w:t>
      </w:r>
      <w:r w:rsidR="00DF1B17" w:rsidRPr="00CF7037">
        <w:rPr>
          <w:rFonts w:ascii="Roboto" w:hAnsi="Roboto" w:cs="Arial"/>
          <w:b/>
          <w:bCs/>
          <w:sz w:val="22"/>
          <w:szCs w:val="22"/>
          <w:lang w:val="ca-ES-valencia"/>
        </w:rPr>
        <w:t>A</w:t>
      </w:r>
      <w:r w:rsidR="00EE377A" w:rsidRPr="00CF7037">
        <w:rPr>
          <w:rFonts w:ascii="Roboto" w:hAnsi="Roboto" w:cs="Arial"/>
          <w:b/>
          <w:bCs/>
          <w:sz w:val="22"/>
          <w:szCs w:val="22"/>
          <w:lang w:val="ca-ES-valencia"/>
        </w:rPr>
        <w:t>. Vigència</w:t>
      </w:r>
    </w:p>
    <w:p w14:paraId="04756330"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Els efectes del present conveni, amb independència de la data en què que siga subscrit, es retrotrauran a l’1 de gener de 2024 i finalitzaran el 31 de desembre de 2024.</w:t>
      </w:r>
    </w:p>
    <w:p w14:paraId="266AE309"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D</w:t>
      </w:r>
      <w:r w:rsidR="00F22519" w:rsidRPr="00CF7037">
        <w:rPr>
          <w:rFonts w:ascii="Roboto" w:hAnsi="Roboto" w:cs="Arial"/>
          <w:b/>
          <w:bCs/>
          <w:sz w:val="22"/>
          <w:szCs w:val="22"/>
          <w:lang w:val="ca-ES-valencia"/>
        </w:rPr>
        <w:t>OTZENA</w:t>
      </w:r>
      <w:r w:rsidRPr="00CF7037">
        <w:rPr>
          <w:rFonts w:ascii="Roboto" w:hAnsi="Roboto" w:cs="Arial"/>
          <w:b/>
          <w:bCs/>
          <w:sz w:val="22"/>
          <w:szCs w:val="22"/>
          <w:lang w:val="ca-ES-valencia"/>
        </w:rPr>
        <w:t>. Lloc de realització</w:t>
      </w:r>
    </w:p>
    <w:p w14:paraId="6D948564"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Les activitats objecte d’este conveni es realitzaran en la seu de les instal·lacions pròpies de la UA o en qualsevol altre espai determinat de mutu acord per la UA i la Presidència de la Generalitat.</w:t>
      </w:r>
    </w:p>
    <w:p w14:paraId="75CE4536" w14:textId="77777777" w:rsidR="00EE377A" w:rsidRPr="00CF7037" w:rsidRDefault="00F22519"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TRETZENA</w:t>
      </w:r>
      <w:r w:rsidR="00EE377A" w:rsidRPr="00CF7037">
        <w:rPr>
          <w:rFonts w:ascii="Roboto" w:hAnsi="Roboto" w:cs="Arial"/>
          <w:b/>
          <w:bCs/>
          <w:sz w:val="22"/>
          <w:szCs w:val="22"/>
          <w:lang w:val="ca-ES-valencia"/>
        </w:rPr>
        <w:t>. Confidencialitat</w:t>
      </w:r>
    </w:p>
    <w:p w14:paraId="05421A70"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1. Sense perjudici de les obligacions en matèria de publicitat activa i dret d'accés a la informació pública previstes en la Llei 19/2013, de 9 de desembre, de transparència, accés a la informació pública i bon govern, i en la Llei 1/2022, de 13 d’abril, de la Generalitat, de </w:t>
      </w:r>
      <w:r w:rsidRPr="00894892">
        <w:rPr>
          <w:rFonts w:ascii="Roboto" w:hAnsi="Roboto" w:cs="Arial"/>
          <w:sz w:val="22"/>
          <w:szCs w:val="22"/>
          <w:lang w:val="ca-ES-valencia"/>
        </w:rPr>
        <w:lastRenderedPageBreak/>
        <w:t>transparència i bon govern, les parts es comprometen a respectar la confidencialitat de la informació que se subministra en l'execució d'este conveni.</w:t>
      </w:r>
    </w:p>
    <w:p w14:paraId="53FCEADE"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 Tots els materials o documentació creats o generats en el marc del conveni podran ser publicats en les webs o mitjans de difusió de la Presidència de la Generalitat.</w:t>
      </w:r>
    </w:p>
    <w:p w14:paraId="28CB189F" w14:textId="77777777" w:rsidR="00EE377A" w:rsidRPr="00CF7037" w:rsidRDefault="00F22519"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CATORZENA</w:t>
      </w:r>
      <w:r w:rsidR="00EE377A" w:rsidRPr="00CF7037">
        <w:rPr>
          <w:rFonts w:ascii="Roboto" w:hAnsi="Roboto" w:cs="Arial"/>
          <w:b/>
          <w:bCs/>
          <w:sz w:val="22"/>
          <w:szCs w:val="22"/>
          <w:lang w:val="ca-ES-valencia"/>
        </w:rPr>
        <w:t>. Causes d’extinció</w:t>
      </w:r>
    </w:p>
    <w:p w14:paraId="127C5AAA"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Són causes d’extinció del conveni les següents:</w:t>
      </w:r>
    </w:p>
    <w:p w14:paraId="47AEE980" w14:textId="77777777" w:rsidR="00EE377A" w:rsidRPr="00894892" w:rsidRDefault="00EE377A" w:rsidP="00796AE8">
      <w:pPr>
        <w:pStyle w:val="Standard"/>
        <w:numPr>
          <w:ilvl w:val="0"/>
          <w:numId w:val="6"/>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La finalització del termini de vigència del conveni.</w:t>
      </w:r>
    </w:p>
    <w:p w14:paraId="1C40A0C1" w14:textId="77777777" w:rsidR="00EE377A" w:rsidRPr="00894892" w:rsidRDefault="00EE377A" w:rsidP="00796AE8">
      <w:pPr>
        <w:pStyle w:val="Standard"/>
        <w:numPr>
          <w:ilvl w:val="0"/>
          <w:numId w:val="6"/>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El mutu acord de les parts, manifestat per escrit.</w:t>
      </w:r>
    </w:p>
    <w:p w14:paraId="7663CA00" w14:textId="77777777" w:rsidR="00EE377A" w:rsidRPr="00894892" w:rsidRDefault="00EE377A" w:rsidP="00796AE8">
      <w:pPr>
        <w:pStyle w:val="Standard"/>
        <w:numPr>
          <w:ilvl w:val="0"/>
          <w:numId w:val="6"/>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L’incompliment, per qualsevol de les parts, de les condicions establides en el present conveni.</w:t>
      </w:r>
    </w:p>
    <w:p w14:paraId="6D49638C" w14:textId="77777777" w:rsidR="00EE377A" w:rsidRPr="00894892" w:rsidRDefault="00DF1B17" w:rsidP="00796AE8">
      <w:pPr>
        <w:pStyle w:val="Standard"/>
        <w:numPr>
          <w:ilvl w:val="0"/>
          <w:numId w:val="6"/>
        </w:numPr>
        <w:spacing w:after="120" w:line="276" w:lineRule="auto"/>
        <w:jc w:val="both"/>
        <w:rPr>
          <w:rFonts w:ascii="Roboto" w:hAnsi="Roboto" w:cs="Arial"/>
          <w:sz w:val="22"/>
          <w:szCs w:val="22"/>
          <w:lang w:val="ca-ES-valencia"/>
        </w:rPr>
      </w:pPr>
      <w:r>
        <w:rPr>
          <w:rFonts w:ascii="Roboto" w:hAnsi="Roboto" w:cs="Arial"/>
          <w:sz w:val="22"/>
          <w:szCs w:val="22"/>
          <w:lang w:val="ca-ES-valencia"/>
        </w:rPr>
        <w:t>L</w:t>
      </w:r>
      <w:r w:rsidR="00EE377A" w:rsidRPr="00894892">
        <w:rPr>
          <w:rFonts w:ascii="Roboto" w:hAnsi="Roboto" w:cs="Arial"/>
          <w:sz w:val="22"/>
          <w:szCs w:val="22"/>
          <w:lang w:val="ca-ES-valencia"/>
        </w:rPr>
        <w:t xml:space="preserve">’incompliment de les activitats que s’han de desenvolupar o de l’obligació de justificació. En este cas, pertocarà el reintegrament de les quantitats rebudes en les condicions que preveu l’article 37 de </w:t>
      </w:r>
      <w:r>
        <w:rPr>
          <w:rFonts w:ascii="Roboto" w:hAnsi="Roboto" w:cs="Arial"/>
          <w:sz w:val="22"/>
          <w:szCs w:val="22"/>
          <w:lang w:val="ca-ES-valencia"/>
        </w:rPr>
        <w:t>la LGS</w:t>
      </w:r>
      <w:r w:rsidR="00EE377A" w:rsidRPr="00894892">
        <w:rPr>
          <w:rFonts w:ascii="Roboto" w:hAnsi="Roboto" w:cs="Arial"/>
          <w:sz w:val="22"/>
          <w:szCs w:val="22"/>
          <w:lang w:val="ca-ES-valencia"/>
        </w:rPr>
        <w:t xml:space="preserve"> i l’article 172 de </w:t>
      </w:r>
      <w:r>
        <w:rPr>
          <w:rFonts w:ascii="Roboto" w:hAnsi="Roboto" w:cs="Arial"/>
          <w:sz w:val="22"/>
          <w:szCs w:val="22"/>
          <w:lang w:val="ca-ES-valencia"/>
        </w:rPr>
        <w:t>la LHPG</w:t>
      </w:r>
      <w:r w:rsidR="00EE377A" w:rsidRPr="00894892">
        <w:rPr>
          <w:rFonts w:ascii="Roboto" w:hAnsi="Roboto" w:cs="Arial"/>
          <w:sz w:val="22"/>
          <w:szCs w:val="22"/>
          <w:lang w:val="ca-ES-valencia"/>
        </w:rPr>
        <w:t>.</w:t>
      </w:r>
    </w:p>
    <w:p w14:paraId="337CF450" w14:textId="77777777" w:rsidR="00EE377A" w:rsidRPr="00894892" w:rsidRDefault="00DF1B17" w:rsidP="00796AE8">
      <w:pPr>
        <w:pStyle w:val="Standard"/>
        <w:numPr>
          <w:ilvl w:val="0"/>
          <w:numId w:val="6"/>
        </w:numPr>
        <w:spacing w:after="120" w:line="276" w:lineRule="auto"/>
        <w:jc w:val="both"/>
        <w:rPr>
          <w:rFonts w:ascii="Roboto" w:hAnsi="Roboto" w:cs="Arial"/>
          <w:sz w:val="22"/>
          <w:szCs w:val="22"/>
          <w:lang w:val="ca-ES-valencia"/>
        </w:rPr>
      </w:pPr>
      <w:r>
        <w:rPr>
          <w:rFonts w:ascii="Roboto" w:hAnsi="Roboto" w:cs="Arial"/>
          <w:sz w:val="22"/>
          <w:szCs w:val="22"/>
          <w:lang w:val="ca-ES-valencia"/>
        </w:rPr>
        <w:t>P</w:t>
      </w:r>
      <w:r w:rsidR="00EE377A" w:rsidRPr="00894892">
        <w:rPr>
          <w:rFonts w:ascii="Roboto" w:hAnsi="Roboto" w:cs="Arial"/>
          <w:sz w:val="22"/>
          <w:szCs w:val="22"/>
          <w:lang w:val="ca-ES-valencia"/>
        </w:rPr>
        <w:t>er decisió unilateral d’una de les parts, mitjançant una comunicació expressa per escrit a l’altra part, amb una antelació mínima de dos mesos a la data en què es dona per conclòs el conveni.</w:t>
      </w:r>
    </w:p>
    <w:p w14:paraId="5BB55DAE" w14:textId="77777777" w:rsidR="00EE377A" w:rsidRPr="00894892" w:rsidRDefault="00EE377A" w:rsidP="00796AE8">
      <w:pPr>
        <w:pStyle w:val="Standard"/>
        <w:numPr>
          <w:ilvl w:val="0"/>
          <w:numId w:val="6"/>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Les causes generals establides per la legislació vigent.</w:t>
      </w:r>
    </w:p>
    <w:p w14:paraId="57D7B407"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En cas d’incompliment de les obligacions i compromisos assumits en este conveni, qualsevol de les parts pot notificar a la part incomplidora un requeriment perquè complisca en un determinat termini les obligacions o compromisos que es consideren incomplits, en els termes que establix l’article 51.2 de </w:t>
      </w:r>
      <w:r w:rsidR="00F22519">
        <w:rPr>
          <w:rFonts w:ascii="Roboto" w:hAnsi="Roboto" w:cs="Arial"/>
          <w:sz w:val="22"/>
          <w:szCs w:val="22"/>
          <w:lang w:val="ca-ES-valencia"/>
        </w:rPr>
        <w:t>la LRJSP</w:t>
      </w:r>
      <w:r w:rsidRPr="00894892">
        <w:rPr>
          <w:rFonts w:ascii="Roboto" w:hAnsi="Roboto" w:cs="Arial"/>
          <w:sz w:val="22"/>
          <w:szCs w:val="22"/>
          <w:lang w:val="ca-ES-valencia"/>
        </w:rPr>
        <w:t>. Si en qualsevol moment, durant la vigència d’este conveni, a conseqüència del seguiment realitzat, es comprova l’existència d’alguna de les causes d’extinció adés indicades, podrà instar-se la resolució del conveni, comunicant-lo a l’altra part i concedint-li un termini de deu dies per a la presentació d’al·legacions, de conformitat amb el que s’establix per la legislació reguladora del procediment administratiu comú i la resta de normativa que puga resultar aplicable.</w:t>
      </w:r>
    </w:p>
    <w:p w14:paraId="092245E4"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En cada cas concret, en funció de la causa específica d’extinció i a la vista de la situació de les actuacions en curs d’execució, les parts establiran la forma de finalització d’estes actuacions. </w:t>
      </w:r>
    </w:p>
    <w:p w14:paraId="02DFEB09" w14:textId="77777777" w:rsidR="00EE377A" w:rsidRPr="00CF7037" w:rsidRDefault="00F22519"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QUINZENA</w:t>
      </w:r>
      <w:r w:rsidR="00EE377A" w:rsidRPr="00CF7037">
        <w:rPr>
          <w:rFonts w:ascii="Roboto" w:hAnsi="Roboto" w:cs="Arial"/>
          <w:b/>
          <w:bCs/>
          <w:sz w:val="22"/>
          <w:szCs w:val="22"/>
          <w:lang w:val="ca-ES-valencia"/>
        </w:rPr>
        <w:t>. Règim jurídic del conveni</w:t>
      </w:r>
    </w:p>
    <w:p w14:paraId="63487C61"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El present conveni té caràcter administratiu i es regirà pel que s’establix en les seues clàusules o, en defecte d’això, pel que s’establix en la normativa general, sent el règim jurídic aplicable l’establit per </w:t>
      </w:r>
      <w:r w:rsidR="00F22519">
        <w:rPr>
          <w:rFonts w:ascii="Roboto" w:hAnsi="Roboto" w:cs="Arial"/>
          <w:sz w:val="22"/>
          <w:szCs w:val="22"/>
          <w:lang w:val="ca-ES-valencia"/>
        </w:rPr>
        <w:t>la LRJSP</w:t>
      </w:r>
      <w:r w:rsidRPr="00894892">
        <w:rPr>
          <w:rFonts w:ascii="Roboto" w:hAnsi="Roboto" w:cs="Arial"/>
          <w:sz w:val="22"/>
          <w:szCs w:val="22"/>
          <w:lang w:val="ca-ES-valencia"/>
        </w:rPr>
        <w:t xml:space="preserve">, pels articles de caràcter bàsic de </w:t>
      </w:r>
      <w:r w:rsidR="00DF1B17">
        <w:rPr>
          <w:rFonts w:ascii="Roboto" w:hAnsi="Roboto" w:cs="Arial"/>
          <w:sz w:val="22"/>
          <w:szCs w:val="22"/>
          <w:lang w:val="ca-ES-valencia"/>
        </w:rPr>
        <w:t>la LGS</w:t>
      </w:r>
      <w:r w:rsidRPr="00894892">
        <w:rPr>
          <w:rFonts w:ascii="Roboto" w:hAnsi="Roboto" w:cs="Arial"/>
          <w:sz w:val="22"/>
          <w:szCs w:val="22"/>
          <w:lang w:val="ca-ES-valencia"/>
        </w:rPr>
        <w:t xml:space="preserve">, així com els preceptes d’este caràcter del reglament de l’esmentada llei, aprovat pel Reial decret 887/2006, de 21 de juliol (LRJSP), d’acord amb el que establixen les respectives disposicions finals primeres, i, finalment, per les previsions de </w:t>
      </w:r>
      <w:r w:rsidR="00DF1B17">
        <w:rPr>
          <w:rFonts w:ascii="Roboto" w:hAnsi="Roboto" w:cs="Arial"/>
          <w:sz w:val="22"/>
          <w:szCs w:val="22"/>
          <w:lang w:val="ca-ES-valencia"/>
        </w:rPr>
        <w:t>la LHPG</w:t>
      </w:r>
      <w:r w:rsidRPr="00894892">
        <w:rPr>
          <w:rFonts w:ascii="Roboto" w:hAnsi="Roboto" w:cs="Arial"/>
          <w:sz w:val="22"/>
          <w:szCs w:val="22"/>
          <w:lang w:val="ca-ES-valencia"/>
        </w:rPr>
        <w:t>; tot això, en relació amb el que disposa el Decret 176/2014.</w:t>
      </w:r>
    </w:p>
    <w:p w14:paraId="6ED87359"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La resolució de les controvèrsies que puguen plantejar-se sobre la interpretació i l’execució d’este conveni han de resoldre’s de mutu acord entre les parts, a través de la comissió de seguiment. Si no es pot arribar a este acord, les possibles controvèrsies han de ser resoltes de conformitat amb el que disposa l</w:t>
      </w:r>
      <w:r w:rsidR="00F4758B">
        <w:rPr>
          <w:rFonts w:ascii="Roboto" w:hAnsi="Roboto" w:cs="Arial"/>
          <w:sz w:val="22"/>
          <w:szCs w:val="22"/>
          <w:lang w:val="ca-ES-valencia"/>
        </w:rPr>
        <w:t xml:space="preserve">a </w:t>
      </w:r>
      <w:r w:rsidRPr="00894892">
        <w:rPr>
          <w:rFonts w:ascii="Roboto" w:hAnsi="Roboto" w:cs="Arial"/>
          <w:sz w:val="22"/>
          <w:szCs w:val="22"/>
          <w:lang w:val="ca-ES-valencia"/>
        </w:rPr>
        <w:t>LJCA.</w:t>
      </w:r>
    </w:p>
    <w:p w14:paraId="00CE1393" w14:textId="77777777" w:rsidR="00EE377A" w:rsidRPr="00CF7037" w:rsidRDefault="00F22519"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SETZENA</w:t>
      </w:r>
      <w:r w:rsidR="00EE377A" w:rsidRPr="00CF7037">
        <w:rPr>
          <w:rFonts w:ascii="Roboto" w:hAnsi="Roboto" w:cs="Arial"/>
          <w:b/>
          <w:bCs/>
          <w:sz w:val="22"/>
          <w:szCs w:val="22"/>
          <w:lang w:val="ca-ES-valencia"/>
        </w:rPr>
        <w:t>. Pla de control</w:t>
      </w:r>
    </w:p>
    <w:p w14:paraId="7CD193CA"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Durant el procediment d’execució i comprovació de la justificació de esta subvenció, es portaran a terme les següents actuacions dins del pla de control:</w:t>
      </w:r>
    </w:p>
    <w:p w14:paraId="0F1F9EBA" w14:textId="77777777" w:rsidR="00EE377A" w:rsidRPr="00894892" w:rsidRDefault="00EE377A" w:rsidP="00796AE8">
      <w:pPr>
        <w:pStyle w:val="Standard"/>
        <w:numPr>
          <w:ilvl w:val="0"/>
          <w:numId w:val="7"/>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Simultàniament al procés d'execució de les activitats, es duran a terme comprovacions in situ de la realització, almenys, de dos activitats. En els casos de realització de jornades, ponències o actes de difusió, es comptarà amb l'assistència d'algun dels alts càrrecs de la Presidència de la Generalitat per a la seua participació en, almenys, un d'estos actes. D'estes comprovacions sobre el terreny s'estendrà una acta de comprovació que ho verifique.</w:t>
      </w:r>
    </w:p>
    <w:p w14:paraId="4B190BA1" w14:textId="77777777" w:rsidR="00EE377A" w:rsidRPr="00894892" w:rsidRDefault="00EE377A" w:rsidP="00796AE8">
      <w:pPr>
        <w:pStyle w:val="Standard"/>
        <w:numPr>
          <w:ilvl w:val="0"/>
          <w:numId w:val="7"/>
        </w:numPr>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Una vegada finalitzada l'activitat, i fins i tot una vegada efectuat el pagament de la totalitat de la subvenció, es realitzarà un control de qualitat, almenys, d’una activitat triada de manera aleatòria, a partir de la documentació aportada com a resultat de les activitats acomplides, com memòries d'execució, estudis d'investigació, informe de resultats o altres documents que aporte l'entitat beneficiària com a conclusió de les activitats. A més, sobre les activitats seleccionades, es recollirà informació addicional que permeta contextualitzar la documentació aportada per a la justificació de despeses i les activitats programades en funció de la comprovació del seu efectiu grau d'execució.</w:t>
      </w:r>
    </w:p>
    <w:p w14:paraId="1ADFF2F6"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Després de l'execució del pla de control, i basant-se en les actuacions efectuades, l'òrgan gestor elaborarà un informe d'execució i avaluació de resultats, de manera que servisca com a instrument de diagnòstic per a la millora, si escau, del sistema de gestió i control de les línies i per tal d’implantar un sistema de rendició de comptes.</w:t>
      </w:r>
    </w:p>
    <w:p w14:paraId="1C78882F" w14:textId="77777777" w:rsidR="00EE377A" w:rsidRPr="00CF7037" w:rsidRDefault="00F22519"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DESSETENA</w:t>
      </w:r>
      <w:r w:rsidR="00EE377A" w:rsidRPr="00CF7037">
        <w:rPr>
          <w:rFonts w:ascii="Roboto" w:hAnsi="Roboto" w:cs="Arial"/>
          <w:b/>
          <w:bCs/>
          <w:sz w:val="22"/>
          <w:szCs w:val="22"/>
          <w:lang w:val="ca-ES-valencia"/>
        </w:rPr>
        <w:t>. Transparència, subministrament d'informació i dades obertes</w:t>
      </w:r>
    </w:p>
    <w:p w14:paraId="570D2B1F"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Sense perjudici de les obligacions de transparència que té com a entitat pública, en virtut de la Llei 19/2013, de 9 de desembre, de transparència, accés a la informació pública i bon govern, i de la Llei 1/2022, de 13 d'abril, de transparència i bon govern de la Comunitat Valenciana, l’entitat beneficiària té les següents obligacions:</w:t>
      </w:r>
    </w:p>
    <w:p w14:paraId="2F3C1902"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1. Donar l'adequada publicitat del caràcter públic del finançament de programes, activitats, inversions o actuacions de qualsevol tipus que siguen objecte de subvenció, incloent el logotip de la Generalitat  en mitjans de difusió, com ara cartells, materials impresos, mitjans electrònics o audiovisuals i en qualsevol altre mitjà de publicitat que es realitze de l'activitat subvencionada.</w:t>
      </w:r>
    </w:p>
    <w:p w14:paraId="2F9825EA"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2. Subministrar a l'entitat concedent, previ requeriment, tota la informació que siga necessària per al compliment per esta de les obligacions previstes en la legislació en matèria de transparència, en el termini de 15 dies hàbils des del requeriment.</w:t>
      </w:r>
    </w:p>
    <w:p w14:paraId="7AF340B8"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lastRenderedPageBreak/>
        <w:t>3. Disposar els nous conjunts de dades que es generen per la formalització i el desenvolupament de les subvencions atorgades per l'Administració de la Generalitat, sempre que siga possible, com a conjunt de dades obertes.</w:t>
      </w:r>
    </w:p>
    <w:p w14:paraId="6106D451" w14:textId="77777777" w:rsidR="00EE377A" w:rsidRPr="00CF7037" w:rsidRDefault="00EE377A" w:rsidP="00796AE8">
      <w:pPr>
        <w:pStyle w:val="Standard"/>
        <w:spacing w:after="120" w:line="276" w:lineRule="auto"/>
        <w:jc w:val="both"/>
        <w:rPr>
          <w:rFonts w:ascii="Roboto" w:hAnsi="Roboto" w:cs="Arial"/>
          <w:b/>
          <w:bCs/>
          <w:sz w:val="22"/>
          <w:szCs w:val="22"/>
          <w:lang w:val="ca-ES-valencia"/>
        </w:rPr>
      </w:pPr>
      <w:r w:rsidRPr="00CF7037">
        <w:rPr>
          <w:rFonts w:ascii="Roboto" w:hAnsi="Roboto" w:cs="Arial"/>
          <w:b/>
          <w:bCs/>
          <w:sz w:val="22"/>
          <w:szCs w:val="22"/>
          <w:lang w:val="ca-ES-valencia"/>
        </w:rPr>
        <w:t>DIHUITENA. Clàusula de tractament de dades de caràcter personal</w:t>
      </w:r>
    </w:p>
    <w:p w14:paraId="5E0C22D5"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Les parts s'obliguen a complir les previsions del Reglament (UE) 2016/679, del Parlament Europeu i del Consell, de 27 d'abril de 2016, relatiu a la protecció de les persones físiques quant al tractament de dades personals i a la lliure circulació d'estes dades, i pel qual es deroga la Directiva 95/46/CE i les específiques de la Llei orgànica 3/2018, de 5 de desembre, de protecció de dades personals i garantia dels drets digitals, quant a les dades personals que, com a conseqüència de l'execució d'este conveni, siguen tractades per cadascuna de les parts o siguen comunicades entre estes. </w:t>
      </w:r>
    </w:p>
    <w:p w14:paraId="12A12571"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Informació sobre el tractament de dades de caràcter personal dels responsables designats per a fer el seguiment del conveni i les persones signants d'este:</w:t>
      </w:r>
    </w:p>
    <w:p w14:paraId="4B260E48"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PER PART DE LA PRESIDÈNCIA DE LA GENERALITAT</w:t>
      </w:r>
    </w:p>
    <w:p w14:paraId="0DFEBCC5"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Té la condició de responsable del tractament: la Subsecretaria de la Presidència de la Generalitat. </w:t>
      </w:r>
    </w:p>
    <w:p w14:paraId="009C9887"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La finalitat per al tractament de dades personals és: gestió de convenis pels quals s’articulen ajudes, col·laboracions i acords de cooperació. </w:t>
      </w:r>
    </w:p>
    <w:p w14:paraId="1294270C"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La persona interessada té dret a sol·licitar l'accés, rectificació i supressió de les seues dades de caràcter personal, com també a sol·licitar la limitació o oposició al seu tractament i a no ser objecte de decisions individuals automatitzades, de manera presencial o telemàtica, de conformitat amb el que es preveu en el següent </w:t>
      </w:r>
      <w:hyperlink r:id="rId8" w:history="1">
        <w:r w:rsidRPr="00F4758B">
          <w:rPr>
            <w:rStyle w:val="Hipervnculo"/>
            <w:rFonts w:ascii="Roboto" w:hAnsi="Roboto" w:cs="Arial"/>
            <w:sz w:val="22"/>
            <w:szCs w:val="22"/>
            <w:lang w:val="ca-ES-valencia"/>
          </w:rPr>
          <w:t>enllaç</w:t>
        </w:r>
      </w:hyperlink>
      <w:r w:rsidRPr="00894892">
        <w:rPr>
          <w:rFonts w:ascii="Roboto" w:hAnsi="Roboto" w:cs="Arial"/>
          <w:sz w:val="22"/>
          <w:szCs w:val="22"/>
          <w:lang w:val="ca-ES-valencia"/>
        </w:rPr>
        <w:t>.</w:t>
      </w:r>
    </w:p>
    <w:p w14:paraId="58AAAD15"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Podeu obtindre informació més detallada en el següent </w:t>
      </w:r>
      <w:hyperlink r:id="rId9" w:history="1">
        <w:r w:rsidRPr="00F4758B">
          <w:rPr>
            <w:rStyle w:val="Hipervnculo"/>
            <w:rFonts w:ascii="Roboto" w:hAnsi="Roboto" w:cs="Arial"/>
            <w:sz w:val="22"/>
            <w:szCs w:val="22"/>
            <w:lang w:val="ca-ES-valencia"/>
          </w:rPr>
          <w:t>enllaç</w:t>
        </w:r>
      </w:hyperlink>
    </w:p>
    <w:p w14:paraId="26BEED0A"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PER PART DE LA UNIVERSITAT:</w:t>
      </w:r>
    </w:p>
    <w:p w14:paraId="059851BB"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Té la condició de responsable del tractament: Gerència. </w:t>
      </w:r>
    </w:p>
    <w:p w14:paraId="3F843625"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I estant les parts d’acord amb el contingut d’este document, per a deixar-ne constància i en prova de conformitat, se signa este conveni</w:t>
      </w:r>
      <w:r w:rsidR="00F4758B">
        <w:rPr>
          <w:rFonts w:ascii="Roboto" w:hAnsi="Roboto" w:cs="Arial"/>
          <w:sz w:val="22"/>
          <w:szCs w:val="22"/>
          <w:lang w:val="ca-ES-valencia"/>
        </w:rPr>
        <w:t xml:space="preserve"> en </w:t>
      </w:r>
      <w:r w:rsidRPr="00894892">
        <w:rPr>
          <w:rFonts w:ascii="Roboto" w:hAnsi="Roboto" w:cs="Arial"/>
          <w:sz w:val="22"/>
          <w:szCs w:val="22"/>
          <w:lang w:val="ca-ES-valencia"/>
        </w:rPr>
        <w:t xml:space="preserve">la data </w:t>
      </w:r>
      <w:r w:rsidR="00F4758B">
        <w:rPr>
          <w:rFonts w:ascii="Roboto" w:hAnsi="Roboto" w:cs="Arial"/>
          <w:sz w:val="22"/>
          <w:szCs w:val="22"/>
          <w:lang w:val="ca-ES-valencia"/>
        </w:rPr>
        <w:t>de la signatura digital</w:t>
      </w:r>
      <w:r w:rsidRPr="00894892">
        <w:rPr>
          <w:rFonts w:ascii="Roboto" w:hAnsi="Roboto" w:cs="Arial"/>
          <w:sz w:val="22"/>
          <w:szCs w:val="22"/>
          <w:lang w:val="ca-ES-valencia"/>
        </w:rPr>
        <w:t>.</w:t>
      </w:r>
    </w:p>
    <w:p w14:paraId="4E1E00A8" w14:textId="77777777" w:rsidR="00EE377A" w:rsidRPr="00894892" w:rsidRDefault="00EE377A" w:rsidP="00796AE8">
      <w:pPr>
        <w:pStyle w:val="Standard"/>
        <w:spacing w:after="120" w:line="276" w:lineRule="auto"/>
        <w:jc w:val="both"/>
        <w:rPr>
          <w:rFonts w:ascii="Roboto" w:hAnsi="Roboto" w:cs="Arial"/>
          <w:sz w:val="22"/>
          <w:szCs w:val="22"/>
          <w:lang w:val="ca-ES-valencia"/>
        </w:rPr>
      </w:pPr>
    </w:p>
    <w:tbl>
      <w:tblPr>
        <w:tblW w:w="0" w:type="auto"/>
        <w:jc w:val="center"/>
        <w:tblLook w:val="04A0" w:firstRow="1" w:lastRow="0" w:firstColumn="1" w:lastColumn="0" w:noHBand="0" w:noVBand="1"/>
      </w:tblPr>
      <w:tblGrid>
        <w:gridCol w:w="4650"/>
        <w:gridCol w:w="4636"/>
      </w:tblGrid>
      <w:tr w:rsidR="00EE377A" w:rsidRPr="00894892" w14:paraId="703C950F" w14:textId="77777777" w:rsidTr="000B1BF5">
        <w:trPr>
          <w:jc w:val="center"/>
        </w:trPr>
        <w:tc>
          <w:tcPr>
            <w:tcW w:w="4747" w:type="dxa"/>
            <w:shd w:val="clear" w:color="auto" w:fill="auto"/>
          </w:tcPr>
          <w:p w14:paraId="700C175A" w14:textId="77777777" w:rsidR="00EE377A" w:rsidRPr="00894892" w:rsidRDefault="00EE377A" w:rsidP="00796AE8">
            <w:pPr>
              <w:pStyle w:val="Standard"/>
              <w:spacing w:after="120" w:line="276" w:lineRule="auto"/>
              <w:jc w:val="center"/>
              <w:rPr>
                <w:rFonts w:ascii="Roboto" w:hAnsi="Roboto" w:cs="Arial"/>
                <w:sz w:val="22"/>
                <w:szCs w:val="22"/>
                <w:lang w:val="ca-ES-valencia"/>
              </w:rPr>
            </w:pPr>
            <w:r w:rsidRPr="00894892">
              <w:rPr>
                <w:rFonts w:ascii="Roboto" w:hAnsi="Roboto" w:cs="Arial"/>
                <w:sz w:val="22"/>
                <w:szCs w:val="22"/>
                <w:lang w:val="ca-ES-valencia"/>
              </w:rPr>
              <w:t>EL SECRETARI AUTONÒMIC DE RELACIONS INSTITUCIONALS I TRANSPARÈNCIA</w:t>
            </w:r>
          </w:p>
        </w:tc>
        <w:tc>
          <w:tcPr>
            <w:tcW w:w="4747" w:type="dxa"/>
            <w:shd w:val="clear" w:color="auto" w:fill="auto"/>
          </w:tcPr>
          <w:p w14:paraId="1AE8CE3C" w14:textId="77777777" w:rsidR="00EE377A" w:rsidRPr="00894892" w:rsidRDefault="00EE377A" w:rsidP="00796AE8">
            <w:pPr>
              <w:pStyle w:val="Standard"/>
              <w:spacing w:after="120" w:line="276" w:lineRule="auto"/>
              <w:jc w:val="center"/>
              <w:rPr>
                <w:rFonts w:ascii="Roboto" w:hAnsi="Roboto" w:cs="Arial"/>
                <w:sz w:val="22"/>
                <w:szCs w:val="22"/>
                <w:lang w:val="ca-ES-valencia"/>
              </w:rPr>
            </w:pPr>
            <w:r w:rsidRPr="00894892">
              <w:rPr>
                <w:rFonts w:ascii="Roboto" w:hAnsi="Roboto" w:cs="Arial"/>
                <w:sz w:val="22"/>
                <w:szCs w:val="22"/>
                <w:lang w:val="ca-ES-valencia"/>
              </w:rPr>
              <w:t>LA RECTORA DE LA UNIVERSITAT D’ALACANT</w:t>
            </w:r>
          </w:p>
        </w:tc>
      </w:tr>
    </w:tbl>
    <w:p w14:paraId="5F2F424E" w14:textId="77777777" w:rsidR="00EE377A" w:rsidRPr="00894892" w:rsidRDefault="00EE377A" w:rsidP="00796AE8">
      <w:pPr>
        <w:pStyle w:val="Standard"/>
        <w:spacing w:after="120" w:line="276" w:lineRule="auto"/>
        <w:jc w:val="both"/>
        <w:rPr>
          <w:rFonts w:ascii="Roboto" w:hAnsi="Roboto" w:cs="Arial"/>
          <w:sz w:val="22"/>
          <w:szCs w:val="22"/>
          <w:lang w:val="ca-ES-valencia"/>
        </w:rPr>
      </w:pPr>
    </w:p>
    <w:p w14:paraId="330F8CDE" w14:textId="77777777" w:rsidR="00EE377A" w:rsidRPr="00894892" w:rsidRDefault="00EE377A" w:rsidP="00796AE8">
      <w:pPr>
        <w:pStyle w:val="Standard"/>
        <w:spacing w:after="120" w:line="276" w:lineRule="auto"/>
        <w:jc w:val="both"/>
        <w:rPr>
          <w:rFonts w:ascii="Roboto" w:hAnsi="Roboto" w:cs="Arial"/>
          <w:sz w:val="22"/>
          <w:szCs w:val="22"/>
          <w:lang w:val="ca-ES-valencia"/>
        </w:rPr>
      </w:pPr>
    </w:p>
    <w:p w14:paraId="769BF504" w14:textId="77777777" w:rsidR="00EE377A" w:rsidRPr="00894892" w:rsidRDefault="00EE377A" w:rsidP="00796AE8">
      <w:pPr>
        <w:pStyle w:val="Standard"/>
        <w:spacing w:after="120" w:line="276" w:lineRule="auto"/>
        <w:jc w:val="both"/>
        <w:rPr>
          <w:rFonts w:ascii="Roboto" w:hAnsi="Roboto" w:cs="Arial"/>
          <w:sz w:val="22"/>
          <w:szCs w:val="22"/>
          <w:lang w:val="ca-ES-valencia"/>
        </w:rPr>
      </w:pPr>
    </w:p>
    <w:p w14:paraId="58138886" w14:textId="77777777" w:rsidR="00EE377A" w:rsidRPr="00894892" w:rsidRDefault="00EE377A" w:rsidP="00796AE8">
      <w:pPr>
        <w:pStyle w:val="Standard"/>
        <w:spacing w:after="120" w:line="276" w:lineRule="auto"/>
        <w:jc w:val="both"/>
        <w:rPr>
          <w:rFonts w:ascii="Roboto" w:hAnsi="Roboto" w:cs="Arial"/>
          <w:sz w:val="22"/>
          <w:szCs w:val="22"/>
          <w:lang w:val="ca-ES-valencia"/>
        </w:rPr>
      </w:pPr>
    </w:p>
    <w:p w14:paraId="00695014" w14:textId="77777777" w:rsidR="00EE377A" w:rsidRPr="00894892" w:rsidRDefault="00EE377A" w:rsidP="00796AE8">
      <w:pPr>
        <w:pStyle w:val="Standard"/>
        <w:spacing w:after="120" w:line="276" w:lineRule="auto"/>
        <w:jc w:val="both"/>
        <w:rPr>
          <w:rFonts w:ascii="Roboto" w:hAnsi="Roboto" w:cs="Arial"/>
          <w:sz w:val="22"/>
          <w:szCs w:val="22"/>
          <w:lang w:val="ca-ES-valencia"/>
        </w:rPr>
      </w:pPr>
      <w:r w:rsidRPr="00894892">
        <w:rPr>
          <w:rFonts w:ascii="Roboto" w:hAnsi="Roboto" w:cs="Arial"/>
          <w:sz w:val="22"/>
          <w:szCs w:val="22"/>
          <w:lang w:val="ca-ES-valencia"/>
        </w:rPr>
        <w:t xml:space="preserve"> </w:t>
      </w:r>
    </w:p>
    <w:p w14:paraId="6331C91C" w14:textId="77777777" w:rsidR="00EE377A" w:rsidRPr="00894892" w:rsidRDefault="00EE377A" w:rsidP="00796AE8">
      <w:pPr>
        <w:pStyle w:val="Standard"/>
        <w:spacing w:after="120" w:line="276" w:lineRule="auto"/>
        <w:jc w:val="both"/>
        <w:rPr>
          <w:rFonts w:ascii="Roboto" w:hAnsi="Roboto" w:cs="Arial"/>
          <w:sz w:val="22"/>
          <w:szCs w:val="22"/>
          <w:lang w:val="ca-ES-valencia"/>
        </w:rPr>
      </w:pPr>
    </w:p>
    <w:sectPr w:rsidR="00EE377A" w:rsidRPr="00894892" w:rsidSect="00CA53A3">
      <w:headerReference w:type="default" r:id="rId10"/>
      <w:footerReference w:type="default" r:id="rId11"/>
      <w:headerReference w:type="first" r:id="rId12"/>
      <w:pgSz w:w="11906" w:h="16838"/>
      <w:pgMar w:top="1985" w:right="1418" w:bottom="1134" w:left="1418" w:header="720" w:footer="92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524E1" w14:textId="77777777" w:rsidR="00CB06C2" w:rsidRDefault="00CB06C2">
      <w:r>
        <w:separator/>
      </w:r>
    </w:p>
  </w:endnote>
  <w:endnote w:type="continuationSeparator" w:id="0">
    <w:p w14:paraId="5E04617E" w14:textId="77777777" w:rsidR="00CB06C2" w:rsidRDefault="00CB0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FEBC5" w14:textId="77777777" w:rsidR="004879B3" w:rsidRPr="004879B3" w:rsidRDefault="004879B3" w:rsidP="004879B3">
    <w:pPr>
      <w:pStyle w:val="Piedepgina"/>
      <w:jc w:val="center"/>
      <w:rPr>
        <w:rFonts w:ascii="Roboto" w:hAnsi="Roboto"/>
        <w:sz w:val="18"/>
        <w:szCs w:val="18"/>
      </w:rPr>
    </w:pPr>
    <w:r w:rsidRPr="004879B3">
      <w:rPr>
        <w:rFonts w:ascii="Roboto" w:hAnsi="Roboto"/>
        <w:sz w:val="18"/>
        <w:szCs w:val="18"/>
      </w:rPr>
      <w:fldChar w:fldCharType="begin"/>
    </w:r>
    <w:r w:rsidRPr="004879B3">
      <w:rPr>
        <w:rFonts w:ascii="Roboto" w:hAnsi="Roboto"/>
        <w:sz w:val="18"/>
        <w:szCs w:val="18"/>
      </w:rPr>
      <w:instrText>PAGE</w:instrText>
    </w:r>
    <w:r w:rsidRPr="004879B3">
      <w:rPr>
        <w:rFonts w:ascii="Roboto" w:hAnsi="Roboto"/>
        <w:sz w:val="18"/>
        <w:szCs w:val="18"/>
      </w:rPr>
      <w:fldChar w:fldCharType="separate"/>
    </w:r>
    <w:r w:rsidRPr="004879B3">
      <w:rPr>
        <w:rFonts w:ascii="Roboto" w:hAnsi="Roboto"/>
        <w:sz w:val="18"/>
        <w:szCs w:val="18"/>
        <w:lang w:val="es-ES"/>
      </w:rPr>
      <w:t>2</w:t>
    </w:r>
    <w:r w:rsidRPr="004879B3">
      <w:rPr>
        <w:rFonts w:ascii="Roboto" w:hAnsi="Roboto"/>
        <w:sz w:val="18"/>
        <w:szCs w:val="18"/>
      </w:rPr>
      <w:fldChar w:fldCharType="end"/>
    </w:r>
    <w:r w:rsidRPr="004879B3">
      <w:rPr>
        <w:rFonts w:ascii="Roboto" w:hAnsi="Roboto"/>
        <w:sz w:val="18"/>
        <w:szCs w:val="18"/>
        <w:lang w:val="es-ES"/>
      </w:rPr>
      <w:t xml:space="preserve"> de </w:t>
    </w:r>
    <w:r w:rsidRPr="004879B3">
      <w:rPr>
        <w:rFonts w:ascii="Roboto" w:hAnsi="Roboto"/>
        <w:sz w:val="18"/>
        <w:szCs w:val="18"/>
      </w:rPr>
      <w:fldChar w:fldCharType="begin"/>
    </w:r>
    <w:r w:rsidRPr="004879B3">
      <w:rPr>
        <w:rFonts w:ascii="Roboto" w:hAnsi="Roboto"/>
        <w:sz w:val="18"/>
        <w:szCs w:val="18"/>
      </w:rPr>
      <w:instrText>NUMPAGES</w:instrText>
    </w:r>
    <w:r w:rsidRPr="004879B3">
      <w:rPr>
        <w:rFonts w:ascii="Roboto" w:hAnsi="Roboto"/>
        <w:sz w:val="18"/>
        <w:szCs w:val="18"/>
      </w:rPr>
      <w:fldChar w:fldCharType="separate"/>
    </w:r>
    <w:r w:rsidRPr="004879B3">
      <w:rPr>
        <w:rFonts w:ascii="Roboto" w:hAnsi="Roboto"/>
        <w:sz w:val="18"/>
        <w:szCs w:val="18"/>
        <w:lang w:val="es-ES"/>
      </w:rPr>
      <w:t>2</w:t>
    </w:r>
    <w:r w:rsidRPr="004879B3">
      <w:rPr>
        <w:rFonts w:ascii="Roboto" w:hAnsi="Roboto"/>
        <w:sz w:val="18"/>
        <w:szCs w:val="18"/>
      </w:rPr>
      <w:fldChar w:fldCharType="end"/>
    </w:r>
  </w:p>
  <w:p w14:paraId="7244A1A1" w14:textId="77777777" w:rsidR="004879B3" w:rsidRDefault="004879B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D19B5" w14:textId="77777777" w:rsidR="00CB06C2" w:rsidRDefault="00CB06C2">
      <w:r>
        <w:rPr>
          <w:color w:val="000000"/>
        </w:rPr>
        <w:separator/>
      </w:r>
    </w:p>
  </w:footnote>
  <w:footnote w:type="continuationSeparator" w:id="0">
    <w:p w14:paraId="2B6301B8" w14:textId="77777777" w:rsidR="00CB06C2" w:rsidRDefault="00CB0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1D119" w14:textId="77777777" w:rsidR="00894892" w:rsidRDefault="00894892" w:rsidP="00894892">
    <w:pPr>
      <w:pStyle w:val="Encabezado"/>
      <w:tabs>
        <w:tab w:val="clear" w:pos="8504"/>
      </w:tabs>
      <w:ind w:left="-833" w:right="-2"/>
      <w:jc w:val="right"/>
      <w:rPr>
        <w:rFonts w:ascii="Roboto" w:hAnsi="Roboto" w:cs="Times New Roman"/>
        <w:color w:val="C00000"/>
        <w:sz w:val="16"/>
        <w:szCs w:val="16"/>
        <w:lang w:eastAsia="es-ES_tradnl"/>
      </w:rPr>
    </w:pPr>
    <w:r>
      <w:rPr>
        <w:noProof/>
      </w:rPr>
      <w:pict w14:anchorId="45F467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85pt;margin-top:-6.7pt;width:116.5pt;height:48.75pt;z-index:251658240;visibility:visible" wrapcoords="-139 0 -139 21268 21600 21268 21600 0 -139 0">
          <v:imagedata r:id="rId1" o:title=""/>
          <w10:wrap type="through"/>
        </v:shape>
      </w:pict>
    </w:r>
    <w:r w:rsidRPr="00612E67">
      <w:rPr>
        <w:noProof/>
      </w:rPr>
      <w:pict w14:anchorId="3B2FE50A">
        <v:shape id="Imagen 1" o:spid="_x0000_i1025" type="#_x0000_t75" style="width:163.7pt;height:32.6pt;visibility:visible">
          <v:imagedata r:id="rId2" o:title=""/>
        </v:shape>
      </w:pict>
    </w:r>
  </w:p>
  <w:p w14:paraId="046F6B7A" w14:textId="77777777" w:rsidR="00D53E11" w:rsidRDefault="00D53E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9FEA9" w14:textId="77777777" w:rsidR="00770C03" w:rsidRDefault="00CF5F10">
    <w:pPr>
      <w:pStyle w:val="Encabezado"/>
      <w:ind w:left="1985" w:right="851"/>
      <w:rPr>
        <w:rFonts w:ascii="Roboto" w:hAnsi="Roboto" w:cs="Times New Roman"/>
        <w:color w:val="C00000"/>
        <w:sz w:val="16"/>
        <w:szCs w:val="16"/>
        <w:lang w:eastAsia="es-ES_tradnl"/>
      </w:rPr>
    </w:pPr>
    <w:r>
      <w:rPr>
        <w:noProof/>
      </w:rPr>
      <w:pict w14:anchorId="4C37A7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5" type="#_x0000_t75" style="position:absolute;left:0;text-align:left;margin-left:-1.45pt;margin-top:-4.8pt;width:116.5pt;height:48.75pt;z-index:251657216;visibility:visible" wrapcoords="-139 0 -139 21268 21600 21268 21600 0 -139 0">
          <v:imagedata r:id="rId1" o:title=""/>
          <w10:wrap type="through"/>
        </v:shape>
      </w:pict>
    </w:r>
  </w:p>
  <w:p w14:paraId="238BA583" w14:textId="77777777" w:rsidR="00770C03" w:rsidRDefault="00770C03">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A109A"/>
    <w:multiLevelType w:val="hybridMultilevel"/>
    <w:tmpl w:val="3424B8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95D2CFD"/>
    <w:multiLevelType w:val="hybridMultilevel"/>
    <w:tmpl w:val="721E639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CDE35B6"/>
    <w:multiLevelType w:val="hybridMultilevel"/>
    <w:tmpl w:val="735873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 w15:restartNumberingAfterBreak="0">
    <w:nsid w:val="5EA10C62"/>
    <w:multiLevelType w:val="hybridMultilevel"/>
    <w:tmpl w:val="5D725A2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71AB0DEC"/>
    <w:multiLevelType w:val="hybridMultilevel"/>
    <w:tmpl w:val="B09CD41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751C069A"/>
    <w:multiLevelType w:val="hybridMultilevel"/>
    <w:tmpl w:val="1EB0BC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2103378894">
    <w:abstractNumId w:val="3"/>
  </w:num>
  <w:num w:numId="2" w16cid:durableId="931357062">
    <w:abstractNumId w:val="1"/>
  </w:num>
  <w:num w:numId="3" w16cid:durableId="376122149">
    <w:abstractNumId w:val="2"/>
  </w:num>
  <w:num w:numId="4" w16cid:durableId="1890409754">
    <w:abstractNumId w:val="6"/>
  </w:num>
  <w:num w:numId="5" w16cid:durableId="90010972">
    <w:abstractNumId w:val="0"/>
  </w:num>
  <w:num w:numId="6" w16cid:durableId="752118378">
    <w:abstractNumId w:val="5"/>
  </w:num>
  <w:num w:numId="7" w16cid:durableId="611130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Moves/>
  <w:defaultTabStop w:val="708"/>
  <w:autoHyphenation/>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03BF"/>
    <w:rsid w:val="000001E3"/>
    <w:rsid w:val="00072DD9"/>
    <w:rsid w:val="00086DC7"/>
    <w:rsid w:val="000A54F1"/>
    <w:rsid w:val="000B1BF5"/>
    <w:rsid w:val="000C04A9"/>
    <w:rsid w:val="000E3142"/>
    <w:rsid w:val="000F6273"/>
    <w:rsid w:val="001170D3"/>
    <w:rsid w:val="00120D41"/>
    <w:rsid w:val="001C6DA1"/>
    <w:rsid w:val="001E7535"/>
    <w:rsid w:val="00260B22"/>
    <w:rsid w:val="002A0B87"/>
    <w:rsid w:val="0032343C"/>
    <w:rsid w:val="003F3335"/>
    <w:rsid w:val="003F7B81"/>
    <w:rsid w:val="004879B3"/>
    <w:rsid w:val="004C0383"/>
    <w:rsid w:val="004C5022"/>
    <w:rsid w:val="004E75D7"/>
    <w:rsid w:val="004F4D5F"/>
    <w:rsid w:val="005303BF"/>
    <w:rsid w:val="0055322F"/>
    <w:rsid w:val="00616993"/>
    <w:rsid w:val="00692A49"/>
    <w:rsid w:val="006A16E5"/>
    <w:rsid w:val="006A173F"/>
    <w:rsid w:val="006A5902"/>
    <w:rsid w:val="006C1592"/>
    <w:rsid w:val="006E6F0D"/>
    <w:rsid w:val="00726846"/>
    <w:rsid w:val="00750EC2"/>
    <w:rsid w:val="00770C03"/>
    <w:rsid w:val="00796AE8"/>
    <w:rsid w:val="007C1EC3"/>
    <w:rsid w:val="007E01AA"/>
    <w:rsid w:val="007F2835"/>
    <w:rsid w:val="008833A2"/>
    <w:rsid w:val="00894892"/>
    <w:rsid w:val="008B66B8"/>
    <w:rsid w:val="009012B5"/>
    <w:rsid w:val="009378AF"/>
    <w:rsid w:val="009D6BAA"/>
    <w:rsid w:val="00A02391"/>
    <w:rsid w:val="00A21F92"/>
    <w:rsid w:val="00A62185"/>
    <w:rsid w:val="00A76216"/>
    <w:rsid w:val="00A90B78"/>
    <w:rsid w:val="00B37AE8"/>
    <w:rsid w:val="00B43492"/>
    <w:rsid w:val="00B60BA8"/>
    <w:rsid w:val="00BD51AC"/>
    <w:rsid w:val="00BE455F"/>
    <w:rsid w:val="00C26E36"/>
    <w:rsid w:val="00CA2CBC"/>
    <w:rsid w:val="00CA53A3"/>
    <w:rsid w:val="00CB06C2"/>
    <w:rsid w:val="00CF5F10"/>
    <w:rsid w:val="00CF7037"/>
    <w:rsid w:val="00D53E11"/>
    <w:rsid w:val="00D86484"/>
    <w:rsid w:val="00D948CE"/>
    <w:rsid w:val="00DB617D"/>
    <w:rsid w:val="00DC4270"/>
    <w:rsid w:val="00DF1B17"/>
    <w:rsid w:val="00E8707E"/>
    <w:rsid w:val="00E94081"/>
    <w:rsid w:val="00EA60CC"/>
    <w:rsid w:val="00EE377A"/>
    <w:rsid w:val="00F13C12"/>
    <w:rsid w:val="00F22519"/>
    <w:rsid w:val="00F32735"/>
    <w:rsid w:val="00F376D8"/>
    <w:rsid w:val="00F43555"/>
    <w:rsid w:val="00F4758B"/>
    <w:rsid w:val="00F60C4B"/>
    <w:rsid w:val="00F76F7E"/>
    <w:rsid w:val="00FB1B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C6E368F"/>
  <w15:docId w15:val="{CF69A37B-2A62-4D86-8973-AA4F3BA51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B37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53E11"/>
    <w:rPr>
      <w:sz w:val="24"/>
      <w:szCs w:val="24"/>
      <w:lang w:val="es-ES_tradnl" w:eastAsia="en-US"/>
    </w:rPr>
  </w:style>
  <w:style w:type="character" w:styleId="Hipervnculo">
    <w:name w:val="Hyperlink"/>
    <w:uiPriority w:val="99"/>
    <w:unhideWhenUsed/>
    <w:rsid w:val="00DF1B17"/>
    <w:rPr>
      <w:color w:val="0563C1"/>
      <w:u w:val="single"/>
    </w:rPr>
  </w:style>
  <w:style w:type="character" w:styleId="Mencinsinresolver">
    <w:name w:val="Unresolved Mention"/>
    <w:uiPriority w:val="99"/>
    <w:semiHidden/>
    <w:unhideWhenUsed/>
    <w:rsid w:val="00DF1B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va.es/va/inicio/procedimientos?id_proc=1997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va.es/va/inicio/procedimientos?id_proc=G18487"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residencia.gva.es/es/proteccio-de-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11</Pages>
  <Words>4780</Words>
  <Characters>26294</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31012</CharactersWithSpaces>
  <SharedDoc>false</SharedDoc>
  <HLinks>
    <vt:vector size="18" baseType="variant">
      <vt:variant>
        <vt:i4>720991</vt:i4>
      </vt:variant>
      <vt:variant>
        <vt:i4>6</vt:i4>
      </vt:variant>
      <vt:variant>
        <vt:i4>0</vt:i4>
      </vt:variant>
      <vt:variant>
        <vt:i4>5</vt:i4>
      </vt:variant>
      <vt:variant>
        <vt:lpwstr>https://presidencia.gva.es/es/proteccio-de-dades</vt:lpwstr>
      </vt:variant>
      <vt:variant>
        <vt:lpwstr/>
      </vt:variant>
      <vt:variant>
        <vt:i4>5505150</vt:i4>
      </vt:variant>
      <vt:variant>
        <vt:i4>3</vt:i4>
      </vt:variant>
      <vt:variant>
        <vt:i4>0</vt:i4>
      </vt:variant>
      <vt:variant>
        <vt:i4>5</vt:i4>
      </vt:variant>
      <vt:variant>
        <vt:lpwstr>https://www.gva.es/va/inicio/procedimientos?id_proc=19970</vt:lpwstr>
      </vt:variant>
      <vt:variant>
        <vt:lpwstr/>
      </vt:variant>
      <vt:variant>
        <vt:i4>6815761</vt:i4>
      </vt:variant>
      <vt:variant>
        <vt:i4>0</vt:i4>
      </vt:variant>
      <vt:variant>
        <vt:i4>0</vt:i4>
      </vt:variant>
      <vt:variant>
        <vt:i4>5</vt:i4>
      </vt:variant>
      <vt:variant>
        <vt:lpwstr>https://www.gva.es/va/inicio/procedimientos?id_proc=G18487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GARCIA DONCEL, MARIA</cp:lastModifiedBy>
  <cp:revision>3</cp:revision>
  <cp:lastPrinted>2024-05-09T09:35:00Z</cp:lastPrinted>
  <dcterms:created xsi:type="dcterms:W3CDTF">2024-05-10T10:40:00Z</dcterms:created>
  <dcterms:modified xsi:type="dcterms:W3CDTF">2024-05-10T12:50:00Z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