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DEA72" w14:textId="794656E3" w:rsidR="00EE377A" w:rsidRPr="001D31C7" w:rsidRDefault="00EE377A" w:rsidP="00796AE8">
      <w:pPr>
        <w:pStyle w:val="Standard"/>
        <w:spacing w:after="100" w:afterAutospacing="1" w:line="276" w:lineRule="auto"/>
        <w:jc w:val="both"/>
        <w:rPr>
          <w:rFonts w:ascii="Roboto" w:hAnsi="Roboto" w:cs="Arial"/>
          <w:sz w:val="22"/>
          <w:szCs w:val="22"/>
          <w:lang w:val="es-ES"/>
        </w:rPr>
      </w:pPr>
      <w:r w:rsidRPr="001D31C7">
        <w:rPr>
          <w:rFonts w:ascii="Roboto" w:hAnsi="Roboto" w:cs="Arial"/>
          <w:b/>
          <w:bCs/>
          <w:sz w:val="22"/>
          <w:szCs w:val="22"/>
          <w:lang w:val="es-ES"/>
        </w:rPr>
        <w:t xml:space="preserve">CONVENIO DE COLABORACIÓN, ENTRE LA GENERALITAT, A </w:t>
      </w:r>
      <w:r w:rsidR="001D31C7" w:rsidRPr="001D31C7">
        <w:rPr>
          <w:rFonts w:ascii="Roboto" w:hAnsi="Roboto" w:cs="Arial"/>
          <w:b/>
          <w:bCs/>
          <w:sz w:val="22"/>
          <w:szCs w:val="22"/>
          <w:lang w:val="es-ES"/>
        </w:rPr>
        <w:t>TRAVÉS</w:t>
      </w:r>
      <w:r w:rsidRPr="001D31C7">
        <w:rPr>
          <w:rFonts w:ascii="Roboto" w:hAnsi="Roboto" w:cs="Arial"/>
          <w:b/>
          <w:bCs/>
          <w:sz w:val="22"/>
          <w:szCs w:val="22"/>
          <w:lang w:val="es-ES"/>
        </w:rPr>
        <w:t xml:space="preserve"> DE LA PRESIDENCIA, Y LA UNIVERSIDAD D</w:t>
      </w:r>
      <w:r w:rsidR="001D31C7" w:rsidRPr="001D31C7">
        <w:rPr>
          <w:rFonts w:ascii="Roboto" w:hAnsi="Roboto" w:cs="Arial"/>
          <w:b/>
          <w:bCs/>
          <w:sz w:val="22"/>
          <w:szCs w:val="22"/>
          <w:lang w:val="es-ES"/>
        </w:rPr>
        <w:t>E</w:t>
      </w:r>
      <w:r w:rsidRPr="001D31C7">
        <w:rPr>
          <w:rFonts w:ascii="Roboto" w:hAnsi="Roboto" w:cs="Arial"/>
          <w:b/>
          <w:bCs/>
          <w:sz w:val="22"/>
          <w:szCs w:val="22"/>
          <w:lang w:val="es-ES"/>
        </w:rPr>
        <w:t xml:space="preserve"> ALICANTE, PARA EL FOMENTO DE LAS ACTIVIDADES DE LAS UNIVERSIDADES PÚBLICAS DE LA </w:t>
      </w:r>
      <w:r w:rsidR="001D31C7">
        <w:rPr>
          <w:rFonts w:ascii="Roboto" w:hAnsi="Roboto" w:cs="Arial"/>
          <w:b/>
          <w:bCs/>
          <w:sz w:val="22"/>
          <w:szCs w:val="22"/>
          <w:lang w:val="es-ES"/>
        </w:rPr>
        <w:t>COMUNITAT VALENCIANA</w:t>
      </w:r>
      <w:r w:rsidRPr="001D31C7">
        <w:rPr>
          <w:rFonts w:ascii="Roboto" w:hAnsi="Roboto" w:cs="Arial"/>
          <w:b/>
          <w:bCs/>
          <w:sz w:val="22"/>
          <w:szCs w:val="22"/>
          <w:lang w:val="es-ES"/>
        </w:rPr>
        <w:t xml:space="preserve"> EN MATERIA DE PARTICIPACIÓN CIUDADANA, DURANTE E</w:t>
      </w:r>
      <w:r w:rsidR="001D31C7" w:rsidRPr="001D31C7">
        <w:rPr>
          <w:rFonts w:ascii="Roboto" w:hAnsi="Roboto" w:cs="Arial"/>
          <w:b/>
          <w:bCs/>
          <w:sz w:val="22"/>
          <w:szCs w:val="22"/>
          <w:lang w:val="es-ES"/>
        </w:rPr>
        <w:t>L</w:t>
      </w:r>
      <w:r w:rsidRPr="001D31C7">
        <w:rPr>
          <w:rFonts w:ascii="Roboto" w:hAnsi="Roboto" w:cs="Arial"/>
          <w:b/>
          <w:bCs/>
          <w:sz w:val="22"/>
          <w:szCs w:val="22"/>
          <w:lang w:val="es-ES"/>
        </w:rPr>
        <w:t xml:space="preserve"> EJERCICIO 2024</w:t>
      </w:r>
      <w:r w:rsidRPr="001D31C7">
        <w:rPr>
          <w:rFonts w:ascii="Roboto" w:hAnsi="Roboto" w:cs="Arial"/>
          <w:sz w:val="22"/>
          <w:szCs w:val="22"/>
          <w:lang w:val="es-ES"/>
        </w:rPr>
        <w:t>.</w:t>
      </w:r>
    </w:p>
    <w:p w14:paraId="4EE7DE85" w14:textId="22E08D0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Por una parte, la Generalitat, representada por Santiago Lumbreras Peláez, secretario autonómico de Relaciones Institucionales y Transparencia, según el nombramiento efectuado por el Decreto 113/2023, de 25 de julio, del Consell, y autorizado</w:t>
      </w:r>
      <w:r w:rsidR="00E8707E" w:rsidRPr="001D31C7">
        <w:rPr>
          <w:rFonts w:ascii="Roboto" w:hAnsi="Roboto" w:cs="Arial"/>
          <w:sz w:val="22"/>
          <w:szCs w:val="22"/>
          <w:lang w:val="es-ES"/>
        </w:rPr>
        <w:t>,</w:t>
      </w:r>
      <w:r w:rsidRPr="001D31C7">
        <w:rPr>
          <w:rFonts w:ascii="Roboto" w:hAnsi="Roboto" w:cs="Arial"/>
          <w:sz w:val="22"/>
          <w:szCs w:val="22"/>
          <w:lang w:val="es-ES"/>
        </w:rPr>
        <w:t xml:space="preserve"> para la firma </w:t>
      </w:r>
      <w:r w:rsidR="001D31C7" w:rsidRPr="001D31C7">
        <w:rPr>
          <w:rFonts w:ascii="Roboto" w:hAnsi="Roboto" w:cs="Arial"/>
          <w:sz w:val="22"/>
          <w:szCs w:val="22"/>
          <w:lang w:val="es-ES"/>
        </w:rPr>
        <w:t>de este</w:t>
      </w:r>
      <w:r w:rsidRPr="001D31C7">
        <w:rPr>
          <w:rFonts w:ascii="Roboto" w:hAnsi="Roboto" w:cs="Arial"/>
          <w:sz w:val="22"/>
          <w:szCs w:val="22"/>
          <w:lang w:val="es-ES"/>
        </w:rPr>
        <w:t xml:space="preserve"> convenio, de acuerdo con </w:t>
      </w:r>
      <w:r w:rsidR="001D31C7" w:rsidRPr="001D31C7">
        <w:rPr>
          <w:rFonts w:ascii="Roboto" w:hAnsi="Roboto" w:cs="Arial"/>
          <w:sz w:val="22"/>
          <w:szCs w:val="22"/>
          <w:lang w:val="es-ES"/>
        </w:rPr>
        <w:t>lo</w:t>
      </w:r>
      <w:r w:rsidRPr="001D31C7">
        <w:rPr>
          <w:rFonts w:ascii="Roboto" w:hAnsi="Roboto" w:cs="Arial"/>
          <w:sz w:val="22"/>
          <w:szCs w:val="22"/>
          <w:lang w:val="es-ES"/>
        </w:rPr>
        <w:t xml:space="preserve"> que establece el artículo 6 del Decreto 176/2014, de 10 de octubre, del Consell, por el </w:t>
      </w:r>
      <w:r w:rsidR="001D31C7" w:rsidRPr="001D31C7">
        <w:rPr>
          <w:rFonts w:ascii="Roboto" w:hAnsi="Roboto" w:cs="Arial"/>
          <w:sz w:val="22"/>
          <w:szCs w:val="22"/>
          <w:lang w:val="es-ES"/>
        </w:rPr>
        <w:t>que</w:t>
      </w:r>
      <w:r w:rsidRPr="001D31C7">
        <w:rPr>
          <w:rFonts w:ascii="Roboto" w:hAnsi="Roboto" w:cs="Arial"/>
          <w:sz w:val="22"/>
          <w:szCs w:val="22"/>
          <w:lang w:val="es-ES"/>
        </w:rPr>
        <w:t xml:space="preserve"> regula los convenios que suscriba la Generalitat y su registro, por el acuerdo del Consell de </w:t>
      </w:r>
      <w:r w:rsidR="00894892" w:rsidRPr="001D31C7">
        <w:rPr>
          <w:rFonts w:ascii="Roboto" w:hAnsi="Roboto" w:cs="Arial"/>
          <w:sz w:val="22"/>
          <w:szCs w:val="22"/>
          <w:lang w:val="es-ES"/>
        </w:rPr>
        <w:t>7</w:t>
      </w:r>
      <w:r w:rsidRPr="001D31C7">
        <w:rPr>
          <w:rFonts w:ascii="Roboto" w:hAnsi="Roboto" w:cs="Arial"/>
          <w:sz w:val="22"/>
          <w:szCs w:val="22"/>
          <w:lang w:val="es-ES"/>
        </w:rPr>
        <w:t xml:space="preserve"> de</w:t>
      </w:r>
      <w:r w:rsidR="00894892" w:rsidRPr="001D31C7">
        <w:rPr>
          <w:rFonts w:ascii="Roboto" w:hAnsi="Roboto" w:cs="Arial"/>
          <w:sz w:val="22"/>
          <w:szCs w:val="22"/>
          <w:lang w:val="es-ES"/>
        </w:rPr>
        <w:t xml:space="preserve"> mayo</w:t>
      </w:r>
      <w:r w:rsidRPr="001D31C7">
        <w:rPr>
          <w:rFonts w:ascii="Roboto" w:hAnsi="Roboto" w:cs="Arial"/>
          <w:sz w:val="22"/>
          <w:szCs w:val="22"/>
          <w:lang w:val="es-ES"/>
        </w:rPr>
        <w:t xml:space="preserve"> de 2024.</w:t>
      </w:r>
    </w:p>
    <w:p w14:paraId="30507C9E" w14:textId="6C9A0041"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Y por la otra parte, la Universidad de Alicante (de ahora en adelante, UA), con CIF Q0332001G, representada por la rectora de esta, Amparo Navarro </w:t>
      </w:r>
      <w:proofErr w:type="spellStart"/>
      <w:r w:rsidRPr="001D31C7">
        <w:rPr>
          <w:rFonts w:ascii="Roboto" w:hAnsi="Roboto" w:cs="Arial"/>
          <w:sz w:val="22"/>
          <w:szCs w:val="22"/>
          <w:lang w:val="es-ES"/>
        </w:rPr>
        <w:t>Faure</w:t>
      </w:r>
      <w:proofErr w:type="spellEnd"/>
      <w:r w:rsidRPr="001D31C7">
        <w:rPr>
          <w:rFonts w:ascii="Roboto" w:hAnsi="Roboto" w:cs="Arial"/>
          <w:sz w:val="22"/>
          <w:szCs w:val="22"/>
          <w:lang w:val="es-ES"/>
        </w:rPr>
        <w:t xml:space="preserve">, en ejercicio de las competencias que a tal efecto le reconocen la Ley Orgánica 6/2001, de 21 de diciembre, de universidades; los estatutos de esta universidad aprobados por el Decreto 25/2012, de 3 de febrero, del Consell de la Generalitat (DOGV </w:t>
      </w:r>
      <w:r w:rsidR="001D31C7">
        <w:rPr>
          <w:rFonts w:ascii="Roboto" w:hAnsi="Roboto" w:cs="Arial"/>
          <w:sz w:val="22"/>
          <w:szCs w:val="22"/>
          <w:lang w:val="es-ES"/>
        </w:rPr>
        <w:t xml:space="preserve">núm. </w:t>
      </w:r>
      <w:r w:rsidRPr="001D31C7">
        <w:rPr>
          <w:rFonts w:ascii="Roboto" w:hAnsi="Roboto" w:cs="Arial"/>
          <w:sz w:val="22"/>
          <w:szCs w:val="22"/>
          <w:lang w:val="es-ES"/>
        </w:rPr>
        <w:t>6710, de 09.02.2012), y el Decreto 210/2020, de 18 de diciembre, del Consejo, relativo a su nombramiento (DOGV n</w:t>
      </w:r>
      <w:r w:rsidR="001D31C7">
        <w:rPr>
          <w:rFonts w:ascii="Roboto" w:hAnsi="Roboto" w:cs="Arial"/>
          <w:sz w:val="22"/>
          <w:szCs w:val="22"/>
          <w:lang w:val="es-ES"/>
        </w:rPr>
        <w:t>úm.</w:t>
      </w:r>
      <w:r w:rsidRPr="001D31C7">
        <w:rPr>
          <w:rFonts w:ascii="Roboto" w:hAnsi="Roboto" w:cs="Arial"/>
          <w:sz w:val="22"/>
          <w:szCs w:val="22"/>
          <w:lang w:val="es-ES"/>
        </w:rPr>
        <w:t xml:space="preserve"> 8979, de 21.12.2020).</w:t>
      </w:r>
    </w:p>
    <w:p w14:paraId="1AC98D3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Las partes, en la representación que tienen y con las facultades que sus respectivos cargos los confieren, se reconocen capacidad legal suficiente para el otorgamiento de este convenio, y a tal efecto,</w:t>
      </w:r>
    </w:p>
    <w:p w14:paraId="413C672E" w14:textId="77777777" w:rsidR="00EE377A" w:rsidRPr="001D31C7" w:rsidRDefault="00EE377A" w:rsidP="00796AE8">
      <w:pPr>
        <w:pStyle w:val="Standard"/>
        <w:spacing w:after="100" w:afterAutospacing="1" w:line="276" w:lineRule="auto"/>
        <w:jc w:val="center"/>
        <w:rPr>
          <w:rFonts w:ascii="Roboto" w:hAnsi="Roboto" w:cs="Arial"/>
          <w:b/>
          <w:bCs/>
          <w:sz w:val="22"/>
          <w:szCs w:val="22"/>
          <w:lang w:val="es-ES"/>
        </w:rPr>
      </w:pPr>
      <w:r w:rsidRPr="001D31C7">
        <w:rPr>
          <w:rFonts w:ascii="Roboto" w:hAnsi="Roboto" w:cs="Arial"/>
          <w:b/>
          <w:bCs/>
          <w:sz w:val="22"/>
          <w:szCs w:val="22"/>
          <w:lang w:val="es-ES"/>
        </w:rPr>
        <w:t>EXPONEN</w:t>
      </w:r>
    </w:p>
    <w:p w14:paraId="454F1984" w14:textId="6BDBCA2F"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I. El Estatuto de Autonomía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prevé en el artículo 9.4 que todos los valencianos tienen derecho a participar de manera individual, o colectiva, en la vida política, económica, cultural y social de la </w:t>
      </w:r>
      <w:r w:rsidR="001D31C7">
        <w:rPr>
          <w:rFonts w:ascii="Roboto" w:hAnsi="Roboto" w:cs="Arial"/>
          <w:sz w:val="22"/>
          <w:szCs w:val="22"/>
          <w:lang w:val="es-ES"/>
        </w:rPr>
        <w:t>Comunitat Valenciana</w:t>
      </w:r>
      <w:r w:rsidRPr="001D31C7">
        <w:rPr>
          <w:rFonts w:ascii="Roboto" w:hAnsi="Roboto" w:cs="Arial"/>
          <w:sz w:val="22"/>
          <w:szCs w:val="22"/>
          <w:lang w:val="es-ES"/>
        </w:rPr>
        <w:t>. La Generalitat promoverá la participación de los agentes sociales y del conjunto de la sociedad civil en los asuntos públicos.</w:t>
      </w:r>
    </w:p>
    <w:p w14:paraId="0692B393" w14:textId="1C669381"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II. En el marco de la legislación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la Ley 4/2023, de 13 de abril, de participación ciudadana y fomento del asociacionismo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(DOGV n</w:t>
      </w:r>
      <w:r w:rsidR="001D31C7">
        <w:rPr>
          <w:rFonts w:ascii="Roboto" w:hAnsi="Roboto" w:cs="Arial"/>
          <w:sz w:val="22"/>
          <w:szCs w:val="22"/>
          <w:lang w:val="es-ES"/>
        </w:rPr>
        <w:t xml:space="preserve">úm. </w:t>
      </w:r>
      <w:r w:rsidRPr="001D31C7">
        <w:rPr>
          <w:rFonts w:ascii="Roboto" w:hAnsi="Roboto" w:cs="Arial"/>
          <w:sz w:val="22"/>
          <w:szCs w:val="22"/>
          <w:lang w:val="es-ES"/>
        </w:rPr>
        <w:t xml:space="preserve">9579, de 20.04.2023), tiene entre sus objetivos promover y fomentar la participación ciudadana en los asuntos públicos de forma individual o colectiva, y regula en los capítulos </w:t>
      </w:r>
      <w:r w:rsidR="001D31C7">
        <w:rPr>
          <w:rFonts w:ascii="Roboto" w:hAnsi="Roboto" w:cs="Arial"/>
          <w:sz w:val="22"/>
          <w:szCs w:val="22"/>
          <w:lang w:val="es-ES"/>
        </w:rPr>
        <w:t>I y III</w:t>
      </w:r>
      <w:r w:rsidRPr="001D31C7">
        <w:rPr>
          <w:rFonts w:ascii="Roboto" w:hAnsi="Roboto" w:cs="Arial"/>
          <w:sz w:val="22"/>
          <w:szCs w:val="22"/>
          <w:lang w:val="es-ES"/>
        </w:rPr>
        <w:t xml:space="preserve"> del título II las medidas de promoción de la participación y las relaciones de la Generalitat con la ciudadanía y con las entidades de la sociedad civil de la </w:t>
      </w:r>
      <w:r w:rsidR="001D31C7">
        <w:rPr>
          <w:rFonts w:ascii="Roboto" w:hAnsi="Roboto" w:cs="Arial"/>
          <w:sz w:val="22"/>
          <w:szCs w:val="22"/>
          <w:lang w:val="es-ES"/>
        </w:rPr>
        <w:t>Comunitat Valenciana</w:t>
      </w:r>
      <w:r w:rsidRPr="001D31C7">
        <w:rPr>
          <w:rFonts w:ascii="Roboto" w:hAnsi="Roboto" w:cs="Arial"/>
          <w:sz w:val="22"/>
          <w:szCs w:val="22"/>
          <w:lang w:val="es-ES"/>
        </w:rPr>
        <w:t>. En este contexto la Generalitat ha iniciado una verdadera política de fomento de la participación ciudadana en los asuntos públicos que tiene que constituir uno de los pilares básicos sobre los cuales se desarrollan y toman forma la democracia avanzada y el autogobierno.</w:t>
      </w:r>
    </w:p>
    <w:p w14:paraId="44FFC0FB" w14:textId="26DD023A"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III. El Decreto 10/2023, de 19 de julio, del </w:t>
      </w:r>
      <w:r w:rsidRPr="001D31C7">
        <w:rPr>
          <w:rFonts w:ascii="Roboto" w:hAnsi="Roboto" w:cs="Arial"/>
          <w:i/>
          <w:iCs/>
          <w:sz w:val="22"/>
          <w:szCs w:val="22"/>
          <w:lang w:val="ca-ES-valencia"/>
        </w:rPr>
        <w:t>president</w:t>
      </w:r>
      <w:r w:rsidRPr="001D31C7">
        <w:rPr>
          <w:rFonts w:ascii="Roboto" w:hAnsi="Roboto" w:cs="Arial"/>
          <w:sz w:val="22"/>
          <w:szCs w:val="22"/>
          <w:lang w:val="es-ES"/>
        </w:rPr>
        <w:t xml:space="preserve"> de la Generalitat, por el cual se determinan el número y la denominación de las </w:t>
      </w:r>
      <w:r w:rsidR="001D31C7" w:rsidRPr="001D31C7">
        <w:rPr>
          <w:rFonts w:ascii="Roboto" w:hAnsi="Roboto" w:cs="Arial"/>
          <w:sz w:val="22"/>
          <w:szCs w:val="22"/>
          <w:lang w:val="es-ES"/>
        </w:rPr>
        <w:t>consellerias</w:t>
      </w:r>
      <w:r w:rsidRPr="001D31C7">
        <w:rPr>
          <w:rFonts w:ascii="Roboto" w:hAnsi="Roboto" w:cs="Arial"/>
          <w:sz w:val="22"/>
          <w:szCs w:val="22"/>
          <w:lang w:val="es-ES"/>
        </w:rPr>
        <w:t>, y sus atribuciones, asigna a la Presidencia de la Generalitat, entre otras, las competencias en materia de participación y transparencia, y el artículo 4 del Decreto 131/2023, de 10 de agosto, por el cual se aprueba el Reglamento orgánico y funcional de la Presidencia de la Generalitat, atribuye a la Dirección General de Transparencia y Participación el ejercicio, entre otros, de las funciones de coordinación de las políticas del Consell en materia de participación ciudadana.</w:t>
      </w:r>
    </w:p>
    <w:p w14:paraId="229B27F7" w14:textId="3CE3DCB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 xml:space="preserve">IV. La línea nominativa de subvenciones S0785, “Fomento de las actividades de las universidades públicas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en materia de participación ciudadana”, está prevista en la Ley 8/2023, de 27 de diciembre, de presupuestos de la Generalitat para el ejercicio 2024, de la cual la UA es una de las beneficiarias, y </w:t>
      </w:r>
      <w:r w:rsidR="001D31C7" w:rsidRPr="001D31C7">
        <w:rPr>
          <w:rFonts w:ascii="Roboto" w:hAnsi="Roboto" w:cs="Arial"/>
          <w:sz w:val="22"/>
          <w:szCs w:val="22"/>
          <w:lang w:val="es-ES"/>
        </w:rPr>
        <w:t>está</w:t>
      </w:r>
      <w:r w:rsidRPr="001D31C7">
        <w:rPr>
          <w:rFonts w:ascii="Roboto" w:hAnsi="Roboto" w:cs="Arial"/>
          <w:sz w:val="22"/>
          <w:szCs w:val="22"/>
          <w:lang w:val="es-ES"/>
        </w:rPr>
        <w:t xml:space="preserve"> incluida en el Plan </w:t>
      </w:r>
      <w:r w:rsidR="001D31C7">
        <w:rPr>
          <w:rFonts w:ascii="Roboto" w:hAnsi="Roboto" w:cs="Arial"/>
          <w:sz w:val="22"/>
          <w:szCs w:val="22"/>
          <w:lang w:val="es-ES"/>
        </w:rPr>
        <w:t>E</w:t>
      </w:r>
      <w:r w:rsidRPr="001D31C7">
        <w:rPr>
          <w:rFonts w:ascii="Roboto" w:hAnsi="Roboto" w:cs="Arial"/>
          <w:sz w:val="22"/>
          <w:szCs w:val="22"/>
          <w:lang w:val="es-ES"/>
        </w:rPr>
        <w:t xml:space="preserve">stratégico de </w:t>
      </w:r>
      <w:r w:rsidR="001D31C7">
        <w:rPr>
          <w:rFonts w:ascii="Roboto" w:hAnsi="Roboto" w:cs="Arial"/>
          <w:sz w:val="22"/>
          <w:szCs w:val="22"/>
          <w:lang w:val="es-ES"/>
        </w:rPr>
        <w:t>S</w:t>
      </w:r>
      <w:r w:rsidRPr="001D31C7">
        <w:rPr>
          <w:rFonts w:ascii="Roboto" w:hAnsi="Roboto" w:cs="Arial"/>
          <w:sz w:val="22"/>
          <w:szCs w:val="22"/>
          <w:lang w:val="es-ES"/>
        </w:rPr>
        <w:t>ubvenciones de la Presidencia de la Generalitat y sus organismos públicos, para el periodo 2024-2026. De este modo, esta línea de subvención está dentro de los objetivos estratégicos de este plan, que pretende convertir la Generalitat en referente para la ciudadanía y para otras administraciones, en materia de participación ciudadana.</w:t>
      </w:r>
    </w:p>
    <w:p w14:paraId="3558ECD9"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V. Es necesario instrumentar la mencionada subvención nominativa mediante un convenio, según lo previsto en el artículo 168.1.A de la Ley 1/2015, de 6 de febrero, de la Generalitat, de hacienda pública, del sector público instrumental y de subvenciones (de ahora en adelante, LHPG) y, en los mismos términos, el artículo 22.2.a de la Ley 38/2003, de 17 de noviembre, general de subvenciones (de ahora en adelante, LGS).</w:t>
      </w:r>
    </w:p>
    <w:p w14:paraId="2F830A90" w14:textId="5E14411C"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Así mismo, hay que ajustarse a</w:t>
      </w:r>
      <w:r w:rsidR="001D31C7">
        <w:rPr>
          <w:rFonts w:ascii="Roboto" w:hAnsi="Roboto" w:cs="Arial"/>
          <w:sz w:val="22"/>
          <w:szCs w:val="22"/>
          <w:lang w:val="es-ES"/>
        </w:rPr>
        <w:t xml:space="preserve"> </w:t>
      </w:r>
      <w:r w:rsidRPr="001D31C7">
        <w:rPr>
          <w:rFonts w:ascii="Roboto" w:hAnsi="Roboto" w:cs="Arial"/>
          <w:sz w:val="22"/>
          <w:szCs w:val="22"/>
          <w:lang w:val="es-ES"/>
        </w:rPr>
        <w:t>l</w:t>
      </w:r>
      <w:r w:rsidR="001D31C7">
        <w:rPr>
          <w:rFonts w:ascii="Roboto" w:hAnsi="Roboto" w:cs="Arial"/>
          <w:sz w:val="22"/>
          <w:szCs w:val="22"/>
          <w:lang w:val="es-ES"/>
        </w:rPr>
        <w:t>o</w:t>
      </w:r>
      <w:r w:rsidRPr="001D31C7">
        <w:rPr>
          <w:rFonts w:ascii="Roboto" w:hAnsi="Roboto" w:cs="Arial"/>
          <w:sz w:val="22"/>
          <w:szCs w:val="22"/>
          <w:lang w:val="es-ES"/>
        </w:rPr>
        <w:t xml:space="preserve"> que se establece en el artículo 160.1.b de </w:t>
      </w:r>
      <w:r w:rsidR="00DF1B17" w:rsidRPr="001D31C7">
        <w:rPr>
          <w:rFonts w:ascii="Roboto" w:hAnsi="Roboto" w:cs="Arial"/>
          <w:sz w:val="22"/>
          <w:szCs w:val="22"/>
          <w:lang w:val="es-ES"/>
        </w:rPr>
        <w:t>la LHPG</w:t>
      </w:r>
      <w:r w:rsidRPr="001D31C7">
        <w:rPr>
          <w:rFonts w:ascii="Roboto" w:hAnsi="Roboto" w:cs="Arial"/>
          <w:sz w:val="22"/>
          <w:szCs w:val="22"/>
          <w:lang w:val="es-ES"/>
        </w:rPr>
        <w:t xml:space="preserve">, en los artículos 47 y siguientes de la Ley 40/2015, de 1 de octubre, de régimen jurídico del sector público (de ahora en adelante, LRJSP), y en el artículo 12.6.a y b del Decreto 176/2014, de 10 de octubre, del Consell, por el </w:t>
      </w:r>
      <w:r w:rsidR="001D31C7">
        <w:rPr>
          <w:rFonts w:ascii="Roboto" w:hAnsi="Roboto" w:cs="Arial"/>
          <w:sz w:val="22"/>
          <w:szCs w:val="22"/>
          <w:lang w:val="es-ES"/>
        </w:rPr>
        <w:t>que</w:t>
      </w:r>
      <w:r w:rsidRPr="001D31C7">
        <w:rPr>
          <w:rFonts w:ascii="Roboto" w:hAnsi="Roboto" w:cs="Arial"/>
          <w:sz w:val="22"/>
          <w:szCs w:val="22"/>
          <w:lang w:val="es-ES"/>
        </w:rPr>
        <w:t xml:space="preserve"> regula los convenios que suscriba la Generalitat y su registro (de ahora en adelante, Decreto 176/2014).</w:t>
      </w:r>
    </w:p>
    <w:p w14:paraId="513905F6" w14:textId="4A12AD2B"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VI. La Presidencia de la Generalitat tiene interés a suscribir este convenio de colaboración para fomentar actividades de formación, divulgación e investigación en materia de participación ciudadana.</w:t>
      </w:r>
    </w:p>
    <w:p w14:paraId="13A68B6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VII. La UA es una entidad de derecho público que ejerce actividades de formación, investigación y transferencia de conocimientos, interesada a colaborar con los sectores socioeconómicos públicos y privados con el fin de asegurar uno de los fines de la formación y la investigación, que es la innovación y la modernización del entorno socioeconómico.</w:t>
      </w:r>
    </w:p>
    <w:p w14:paraId="773FC55D"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VIII. La Ley 14/2011, de 1 de junio, de la ciencia, la tecnología y la innovación, constituye un marco de referencia para promover la colaboración de los organismos públicos de investigación, las administraciones públicas y las empresas, con el fin de dar una respuesta eficaz a las exigencias del desarrollo económico y social.</w:t>
      </w:r>
    </w:p>
    <w:p w14:paraId="648368C9"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IX. El artículo 11 de la Ley Orgánica 2/2023, de 22 de marzo, del Sistema Universitario, indica que la investigación es una de las funciones fundamentales de las universidades, las cuales impulsarán estructuras de investigación y de transferencia e intercambio del conocimiento e innovación que facilitan la interdisciplinariedad y multidisciplinariedad; así mismo, promocionarán las relaciones entre la investigación universitaria, las necesidades sociales y culturales y su articulación con el sistema productivo, atendiendo especialmente la estructura social y económica del territorio en que están implantadas.</w:t>
      </w:r>
    </w:p>
    <w:p w14:paraId="2057C55B" w14:textId="12648FC2"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X. </w:t>
      </w:r>
      <w:r w:rsidR="001D31C7" w:rsidRPr="001D31C7">
        <w:rPr>
          <w:rFonts w:ascii="Roboto" w:hAnsi="Roboto" w:cs="Arial"/>
          <w:sz w:val="22"/>
          <w:szCs w:val="22"/>
          <w:lang w:val="es-ES"/>
        </w:rPr>
        <w:t>Ambas entidades</w:t>
      </w:r>
      <w:r w:rsidRPr="001D31C7">
        <w:rPr>
          <w:rFonts w:ascii="Roboto" w:hAnsi="Roboto" w:cs="Arial"/>
          <w:sz w:val="22"/>
          <w:szCs w:val="22"/>
          <w:lang w:val="es-ES"/>
        </w:rPr>
        <w:t xml:space="preserve"> manifiestan interés común y la voluntad social de potenciar este convenio desarrollando los proyectos del programa establecido.</w:t>
      </w:r>
    </w:p>
    <w:p w14:paraId="623B01D5" w14:textId="31CBB3FF" w:rsidR="00EE377A" w:rsidRPr="001D31C7" w:rsidRDefault="00EE377A" w:rsidP="00796AE8">
      <w:pPr>
        <w:pStyle w:val="Standard"/>
        <w:spacing w:after="100" w:afterAutospacing="1" w:line="276" w:lineRule="auto"/>
        <w:jc w:val="both"/>
        <w:rPr>
          <w:rFonts w:ascii="Roboto" w:hAnsi="Roboto" w:cs="Arial"/>
          <w:sz w:val="22"/>
          <w:szCs w:val="22"/>
          <w:lang w:val="es-ES"/>
        </w:rPr>
      </w:pPr>
      <w:r w:rsidRPr="001D31C7">
        <w:rPr>
          <w:rFonts w:ascii="Roboto" w:hAnsi="Roboto" w:cs="Arial"/>
          <w:sz w:val="22"/>
          <w:szCs w:val="22"/>
          <w:lang w:val="es-ES"/>
        </w:rPr>
        <w:t>Por todo l</w:t>
      </w:r>
      <w:r w:rsidR="00172C17">
        <w:rPr>
          <w:rFonts w:ascii="Roboto" w:hAnsi="Roboto" w:cs="Arial"/>
          <w:sz w:val="22"/>
          <w:szCs w:val="22"/>
          <w:lang w:val="es-ES"/>
        </w:rPr>
        <w:t>o</w:t>
      </w:r>
      <w:r w:rsidRPr="001D31C7">
        <w:rPr>
          <w:rFonts w:ascii="Roboto" w:hAnsi="Roboto" w:cs="Arial"/>
          <w:sz w:val="22"/>
          <w:szCs w:val="22"/>
          <w:lang w:val="es-ES"/>
        </w:rPr>
        <w:t xml:space="preserve"> que se ha expresado anteriormente, las partes firmantes formalizan este convenio de colaboración, con arreglo a las siguientes</w:t>
      </w:r>
    </w:p>
    <w:p w14:paraId="11C6AC11" w14:textId="77777777" w:rsidR="00EE377A" w:rsidRPr="001D31C7" w:rsidRDefault="00EE377A" w:rsidP="00796AE8">
      <w:pPr>
        <w:pStyle w:val="Standard"/>
        <w:spacing w:after="120" w:line="276" w:lineRule="auto"/>
        <w:jc w:val="center"/>
        <w:rPr>
          <w:rFonts w:ascii="Roboto" w:hAnsi="Roboto" w:cs="Arial"/>
          <w:b/>
          <w:bCs/>
          <w:sz w:val="22"/>
          <w:szCs w:val="22"/>
          <w:lang w:val="es-ES"/>
        </w:rPr>
      </w:pPr>
      <w:r w:rsidRPr="001D31C7">
        <w:rPr>
          <w:rFonts w:ascii="Roboto" w:hAnsi="Roboto" w:cs="Arial"/>
          <w:b/>
          <w:bCs/>
          <w:sz w:val="22"/>
          <w:szCs w:val="22"/>
          <w:lang w:val="es-ES"/>
        </w:rPr>
        <w:t>CLÁUSULAS</w:t>
      </w:r>
    </w:p>
    <w:p w14:paraId="0DC3C073"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lastRenderedPageBreak/>
        <w:t>PRIMERA. Objeto</w:t>
      </w:r>
    </w:p>
    <w:p w14:paraId="29BABF11" w14:textId="502C313B"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Es objeto del presente convenio determinar la colaboración entre la Presidencia de la Generalitat y la UA en la realización de actividades relacionadas con el fomento de las actividades de las universidades públicas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en materia de participación ciudadana, durante el ejercicio 2024, de acuerdo con los objetivos manifestados en la parte expositiva de este convenio. En concreto, la colaboración se focalizará en la investigación y la promoción de la participación ciudadana en las entidades locales y en las entidades asociativas de la Comunidad.</w:t>
      </w:r>
    </w:p>
    <w:p w14:paraId="7C40A6FE"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SEGUNDA. Actividades que se realizarán</w:t>
      </w:r>
    </w:p>
    <w:p w14:paraId="57536AD6"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Línea 1. Análisis de potencialidades y debilidades en la figura de presupuestos participativos municipales en ayuntamientos de 2.500 a 20.000 habitantes</w:t>
      </w:r>
    </w:p>
    <w:p w14:paraId="36368AA8" w14:textId="4DD02193" w:rsidR="00EE377A" w:rsidRPr="001D31C7" w:rsidRDefault="00EE377A" w:rsidP="00796AE8">
      <w:pPr>
        <w:pStyle w:val="Standard"/>
        <w:numPr>
          <w:ilvl w:val="0"/>
          <w:numId w:val="2"/>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Análisis de contenido de páginas web de estos ayuntamientos, para determinar el alcance de los presupuestos participativos en la </w:t>
      </w:r>
      <w:r w:rsidR="001D31C7">
        <w:rPr>
          <w:rFonts w:ascii="Roboto" w:hAnsi="Roboto" w:cs="Arial"/>
          <w:sz w:val="22"/>
          <w:szCs w:val="22"/>
          <w:lang w:val="es-ES"/>
        </w:rPr>
        <w:t>Comunitat Valenciana</w:t>
      </w:r>
      <w:r w:rsidRPr="001D31C7">
        <w:rPr>
          <w:rFonts w:ascii="Roboto" w:hAnsi="Roboto" w:cs="Arial"/>
          <w:sz w:val="22"/>
          <w:szCs w:val="22"/>
          <w:lang w:val="es-ES"/>
        </w:rPr>
        <w:t>.</w:t>
      </w:r>
    </w:p>
    <w:p w14:paraId="65720C9F" w14:textId="77777777" w:rsidR="00EE377A" w:rsidRPr="001D31C7" w:rsidRDefault="00EE377A" w:rsidP="00796AE8">
      <w:pPr>
        <w:pStyle w:val="Standard"/>
        <w:numPr>
          <w:ilvl w:val="0"/>
          <w:numId w:val="2"/>
        </w:numPr>
        <w:spacing w:after="120" w:line="276" w:lineRule="auto"/>
        <w:jc w:val="both"/>
        <w:rPr>
          <w:rFonts w:ascii="Roboto" w:hAnsi="Roboto" w:cs="Arial"/>
          <w:sz w:val="22"/>
          <w:szCs w:val="22"/>
          <w:lang w:val="es-ES"/>
        </w:rPr>
      </w:pPr>
      <w:r w:rsidRPr="001D31C7">
        <w:rPr>
          <w:rFonts w:ascii="Roboto" w:hAnsi="Roboto" w:cs="Arial"/>
          <w:sz w:val="22"/>
          <w:szCs w:val="22"/>
          <w:lang w:val="es-ES"/>
        </w:rPr>
        <w:t>Valoración de los factores que determinan el éxito de unos presupuestos participativos en estas localidades.</w:t>
      </w:r>
    </w:p>
    <w:p w14:paraId="635B1570" w14:textId="77777777" w:rsidR="00EE377A" w:rsidRPr="001D31C7" w:rsidRDefault="00EE377A" w:rsidP="00796AE8">
      <w:pPr>
        <w:pStyle w:val="Standard"/>
        <w:numPr>
          <w:ilvl w:val="0"/>
          <w:numId w:val="2"/>
        </w:numPr>
        <w:spacing w:after="120" w:line="276" w:lineRule="auto"/>
        <w:jc w:val="both"/>
        <w:rPr>
          <w:rFonts w:ascii="Roboto" w:hAnsi="Roboto" w:cs="Arial"/>
          <w:sz w:val="22"/>
          <w:szCs w:val="22"/>
          <w:lang w:val="es-ES"/>
        </w:rPr>
      </w:pPr>
      <w:r w:rsidRPr="001D31C7">
        <w:rPr>
          <w:rFonts w:ascii="Roboto" w:hAnsi="Roboto" w:cs="Arial"/>
          <w:sz w:val="22"/>
          <w:szCs w:val="22"/>
          <w:lang w:val="es-ES"/>
        </w:rPr>
        <w:t>Diseñar indicadores sistematizados que identifican procesos que fortalecen o debilitan el desarrollo de los presupuestos participativos en localidades con menos de 20.000 habitantes.</w:t>
      </w:r>
    </w:p>
    <w:p w14:paraId="3852562F" w14:textId="77777777" w:rsidR="00EE377A" w:rsidRPr="001D31C7" w:rsidRDefault="00EE377A" w:rsidP="00796AE8">
      <w:pPr>
        <w:pStyle w:val="Standard"/>
        <w:numPr>
          <w:ilvl w:val="0"/>
          <w:numId w:val="2"/>
        </w:numPr>
        <w:spacing w:after="120" w:line="276" w:lineRule="auto"/>
        <w:jc w:val="both"/>
        <w:rPr>
          <w:rFonts w:ascii="Roboto" w:hAnsi="Roboto" w:cs="Arial"/>
          <w:sz w:val="22"/>
          <w:szCs w:val="22"/>
          <w:lang w:val="es-ES"/>
        </w:rPr>
      </w:pPr>
      <w:r w:rsidRPr="001D31C7">
        <w:rPr>
          <w:rFonts w:ascii="Roboto" w:hAnsi="Roboto" w:cs="Arial"/>
          <w:sz w:val="22"/>
          <w:szCs w:val="22"/>
          <w:lang w:val="es-ES"/>
        </w:rPr>
        <w:t>Coordinar acciones de devolución de los resultados a través de actas dirigidos a todos los agentes implicados en el proceso de investigación.</w:t>
      </w:r>
    </w:p>
    <w:p w14:paraId="49C12383"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Línea 2. Exploración de los factores que influyen en la participación activa del tejido asociativo en las figuras de innovación participativa de los presupuestos participativos y los laboratorios ciudadanos o de participación</w:t>
      </w:r>
    </w:p>
    <w:p w14:paraId="117C3BA6" w14:textId="77777777" w:rsidR="00EE377A" w:rsidRPr="001D31C7" w:rsidRDefault="00EE377A" w:rsidP="00796AE8">
      <w:pPr>
        <w:pStyle w:val="Standard"/>
        <w:numPr>
          <w:ilvl w:val="0"/>
          <w:numId w:val="3"/>
        </w:numPr>
        <w:spacing w:after="120" w:line="276" w:lineRule="auto"/>
        <w:jc w:val="both"/>
        <w:rPr>
          <w:rFonts w:ascii="Roboto" w:hAnsi="Roboto" w:cs="Arial"/>
          <w:sz w:val="22"/>
          <w:szCs w:val="22"/>
          <w:lang w:val="es-ES"/>
        </w:rPr>
      </w:pPr>
      <w:r w:rsidRPr="001D31C7">
        <w:rPr>
          <w:rFonts w:ascii="Roboto" w:hAnsi="Roboto" w:cs="Arial"/>
          <w:sz w:val="22"/>
          <w:szCs w:val="22"/>
          <w:lang w:val="es-ES"/>
        </w:rPr>
        <w:t>Análisis de literatura académica y revisión de fuentes primarias y secundarias sobre el papel del asociacionismo en el desarrollo de los presupuestos participativos.</w:t>
      </w:r>
    </w:p>
    <w:p w14:paraId="660907B9" w14:textId="77777777" w:rsidR="00EE377A" w:rsidRPr="001D31C7" w:rsidRDefault="00EE377A" w:rsidP="00796AE8">
      <w:pPr>
        <w:pStyle w:val="Standard"/>
        <w:numPr>
          <w:ilvl w:val="0"/>
          <w:numId w:val="3"/>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Análisis de resultados sobre el papel de las asociaciones en la constitución y el desarrollo de los </w:t>
      </w:r>
      <w:r w:rsidR="00E8707E" w:rsidRPr="001D31C7">
        <w:rPr>
          <w:rFonts w:ascii="Roboto" w:hAnsi="Roboto" w:cs="Arial"/>
          <w:sz w:val="22"/>
          <w:szCs w:val="22"/>
          <w:lang w:val="es-ES"/>
        </w:rPr>
        <w:t>laboratorios de innovación participativa</w:t>
      </w:r>
      <w:r w:rsidRPr="001D31C7">
        <w:rPr>
          <w:rFonts w:ascii="Roboto" w:hAnsi="Roboto" w:cs="Arial"/>
          <w:sz w:val="22"/>
          <w:szCs w:val="22"/>
          <w:lang w:val="es-ES"/>
        </w:rPr>
        <w:t>.</w:t>
      </w:r>
    </w:p>
    <w:p w14:paraId="037A3BCC"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Línea 3. Revisión y sistematización de experiencias de laboratorios regionales de innovación participativa </w:t>
      </w:r>
    </w:p>
    <w:p w14:paraId="0354B0B1" w14:textId="77777777" w:rsidR="00EE377A" w:rsidRPr="001D31C7" w:rsidRDefault="00EE377A" w:rsidP="00796AE8">
      <w:pPr>
        <w:pStyle w:val="Standard"/>
        <w:numPr>
          <w:ilvl w:val="0"/>
          <w:numId w:val="4"/>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Identificar experiencias de </w:t>
      </w:r>
      <w:r w:rsidR="00E8707E" w:rsidRPr="001D31C7">
        <w:rPr>
          <w:rFonts w:ascii="Roboto" w:hAnsi="Roboto" w:cs="Arial"/>
          <w:sz w:val="22"/>
          <w:szCs w:val="22"/>
          <w:lang w:val="es-ES"/>
        </w:rPr>
        <w:t>laboratorio de innovación democrática y participativa en otras regiones</w:t>
      </w:r>
      <w:r w:rsidRPr="001D31C7">
        <w:rPr>
          <w:rFonts w:ascii="Roboto" w:hAnsi="Roboto" w:cs="Arial"/>
          <w:sz w:val="22"/>
          <w:szCs w:val="22"/>
          <w:lang w:val="es-ES"/>
        </w:rPr>
        <w:t>.</w:t>
      </w:r>
    </w:p>
    <w:p w14:paraId="630B36E3" w14:textId="2D3D9457" w:rsidR="00EE377A" w:rsidRPr="001D31C7" w:rsidRDefault="00EE377A" w:rsidP="00796AE8">
      <w:pPr>
        <w:pStyle w:val="Standard"/>
        <w:numPr>
          <w:ilvl w:val="0"/>
          <w:numId w:val="4"/>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Analizar potenciales y debilidades </w:t>
      </w:r>
      <w:r w:rsidR="00172C17" w:rsidRPr="001D31C7">
        <w:rPr>
          <w:rFonts w:ascii="Roboto" w:hAnsi="Roboto" w:cs="Arial"/>
          <w:sz w:val="22"/>
          <w:szCs w:val="22"/>
          <w:lang w:val="es-ES"/>
        </w:rPr>
        <w:t>de experiencias</w:t>
      </w:r>
      <w:r w:rsidR="00E8707E" w:rsidRPr="001D31C7">
        <w:rPr>
          <w:rFonts w:ascii="Roboto" w:hAnsi="Roboto" w:cs="Arial"/>
          <w:sz w:val="22"/>
          <w:szCs w:val="22"/>
          <w:lang w:val="es-ES"/>
        </w:rPr>
        <w:t xml:space="preserve"> de laboratorio</w:t>
      </w:r>
      <w:r w:rsidRPr="001D31C7">
        <w:rPr>
          <w:rFonts w:ascii="Roboto" w:hAnsi="Roboto" w:cs="Arial"/>
          <w:sz w:val="22"/>
          <w:szCs w:val="22"/>
          <w:lang w:val="es-ES"/>
        </w:rPr>
        <w:t xml:space="preserve"> a través de consultas y entrevistas a coordinadores o gestores de estas iniciativas.</w:t>
      </w:r>
    </w:p>
    <w:p w14:paraId="5BC772F3" w14:textId="77777777" w:rsidR="00AE3D7F" w:rsidRDefault="00AE3D7F" w:rsidP="00796AE8">
      <w:pPr>
        <w:pStyle w:val="Standard"/>
        <w:spacing w:after="120" w:line="276" w:lineRule="auto"/>
        <w:jc w:val="both"/>
        <w:rPr>
          <w:rFonts w:ascii="Roboto" w:hAnsi="Roboto" w:cs="Arial"/>
          <w:b/>
          <w:bCs/>
          <w:sz w:val="22"/>
          <w:szCs w:val="22"/>
          <w:lang w:val="es-ES"/>
        </w:rPr>
      </w:pPr>
    </w:p>
    <w:p w14:paraId="40459256" w14:textId="67AC65BA"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TERCERA. Gastos subvencionables</w:t>
      </w:r>
    </w:p>
    <w:p w14:paraId="480BBEFD"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1. Serán susceptibles de ser financiadas por el presente convenio aquellos gastos directos, de funcionamiento y de personal, que lleve a cabo la entidad, necesarias para la realización del proyecto presentado, que hayan sido realizadas desde el 1 de enero de 2024 hasta el 15 </w:t>
      </w:r>
      <w:r w:rsidRPr="001D31C7">
        <w:rPr>
          <w:rFonts w:ascii="Roboto" w:hAnsi="Roboto" w:cs="Arial"/>
          <w:sz w:val="22"/>
          <w:szCs w:val="22"/>
          <w:lang w:val="es-ES"/>
        </w:rPr>
        <w:lastRenderedPageBreak/>
        <w:t xml:space="preserve">de noviembre de 2024, que respondan de manera indudable a la naturaleza de la actividad subvencionada y resultan estrictamente necesarias para lo cual. </w:t>
      </w:r>
    </w:p>
    <w:p w14:paraId="05AAD046"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En concreto, y en conformidad con lo establecido en el artículo 31 de </w:t>
      </w:r>
      <w:r w:rsidR="00DF1B17" w:rsidRPr="001D31C7">
        <w:rPr>
          <w:rFonts w:ascii="Roboto" w:hAnsi="Roboto" w:cs="Arial"/>
          <w:sz w:val="22"/>
          <w:szCs w:val="22"/>
          <w:lang w:val="es-ES"/>
        </w:rPr>
        <w:t>la LGS</w:t>
      </w:r>
      <w:r w:rsidRPr="001D31C7">
        <w:rPr>
          <w:rFonts w:ascii="Roboto" w:hAnsi="Roboto" w:cs="Arial"/>
          <w:sz w:val="22"/>
          <w:szCs w:val="22"/>
          <w:lang w:val="es-ES"/>
        </w:rPr>
        <w:t>, serán subvencionables los gastos siguientes:</w:t>
      </w:r>
    </w:p>
    <w:p w14:paraId="0504B12D" w14:textId="77777777" w:rsidR="00EE377A" w:rsidRPr="001D31C7" w:rsidRDefault="00EE377A" w:rsidP="00796AE8">
      <w:pPr>
        <w:pStyle w:val="Standard"/>
        <w:numPr>
          <w:ilvl w:val="0"/>
          <w:numId w:val="5"/>
        </w:numPr>
        <w:spacing w:after="120" w:line="276" w:lineRule="auto"/>
        <w:jc w:val="both"/>
        <w:rPr>
          <w:rFonts w:ascii="Roboto" w:hAnsi="Roboto" w:cs="Arial"/>
          <w:sz w:val="22"/>
          <w:szCs w:val="22"/>
          <w:lang w:val="es-ES"/>
        </w:rPr>
      </w:pPr>
      <w:r w:rsidRPr="001D31C7">
        <w:rPr>
          <w:rFonts w:ascii="Roboto" w:hAnsi="Roboto" w:cs="Arial"/>
          <w:sz w:val="22"/>
          <w:szCs w:val="22"/>
          <w:lang w:val="es-ES"/>
        </w:rPr>
        <w:t>Personal: los costes de personal relacionados con personal investigador, técnico y el resto de personal auxiliar de la misma entidad, imputables a la realización del proyecto.</w:t>
      </w:r>
    </w:p>
    <w:p w14:paraId="200DB11D" w14:textId="77777777" w:rsidR="00EE377A" w:rsidRPr="001D31C7" w:rsidRDefault="00EE377A" w:rsidP="00796AE8">
      <w:pPr>
        <w:pStyle w:val="Standard"/>
        <w:numPr>
          <w:ilvl w:val="0"/>
          <w:numId w:val="5"/>
        </w:numPr>
        <w:spacing w:after="120" w:line="276" w:lineRule="auto"/>
        <w:jc w:val="both"/>
        <w:rPr>
          <w:rFonts w:ascii="Roboto" w:hAnsi="Roboto" w:cs="Arial"/>
          <w:sz w:val="22"/>
          <w:szCs w:val="22"/>
          <w:lang w:val="es-ES"/>
        </w:rPr>
      </w:pPr>
      <w:r w:rsidRPr="001D31C7">
        <w:rPr>
          <w:rFonts w:ascii="Roboto" w:hAnsi="Roboto" w:cs="Arial"/>
          <w:sz w:val="22"/>
          <w:szCs w:val="22"/>
          <w:lang w:val="es-ES"/>
        </w:rPr>
        <w:t>Subcontratación: gastos correspondientes a los servicios prestados por entidades o empresas con las cuales subcontratan tareas de las actividades del proyecto. Se podrán subcontratar aquellas actividades que no puedan ser realizadas por medios propios hasta un máximo de un 80% del importe total del presente convenio.</w:t>
      </w:r>
    </w:p>
    <w:p w14:paraId="48506DFE" w14:textId="77777777" w:rsidR="00EE377A" w:rsidRPr="001D31C7" w:rsidRDefault="00EE377A" w:rsidP="00796AE8">
      <w:pPr>
        <w:pStyle w:val="Standard"/>
        <w:numPr>
          <w:ilvl w:val="0"/>
          <w:numId w:val="5"/>
        </w:numPr>
        <w:spacing w:after="120" w:line="276" w:lineRule="auto"/>
        <w:jc w:val="both"/>
        <w:rPr>
          <w:rFonts w:ascii="Roboto" w:hAnsi="Roboto" w:cs="Arial"/>
          <w:sz w:val="22"/>
          <w:szCs w:val="22"/>
          <w:lang w:val="es-ES"/>
        </w:rPr>
      </w:pPr>
      <w:r w:rsidRPr="001D31C7">
        <w:rPr>
          <w:rFonts w:ascii="Roboto" w:hAnsi="Roboto" w:cs="Arial"/>
          <w:sz w:val="22"/>
          <w:szCs w:val="22"/>
          <w:lang w:val="es-ES"/>
        </w:rPr>
        <w:t>Material fungible, necesario para el desarrollo de las actividades, justificando convenientemente su vinculación con el proyecto.</w:t>
      </w:r>
    </w:p>
    <w:p w14:paraId="5098758D" w14:textId="5400F0EA" w:rsidR="00EE377A" w:rsidRPr="001D31C7" w:rsidRDefault="00EE377A" w:rsidP="00796AE8">
      <w:pPr>
        <w:pStyle w:val="Standard"/>
        <w:numPr>
          <w:ilvl w:val="0"/>
          <w:numId w:val="5"/>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Viajes y dietas: gastos de desplazamiento y dietas del personal propio o contratado que participo en el proyecto para el estricto desarrollo de las actividades que se prevén. Para los gastos por dietas y transporte habrá que ajustarse al que se establece en el Decreto 24/1997, de 11 de febrero, del </w:t>
      </w:r>
      <w:r w:rsidR="00AE3D7F" w:rsidRPr="001D31C7">
        <w:rPr>
          <w:rFonts w:ascii="Roboto" w:hAnsi="Roboto" w:cs="Arial"/>
          <w:sz w:val="22"/>
          <w:szCs w:val="22"/>
          <w:lang w:val="es-ES"/>
        </w:rPr>
        <w:t>Gob</w:t>
      </w:r>
      <w:r w:rsidR="00AE3D7F">
        <w:rPr>
          <w:rFonts w:ascii="Roboto" w:hAnsi="Roboto" w:cs="Arial"/>
          <w:sz w:val="22"/>
          <w:szCs w:val="22"/>
          <w:lang w:val="es-ES"/>
        </w:rPr>
        <w:t>i</w:t>
      </w:r>
      <w:r w:rsidR="00AE3D7F" w:rsidRPr="001D31C7">
        <w:rPr>
          <w:rFonts w:ascii="Roboto" w:hAnsi="Roboto" w:cs="Arial"/>
          <w:sz w:val="22"/>
          <w:szCs w:val="22"/>
          <w:lang w:val="es-ES"/>
        </w:rPr>
        <w:t>ern</w:t>
      </w:r>
      <w:r w:rsidR="00AE3D7F">
        <w:rPr>
          <w:rFonts w:ascii="Roboto" w:hAnsi="Roboto" w:cs="Arial"/>
          <w:sz w:val="22"/>
          <w:szCs w:val="22"/>
          <w:lang w:val="es-ES"/>
        </w:rPr>
        <w:t>o</w:t>
      </w:r>
      <w:r w:rsidRPr="001D31C7">
        <w:rPr>
          <w:rFonts w:ascii="Roboto" w:hAnsi="Roboto" w:cs="Arial"/>
          <w:sz w:val="22"/>
          <w:szCs w:val="22"/>
          <w:lang w:val="es-ES"/>
        </w:rPr>
        <w:t xml:space="preserve"> Valenci</w:t>
      </w:r>
      <w:r w:rsidR="00AE3D7F">
        <w:rPr>
          <w:rFonts w:ascii="Roboto" w:hAnsi="Roboto" w:cs="Arial"/>
          <w:sz w:val="22"/>
          <w:szCs w:val="22"/>
          <w:lang w:val="es-ES"/>
        </w:rPr>
        <w:t>ano</w:t>
      </w:r>
      <w:r w:rsidRPr="001D31C7">
        <w:rPr>
          <w:rFonts w:ascii="Roboto" w:hAnsi="Roboto" w:cs="Arial"/>
          <w:sz w:val="22"/>
          <w:szCs w:val="22"/>
          <w:lang w:val="es-ES"/>
        </w:rPr>
        <w:t>, sobre indemnizaciones por razón del servicio y gratificaciones por servicios extraordinarios.</w:t>
      </w:r>
    </w:p>
    <w:p w14:paraId="03E2789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2. Por el contrario, no serán objeto de subvención los gastos de adquisición de bienes inventariables, los gastos producidos con motivo de procedimientos judiciales y los impuestos, excepto las correspondientes al pago de las facturas que ocasiono la actividad subvencionada, de acuerdo con el artículo 31.8 de </w:t>
      </w:r>
      <w:r w:rsidR="00DF1B17" w:rsidRPr="001D31C7">
        <w:rPr>
          <w:rFonts w:ascii="Roboto" w:hAnsi="Roboto" w:cs="Arial"/>
          <w:sz w:val="22"/>
          <w:szCs w:val="22"/>
          <w:lang w:val="es-ES"/>
        </w:rPr>
        <w:t>la LGS</w:t>
      </w:r>
      <w:r w:rsidRPr="001D31C7">
        <w:rPr>
          <w:rFonts w:ascii="Roboto" w:hAnsi="Roboto" w:cs="Arial"/>
          <w:sz w:val="22"/>
          <w:szCs w:val="22"/>
          <w:lang w:val="es-ES"/>
        </w:rPr>
        <w:t>.</w:t>
      </w:r>
    </w:p>
    <w:p w14:paraId="223A096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3. Con carácter previo a la realización del gasto, la comisión de seguimiento a que se refiere la cláusula novena aprobará una memoria económica o un presupuesto en el cual se cuantifican los gastos generales previstos para actividades realizadas al amparo de este convenio.</w:t>
      </w:r>
    </w:p>
    <w:p w14:paraId="2788BE78"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Respecto a los gastos ya realizados durante el ejercicio 2024 con anterioridad a la firma del presente convenio, la comisión de seguimiento las ratificará con el fin de que sean incluidas en la memoria económica o presupuesto de las actividades.</w:t>
      </w:r>
    </w:p>
    <w:p w14:paraId="43FFBE96"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CUARTA. Obligaciones de las partes</w:t>
      </w:r>
    </w:p>
    <w:p w14:paraId="453F54C9"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1. La Generalitat se compromete a abonar el importe de la subvención, según lo dispuesto en la cláusula quinta. La Presidencia de la Generalitat pondrá a disposición del equipo investigador de la UA la información, de la cual dispongo, necesaria para llevar a cabo los trabajos objeto de este convenio.</w:t>
      </w:r>
    </w:p>
    <w:p w14:paraId="29A48A1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2. La UA se compromete al hecho que la actividad que fundamenta la concesión de la subvención esté ejecutada y se haya realizado el pago antes de la finalización del plazo de justificación que se establezca en la cláusula sexta. Así mismo, la UA se compromete al cumplimiento de todas las obligaciones señaladas en el artículo 14 de </w:t>
      </w:r>
      <w:r w:rsidR="00DF1B17" w:rsidRPr="001D31C7">
        <w:rPr>
          <w:rFonts w:ascii="Roboto" w:hAnsi="Roboto" w:cs="Arial"/>
          <w:sz w:val="22"/>
          <w:szCs w:val="22"/>
          <w:lang w:val="es-ES"/>
        </w:rPr>
        <w:t>la LGS</w:t>
      </w:r>
      <w:r w:rsidRPr="001D31C7">
        <w:rPr>
          <w:rFonts w:ascii="Roboto" w:hAnsi="Roboto" w:cs="Arial"/>
          <w:sz w:val="22"/>
          <w:szCs w:val="22"/>
          <w:lang w:val="es-ES"/>
        </w:rPr>
        <w:t>.</w:t>
      </w:r>
    </w:p>
    <w:p w14:paraId="28539EB4"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3. Todas aquellas actividades efectuadas con la financiación de la Presidencia de la Generalitat tendrán que contar con la adecuada publicidad institucional en la cual se haga constar la participación financiera de la Generalitat, a través de la Presidencia. </w:t>
      </w:r>
    </w:p>
    <w:p w14:paraId="2AFC3842"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Todas las actuaciones en materia de publicidad institucional se tendrán que ajustar a las prescripciones que se incluyen sobre la materia en la Ley 12/2018, de 24 de mayo, de la Generalitat, de publicidad institucional para el interés ciudadano y la concepción colectiva de las infraestructuras públicas.</w:t>
      </w:r>
    </w:p>
    <w:p w14:paraId="2906FFCA"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QUINTA. Importe y pago de la subvención</w:t>
      </w:r>
    </w:p>
    <w:p w14:paraId="0C8FAA9F" w14:textId="0298B19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1. La financiación de las actividades subvencionables asciende a un importe total máximo de 30.000€ (treinta mil euros). El mencionado importe será financiado a cargo del capítulo IV de la aplicación presupuestaria 0105.02.02.112H00, de la línea nominativa de subvenciones S0785, “Fomento de las actividades de las universidades públicas de la </w:t>
      </w:r>
      <w:r w:rsidR="001D31C7">
        <w:rPr>
          <w:rFonts w:ascii="Roboto" w:hAnsi="Roboto" w:cs="Arial"/>
          <w:sz w:val="22"/>
          <w:szCs w:val="22"/>
          <w:lang w:val="es-ES"/>
        </w:rPr>
        <w:t>Comunitat Valenciana</w:t>
      </w:r>
      <w:r w:rsidRPr="001D31C7">
        <w:rPr>
          <w:rFonts w:ascii="Roboto" w:hAnsi="Roboto" w:cs="Arial"/>
          <w:sz w:val="22"/>
          <w:szCs w:val="22"/>
          <w:lang w:val="es-ES"/>
        </w:rPr>
        <w:t xml:space="preserve"> en materia de </w:t>
      </w:r>
      <w:r w:rsidR="003F7B81" w:rsidRPr="001D31C7">
        <w:rPr>
          <w:rFonts w:ascii="Roboto" w:hAnsi="Roboto" w:cs="Arial"/>
          <w:sz w:val="22"/>
          <w:szCs w:val="22"/>
          <w:lang w:val="es-ES"/>
        </w:rPr>
        <w:t>participación</w:t>
      </w:r>
      <w:r w:rsidRPr="001D31C7">
        <w:rPr>
          <w:rFonts w:ascii="Roboto" w:hAnsi="Roboto" w:cs="Arial"/>
          <w:sz w:val="22"/>
          <w:szCs w:val="22"/>
          <w:lang w:val="es-ES"/>
        </w:rPr>
        <w:t xml:space="preserve"> ciudadana”, de los presupuestos de la Generalitat para el ejercicio 2024.</w:t>
      </w:r>
    </w:p>
    <w:p w14:paraId="7E915F1D"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Las aportaciones establecidas en este convenio de colaboración quedan excluidas del ámbito del artículo 107.1 del Tratado de funcionamiento de la Comunidad Europea, a los efectos previstos en el Decreto 128/2017, de 29 de septiembre, del Consell, por el cual se regula el procedimiento de notificación y comunicación a la Comisión Europea de los proyectos de la Generalitat dirigidos a establecer, conceder o modificar ayudas públicas, puesto que en esta ayuda no se aplica el principio de incompatibilidad con el mercado común por no favorecer ninguna empresa ni falsear la competencia, porque sus destinatarios no realizan actividad económica.</w:t>
      </w:r>
    </w:p>
    <w:p w14:paraId="29FAD512"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 La dotación económica se podrá aportar de la manera siguiente:</w:t>
      </w:r>
    </w:p>
    <w:p w14:paraId="16CCDEF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El 30% de la aportación económica en el momento de la firma del presente convenio para la realización de actividades de este, en virtud del que se establece en el artículo 171.3.a de l</w:t>
      </w:r>
      <w:r w:rsidR="003F7B81" w:rsidRPr="001D31C7">
        <w:rPr>
          <w:rFonts w:ascii="Roboto" w:hAnsi="Roboto" w:cs="Arial"/>
          <w:sz w:val="22"/>
          <w:szCs w:val="22"/>
          <w:lang w:val="es-ES"/>
        </w:rPr>
        <w:t xml:space="preserve">a </w:t>
      </w:r>
      <w:r w:rsidRPr="001D31C7">
        <w:rPr>
          <w:rFonts w:ascii="Roboto" w:hAnsi="Roboto" w:cs="Arial"/>
          <w:sz w:val="22"/>
          <w:szCs w:val="22"/>
          <w:lang w:val="es-ES"/>
        </w:rPr>
        <w:t>LHPG.</w:t>
      </w:r>
    </w:p>
    <w:p w14:paraId="4C938CB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 Presidencia de la Generalitat anticipará a su vez otro 20% para el desarrollo de actividades del convenio, una vez se haya justificado de manera suficiente y adecuada la efectiva aplicación de los fondos anticipados.</w:t>
      </w:r>
    </w:p>
    <w:p w14:paraId="538B2007"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El restante 50% se abonará después de la justificación, por parte de la UA, de la totalidad del gasto objeto de la subvención otorgada.</w:t>
      </w:r>
    </w:p>
    <w:p w14:paraId="1B587F91"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Todo esto, en conformidad con lo establecido en los artículos 168.1.A y 171.3 y 4 de l</w:t>
      </w:r>
      <w:r w:rsidR="003F7B81" w:rsidRPr="001D31C7">
        <w:rPr>
          <w:rFonts w:ascii="Roboto" w:hAnsi="Roboto" w:cs="Arial"/>
          <w:sz w:val="22"/>
          <w:szCs w:val="22"/>
          <w:lang w:val="es-ES"/>
        </w:rPr>
        <w:t xml:space="preserve">a </w:t>
      </w:r>
      <w:r w:rsidRPr="001D31C7">
        <w:rPr>
          <w:rFonts w:ascii="Roboto" w:hAnsi="Roboto" w:cs="Arial"/>
          <w:sz w:val="22"/>
          <w:szCs w:val="22"/>
          <w:lang w:val="es-ES"/>
        </w:rPr>
        <w:t>LHPG, y de acuerdo con el artículo 22.2.a de l</w:t>
      </w:r>
      <w:r w:rsidR="003F7B81" w:rsidRPr="001D31C7">
        <w:rPr>
          <w:rFonts w:ascii="Roboto" w:hAnsi="Roboto" w:cs="Arial"/>
          <w:sz w:val="22"/>
          <w:szCs w:val="22"/>
          <w:lang w:val="es-ES"/>
        </w:rPr>
        <w:t xml:space="preserve">a </w:t>
      </w:r>
      <w:r w:rsidRPr="001D31C7">
        <w:rPr>
          <w:rFonts w:ascii="Roboto" w:hAnsi="Roboto" w:cs="Arial"/>
          <w:sz w:val="22"/>
          <w:szCs w:val="22"/>
          <w:lang w:val="es-ES"/>
        </w:rPr>
        <w:t>LGS.</w:t>
      </w:r>
    </w:p>
    <w:p w14:paraId="2D229B0B"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3. Sin embargo, con carácter previo al pago de la subvención, la entidad beneficiaria tendrá que estar al corriente en el cumplimiento de obligaciones tributarias y ante la Seguridad Social. Así mismo, no podrá realizarse el pago si la entidad beneficiaria es deudora por resolución de procedencia de reintegro.</w:t>
      </w:r>
    </w:p>
    <w:p w14:paraId="23A2C5C5"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4. La UA queda exonerada de la constitución de garantías por las cantidades anticipadas, en virtud del artículo 171.5.g de l</w:t>
      </w:r>
      <w:r w:rsidR="003F7B81" w:rsidRPr="001D31C7">
        <w:rPr>
          <w:rFonts w:ascii="Roboto" w:hAnsi="Roboto" w:cs="Arial"/>
          <w:sz w:val="22"/>
          <w:szCs w:val="22"/>
          <w:lang w:val="es-ES"/>
        </w:rPr>
        <w:t xml:space="preserve">a </w:t>
      </w:r>
      <w:r w:rsidRPr="001D31C7">
        <w:rPr>
          <w:rFonts w:ascii="Roboto" w:hAnsi="Roboto" w:cs="Arial"/>
          <w:sz w:val="22"/>
          <w:szCs w:val="22"/>
          <w:lang w:val="es-ES"/>
        </w:rPr>
        <w:t>LHPG.</w:t>
      </w:r>
    </w:p>
    <w:p w14:paraId="3689E910"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5. El pago por parte de la Presidencia de la Generalitat se efectuará mediante transferencia bancaria en la cuenta que designo la UA.</w:t>
      </w:r>
    </w:p>
    <w:p w14:paraId="63BEE420"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SEXTA. Plazo y forma de justificación de la subvención</w:t>
      </w:r>
    </w:p>
    <w:p w14:paraId="2D428D3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 xml:space="preserve">1. La justificación de la subvención comprende la realización de la actividad, el cumplimiento de la finalidad de la subvención (artículo 14.1.b de </w:t>
      </w:r>
      <w:r w:rsidR="00DF1B17" w:rsidRPr="001D31C7">
        <w:rPr>
          <w:rFonts w:ascii="Roboto" w:hAnsi="Roboto" w:cs="Arial"/>
          <w:sz w:val="22"/>
          <w:szCs w:val="22"/>
          <w:lang w:val="es-ES"/>
        </w:rPr>
        <w:t>la LGS</w:t>
      </w:r>
      <w:r w:rsidRPr="001D31C7">
        <w:rPr>
          <w:rFonts w:ascii="Roboto" w:hAnsi="Roboto" w:cs="Arial"/>
          <w:sz w:val="22"/>
          <w:szCs w:val="22"/>
          <w:lang w:val="es-ES"/>
        </w:rPr>
        <w:t xml:space="preserve">), el cumplimiento de la finalidad para la cual se concede y la aplicación de los fondos percibidos (artículo 17.3.y de </w:t>
      </w:r>
      <w:r w:rsidR="00DF1B17" w:rsidRPr="001D31C7">
        <w:rPr>
          <w:rFonts w:ascii="Roboto" w:hAnsi="Roboto" w:cs="Arial"/>
          <w:sz w:val="22"/>
          <w:szCs w:val="22"/>
          <w:lang w:val="es-ES"/>
        </w:rPr>
        <w:t>la LGS</w:t>
      </w:r>
      <w:r w:rsidRPr="001D31C7">
        <w:rPr>
          <w:rFonts w:ascii="Roboto" w:hAnsi="Roboto" w:cs="Arial"/>
          <w:sz w:val="22"/>
          <w:szCs w:val="22"/>
          <w:lang w:val="es-ES"/>
        </w:rPr>
        <w:t xml:space="preserve">), y el cumplimiento de las condiciones impuestas y de la consecución de los objetivos previstos en el acto de concesión (artículo 30.1 de </w:t>
      </w:r>
      <w:r w:rsidR="00DF1B17" w:rsidRPr="001D31C7">
        <w:rPr>
          <w:rFonts w:ascii="Roboto" w:hAnsi="Roboto" w:cs="Arial"/>
          <w:sz w:val="22"/>
          <w:szCs w:val="22"/>
          <w:lang w:val="es-ES"/>
        </w:rPr>
        <w:t>la LGS</w:t>
      </w:r>
      <w:r w:rsidRPr="001D31C7">
        <w:rPr>
          <w:rFonts w:ascii="Roboto" w:hAnsi="Roboto" w:cs="Arial"/>
          <w:sz w:val="22"/>
          <w:szCs w:val="22"/>
          <w:lang w:val="es-ES"/>
        </w:rPr>
        <w:t>).</w:t>
      </w:r>
    </w:p>
    <w:p w14:paraId="6D3179C2"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2. Para efectuar el pago, la UA tendrá que ajustarse a los requisitos y formas de acreditación establecidos en los artículos 30 y 31 de </w:t>
      </w:r>
      <w:r w:rsidR="00DF1B17" w:rsidRPr="001D31C7">
        <w:rPr>
          <w:rFonts w:ascii="Roboto" w:hAnsi="Roboto" w:cs="Arial"/>
          <w:sz w:val="22"/>
          <w:szCs w:val="22"/>
          <w:lang w:val="es-ES"/>
        </w:rPr>
        <w:t>la LGS</w:t>
      </w:r>
      <w:r w:rsidRPr="001D31C7">
        <w:rPr>
          <w:rFonts w:ascii="Roboto" w:hAnsi="Roboto" w:cs="Arial"/>
          <w:sz w:val="22"/>
          <w:szCs w:val="22"/>
          <w:lang w:val="es-ES"/>
        </w:rPr>
        <w:t xml:space="preserve">, así como en el artículo 169 de </w:t>
      </w:r>
      <w:r w:rsidR="00DF1B17" w:rsidRPr="001D31C7">
        <w:rPr>
          <w:rFonts w:ascii="Roboto" w:hAnsi="Roboto" w:cs="Arial"/>
          <w:sz w:val="22"/>
          <w:szCs w:val="22"/>
          <w:lang w:val="es-ES"/>
        </w:rPr>
        <w:t>la LHPG</w:t>
      </w:r>
      <w:r w:rsidRPr="001D31C7">
        <w:rPr>
          <w:rFonts w:ascii="Roboto" w:hAnsi="Roboto" w:cs="Arial"/>
          <w:sz w:val="22"/>
          <w:szCs w:val="22"/>
          <w:lang w:val="es-ES"/>
        </w:rPr>
        <w:t>, y tendrá que presentar una cuenta justificativa, que contendrá la documentación siguiente:</w:t>
      </w:r>
    </w:p>
    <w:p w14:paraId="1E18F972"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2.1. Una memoria de actuación justificativa del cumplimiento de las condiciones impuestas en la concesión de la subvención, con indicación de las actividades realizadas y de los resultados obtenidos, detallando los medios empleados, las fechas de realización, el número de horas, el número de participantes, los materiales utilizados, las personas responsables y un resumen de la manera en que se ha llevado a cabo cada actividad. A este documento se unirá el material utilizado (carteles, trípticos, fotografías, circulares, convocatorias, temarios, listas de asistentes, material utilizado para la evaluación y resultados de esta) en las actividades realizadas y el resultado de la actividad investigadora o trabajos efectuados.</w:t>
      </w:r>
    </w:p>
    <w:p w14:paraId="3F264888" w14:textId="55C4DC18"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La memoria tendrá que estar </w:t>
      </w:r>
      <w:r w:rsidR="001D31C7">
        <w:rPr>
          <w:rFonts w:ascii="Roboto" w:hAnsi="Roboto" w:cs="Arial"/>
          <w:sz w:val="22"/>
          <w:szCs w:val="22"/>
          <w:lang w:val="es-ES"/>
        </w:rPr>
        <w:t>suscri</w:t>
      </w:r>
      <w:r w:rsidRPr="001D31C7">
        <w:rPr>
          <w:rFonts w:ascii="Roboto" w:hAnsi="Roboto" w:cs="Arial"/>
          <w:sz w:val="22"/>
          <w:szCs w:val="22"/>
          <w:lang w:val="es-ES"/>
        </w:rPr>
        <w:t>ta por la persona responsable de la actuación o las actuaciones realizadas.</w:t>
      </w:r>
    </w:p>
    <w:p w14:paraId="3AB95323"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2.2. Un artículo científico con las conclusiones del proyecto como resultado de la continuación de la línea de investigación planteada por la UA.</w:t>
      </w:r>
    </w:p>
    <w:p w14:paraId="72B7355C"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2.3. Una memoria económica justificativa del coste de las actividades realizadas, que contendrá:</w:t>
      </w:r>
    </w:p>
    <w:p w14:paraId="79870DD8" w14:textId="36F5583B" w:rsidR="00CA53A3"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a) Una relación clasificada de los gastos de la actividad, con identificación del acreedor y del documento, el importe, la fecha de emisión y la fecha de pago de estas o, en su caso, la fecha de reconocimiento de la obligación y propuesta de pago. La relación estará </w:t>
      </w:r>
      <w:r w:rsidR="001D31C7">
        <w:rPr>
          <w:rFonts w:ascii="Roboto" w:hAnsi="Roboto" w:cs="Arial"/>
          <w:sz w:val="22"/>
          <w:szCs w:val="22"/>
          <w:lang w:val="es-ES"/>
        </w:rPr>
        <w:t>suscri</w:t>
      </w:r>
      <w:r w:rsidRPr="001D31C7">
        <w:rPr>
          <w:rFonts w:ascii="Roboto" w:hAnsi="Roboto" w:cs="Arial"/>
          <w:sz w:val="22"/>
          <w:szCs w:val="22"/>
          <w:lang w:val="es-ES"/>
        </w:rPr>
        <w:t>ta por la persona responsable de la gestión económica y presupuestaria de la entidad beneficiaria de la subvención.</w:t>
      </w:r>
    </w:p>
    <w:p w14:paraId="4D2B0863"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b) Las facturas, nóminas o documentos de valor probatorio equivalente en el tráfico jurídico mercantil o con eficacia administrativa incorporados en la relación a que se hace referencia en el párrafo anterior y, en su caso, la documentación acreditativa del pago.</w:t>
      </w:r>
    </w:p>
    <w:p w14:paraId="06ED8D9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c) Un detalle otros ingresos o subvenciones que hayan financiado la actividad subvencionada, con indicación del importe y la procedencia.</w:t>
      </w:r>
    </w:p>
    <w:p w14:paraId="625E9D18" w14:textId="59882B90"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3. La justificación tendrá que dirigirse a la Dirección General de Transparencia y Participación. Se presentará en el registro electrónico de la Presidencia de la Generalitat, en la URL </w:t>
      </w:r>
      <w:hyperlink r:id="rId7" w:history="1">
        <w:r w:rsidR="00431214">
          <w:rPr>
            <w:rStyle w:val="Hipervnculo"/>
            <w:rFonts w:ascii="Roboto" w:hAnsi="Roboto" w:cs="Arial"/>
            <w:sz w:val="22"/>
            <w:szCs w:val="22"/>
            <w:lang w:val="es-ES"/>
          </w:rPr>
          <w:t>https://www.gva.es/es/inicio/procedimientos?id_proc=G18487</w:t>
        </w:r>
      </w:hyperlink>
    </w:p>
    <w:p w14:paraId="62BD927C"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4. El plazo de justificación de los gastos financiados por este convenio vencerá el 15 de noviembre de 2024, sin perjuicio de la vigencia del convenio.</w:t>
      </w:r>
    </w:p>
    <w:p w14:paraId="1DA9870D"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SÉPTIMA. Reintegro y minoración de la ayuda</w:t>
      </w:r>
    </w:p>
    <w:p w14:paraId="0BAEB5B3"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1. Será procedente el reintegro de las ayudas concedidas o su minoración, con reembolso de las cantidades percibidas y la exigencia de los intereses de demora desde el momento del </w:t>
      </w:r>
      <w:r w:rsidRPr="001D31C7">
        <w:rPr>
          <w:rFonts w:ascii="Roboto" w:hAnsi="Roboto" w:cs="Arial"/>
          <w:sz w:val="22"/>
          <w:szCs w:val="22"/>
          <w:lang w:val="es-ES"/>
        </w:rPr>
        <w:lastRenderedPageBreak/>
        <w:t xml:space="preserve">pago de la subvención, por incumplimiento de las obligaciones y requisitos que se establecen en este convenio, así como en los supuestos de causas de reintegro que establece el artículo 37 de </w:t>
      </w:r>
      <w:r w:rsidR="00DF1B17" w:rsidRPr="001D31C7">
        <w:rPr>
          <w:rFonts w:ascii="Roboto" w:hAnsi="Roboto" w:cs="Arial"/>
          <w:sz w:val="22"/>
          <w:szCs w:val="22"/>
          <w:lang w:val="es-ES"/>
        </w:rPr>
        <w:t>la LGS</w:t>
      </w:r>
      <w:r w:rsidRPr="001D31C7">
        <w:rPr>
          <w:rFonts w:ascii="Roboto" w:hAnsi="Roboto" w:cs="Arial"/>
          <w:sz w:val="22"/>
          <w:szCs w:val="22"/>
          <w:lang w:val="es-ES"/>
        </w:rPr>
        <w:t>.</w:t>
      </w:r>
    </w:p>
    <w:p w14:paraId="487D3B70"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2. El procedimiento de reintegro se ajustará a las previsiones contenidas en el artículo 172 de </w:t>
      </w:r>
      <w:r w:rsidR="00DF1B17" w:rsidRPr="001D31C7">
        <w:rPr>
          <w:rFonts w:ascii="Roboto" w:hAnsi="Roboto" w:cs="Arial"/>
          <w:sz w:val="22"/>
          <w:szCs w:val="22"/>
          <w:lang w:val="es-ES"/>
        </w:rPr>
        <w:t>la LHPG</w:t>
      </w:r>
      <w:r w:rsidRPr="001D31C7">
        <w:rPr>
          <w:rFonts w:ascii="Roboto" w:hAnsi="Roboto" w:cs="Arial"/>
          <w:sz w:val="22"/>
          <w:szCs w:val="22"/>
          <w:lang w:val="es-ES"/>
        </w:rPr>
        <w:t>.</w:t>
      </w:r>
    </w:p>
    <w:p w14:paraId="075E265C" w14:textId="7DFE46E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3. La tramitación del procedimiento garantizará la audiencia a la entidad interesada. Se podrá prescindir del trámite de audiencia cuando la entidad solicitante renuncio a la subvención y no figuran en el procedimiento ni sean tenidos en cuenta en la resolución </w:t>
      </w:r>
      <w:r w:rsidR="00431214" w:rsidRPr="001D31C7">
        <w:rPr>
          <w:rFonts w:ascii="Roboto" w:hAnsi="Roboto" w:cs="Arial"/>
          <w:sz w:val="22"/>
          <w:szCs w:val="22"/>
          <w:lang w:val="es-ES"/>
        </w:rPr>
        <w:t>otros hechos</w:t>
      </w:r>
      <w:r w:rsidRPr="001D31C7">
        <w:rPr>
          <w:rFonts w:ascii="Roboto" w:hAnsi="Roboto" w:cs="Arial"/>
          <w:sz w:val="22"/>
          <w:szCs w:val="22"/>
          <w:lang w:val="es-ES"/>
        </w:rPr>
        <w:t xml:space="preserve"> ni otras alegaciones o pruebas que las presentadas por la entidad interesada.</w:t>
      </w:r>
    </w:p>
    <w:p w14:paraId="41F255C3"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4. El plazo máximo para resolver y notificar la resolución procedente será de doce meses a contar del inicio del expediente de declaración de pérdida de derecho o de minoración.</w:t>
      </w:r>
    </w:p>
    <w:p w14:paraId="08D0F87A" w14:textId="07A6BAB0"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5. La resolución de este procedimiento pondrá fin a la vía administrativa, y contra esta podrá interponerse, potestativamente, </w:t>
      </w:r>
      <w:bookmarkStart w:id="0" w:name="_Hlk165372439"/>
      <w:r w:rsidRPr="001D31C7">
        <w:rPr>
          <w:rFonts w:ascii="Roboto" w:hAnsi="Roboto" w:cs="Arial"/>
          <w:sz w:val="22"/>
          <w:szCs w:val="22"/>
          <w:lang w:val="es-ES"/>
        </w:rPr>
        <w:t>un recurso de reposición ante el mismo órgano que la ha dictado, en el plazo de un mes contado desde el día siguiente a ser notificada, o bien, directamente</w:t>
      </w:r>
      <w:bookmarkEnd w:id="0"/>
      <w:r w:rsidRPr="001D31C7">
        <w:rPr>
          <w:rFonts w:ascii="Roboto" w:hAnsi="Roboto" w:cs="Arial"/>
          <w:sz w:val="22"/>
          <w:szCs w:val="22"/>
          <w:lang w:val="es-ES"/>
        </w:rPr>
        <w:t xml:space="preserve">, un recurso contencioso-administrativo ante la Sala de lo contencioso administrativo del Tribunal Superior de Justicia de la </w:t>
      </w:r>
      <w:r w:rsidR="001D31C7">
        <w:rPr>
          <w:rFonts w:ascii="Roboto" w:hAnsi="Roboto" w:cs="Arial"/>
          <w:sz w:val="22"/>
          <w:szCs w:val="22"/>
          <w:lang w:val="es-ES"/>
        </w:rPr>
        <w:t>Comunitat Valenciana</w:t>
      </w:r>
      <w:r w:rsidRPr="001D31C7">
        <w:rPr>
          <w:rFonts w:ascii="Roboto" w:hAnsi="Roboto" w:cs="Arial"/>
          <w:sz w:val="22"/>
          <w:szCs w:val="22"/>
          <w:lang w:val="es-ES"/>
        </w:rPr>
        <w:t>, en el plazo de dos meses contados desde el día siguiente a la notificación, en conformidad con lo previsto en los artículos 123 y 124 de la Ley 39/2015, de 1 de octubre, del procedimiento administrativo común de las administraciones públicas (LPACAP), y en los artículos 10.1.a y 46.1 de la Ley 29/1998, de 13 de julio, reguladora de la jurisdicción contencioso-administrativa (de ahora en adelante, LJCA).</w:t>
      </w:r>
    </w:p>
    <w:p w14:paraId="53D9239B"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OCTAVA. Compatibilidad de la subvención</w:t>
      </w:r>
    </w:p>
    <w:p w14:paraId="4C37CF7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 subvención a que se refiere este convenio se declara compatible con cualesquiera otras subvenciones, ayudas, ingresos o recursos para la misma finalidad, procedentes de cualesquier administraciones o entes públicos o privados, nacionales, de la Unión Europea o de organismos internacionales, siempre que, en conjunto, no superan el coste de la actividad subvencionada.</w:t>
      </w:r>
    </w:p>
    <w:p w14:paraId="141FFAFB"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NOVENA. Comisión de seguimiento y control</w:t>
      </w:r>
    </w:p>
    <w:p w14:paraId="29EC195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1. Para el seguimiento de la ejecución y el desarrollo de este convenio se crea una comisión mixta de seguimiento y control, compuesta por tres representantes de cada una de las instituciones firmantes, que adecuará su funcionamiento al que se prevé en los artículos 15 y siguientes de </w:t>
      </w:r>
      <w:r w:rsidR="00F22519" w:rsidRPr="001D31C7">
        <w:rPr>
          <w:rFonts w:ascii="Roboto" w:hAnsi="Roboto" w:cs="Arial"/>
          <w:sz w:val="22"/>
          <w:szCs w:val="22"/>
          <w:lang w:val="es-ES"/>
        </w:rPr>
        <w:t>la LRJSP</w:t>
      </w:r>
      <w:r w:rsidRPr="001D31C7">
        <w:rPr>
          <w:rFonts w:ascii="Roboto" w:hAnsi="Roboto" w:cs="Arial"/>
          <w:sz w:val="22"/>
          <w:szCs w:val="22"/>
          <w:lang w:val="es-ES"/>
        </w:rPr>
        <w:t>.</w:t>
      </w:r>
    </w:p>
    <w:p w14:paraId="61960F1A"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 La comisión de seguimiento y control estará integrada:</w:t>
      </w:r>
    </w:p>
    <w:p w14:paraId="54CE3E1F" w14:textId="6BE8A13B" w:rsidR="00EE377A" w:rsidRPr="001D31C7" w:rsidRDefault="00EE377A" w:rsidP="00431214">
      <w:pPr>
        <w:pStyle w:val="Standard"/>
        <w:spacing w:after="120" w:line="276" w:lineRule="auto"/>
        <w:ind w:left="567" w:hanging="283"/>
        <w:jc w:val="both"/>
        <w:rPr>
          <w:rFonts w:ascii="Roboto" w:hAnsi="Roboto" w:cs="Arial"/>
          <w:sz w:val="22"/>
          <w:szCs w:val="22"/>
          <w:lang w:val="es-ES"/>
        </w:rPr>
      </w:pPr>
      <w:r w:rsidRPr="001D31C7">
        <w:rPr>
          <w:rFonts w:ascii="Roboto" w:hAnsi="Roboto" w:cs="Arial"/>
          <w:sz w:val="22"/>
          <w:szCs w:val="22"/>
          <w:lang w:val="es-ES"/>
        </w:rPr>
        <w:t>a</w:t>
      </w:r>
      <w:r w:rsidR="00431214">
        <w:rPr>
          <w:rFonts w:ascii="Roboto" w:hAnsi="Roboto" w:cs="Arial"/>
          <w:sz w:val="22"/>
          <w:szCs w:val="22"/>
          <w:lang w:val="es-ES"/>
        </w:rPr>
        <w:t>)</w:t>
      </w:r>
      <w:r w:rsidRPr="001D31C7">
        <w:rPr>
          <w:rFonts w:ascii="Roboto" w:hAnsi="Roboto" w:cs="Arial"/>
          <w:sz w:val="22"/>
          <w:szCs w:val="22"/>
          <w:lang w:val="es-ES"/>
        </w:rPr>
        <w:t xml:space="preserve"> Por parte de la Presidencia de la Generalitat, por el director general de Transparencia y Participación, por el subdirector general de Participación Ciudadana y por la jefa del Servicio de Políticas de Participación Ciudadana, o las personas que las sustituyan.</w:t>
      </w:r>
    </w:p>
    <w:p w14:paraId="073217C3" w14:textId="0807095E" w:rsidR="00EE377A" w:rsidRPr="001D31C7" w:rsidRDefault="00431214" w:rsidP="00431214">
      <w:pPr>
        <w:pStyle w:val="Standard"/>
        <w:spacing w:after="120" w:line="276" w:lineRule="auto"/>
        <w:ind w:left="284"/>
        <w:jc w:val="both"/>
        <w:rPr>
          <w:rFonts w:ascii="Roboto" w:hAnsi="Roboto" w:cs="Arial"/>
          <w:sz w:val="22"/>
          <w:szCs w:val="22"/>
          <w:lang w:val="es-ES"/>
        </w:rPr>
      </w:pPr>
      <w:r>
        <w:rPr>
          <w:rFonts w:ascii="Roboto" w:hAnsi="Roboto" w:cs="Arial"/>
          <w:sz w:val="22"/>
          <w:szCs w:val="22"/>
          <w:lang w:val="es-ES"/>
        </w:rPr>
        <w:t>b)</w:t>
      </w:r>
      <w:r w:rsidR="00EE377A" w:rsidRPr="001D31C7">
        <w:rPr>
          <w:rFonts w:ascii="Roboto" w:hAnsi="Roboto" w:cs="Arial"/>
          <w:sz w:val="22"/>
          <w:szCs w:val="22"/>
          <w:lang w:val="es-ES"/>
        </w:rPr>
        <w:t xml:space="preserve"> Por parte de la UA, por tres persones representantes de la entidad.</w:t>
      </w:r>
    </w:p>
    <w:p w14:paraId="27C647EB"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3. La comisión de seguimiento, que será presidida por el director general de Transparencia y Participación, se constituirá en el plazo de 15 días a partir de la firma de este convenio, y sin perjuicio de las funciones que expresamente se recogen en el artículo 9 del Decreto 176/2014.</w:t>
      </w:r>
    </w:p>
    <w:p w14:paraId="7CC1BF0F"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4. A efectos de adoptar acuerdos, corresponderá al director general de Transparencia y Participación dirimir con su voto los empates.</w:t>
      </w:r>
    </w:p>
    <w:p w14:paraId="2FCBA799"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5. Las funciones de secretaría serán ejercidas por la jefa del Servicio de Políticas de Participación Ciudadana, o la persona que la sustituya.</w:t>
      </w:r>
    </w:p>
    <w:p w14:paraId="32E969E1" w14:textId="77777777" w:rsidR="00EE377A" w:rsidRPr="001D31C7" w:rsidRDefault="00EE377A" w:rsidP="00796AE8">
      <w:pPr>
        <w:pStyle w:val="Standard"/>
        <w:spacing w:after="120" w:line="276" w:lineRule="auto"/>
        <w:jc w:val="both"/>
        <w:rPr>
          <w:rFonts w:ascii="Roboto" w:hAnsi="Roboto" w:cs="Arial"/>
          <w:sz w:val="22"/>
          <w:szCs w:val="22"/>
          <w:lang w:val="es-ES"/>
        </w:rPr>
      </w:pPr>
      <w:bookmarkStart w:id="1" w:name="_Hlk165372934"/>
      <w:r w:rsidRPr="001D31C7">
        <w:rPr>
          <w:rFonts w:ascii="Roboto" w:hAnsi="Roboto" w:cs="Arial"/>
          <w:sz w:val="22"/>
          <w:szCs w:val="22"/>
          <w:lang w:val="es-ES"/>
        </w:rPr>
        <w:t>6. Las actas, acuerdos o informes que, si procede, emita la comisión en el desarrollo y ejecución de las funciones que tiene asignadas se remitirán a la Subdirección General de Participación Ciudadana.</w:t>
      </w:r>
    </w:p>
    <w:bookmarkEnd w:id="1"/>
    <w:p w14:paraId="3F8FB9A6" w14:textId="0E7CF6B5"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7. La comisión se reunirá al menos una vez en el año y las que se considere necesario, a petición de cualquier</w:t>
      </w:r>
      <w:r w:rsidR="00431214">
        <w:rPr>
          <w:rFonts w:ascii="Roboto" w:hAnsi="Roboto" w:cs="Arial"/>
          <w:sz w:val="22"/>
          <w:szCs w:val="22"/>
          <w:lang w:val="es-ES"/>
        </w:rPr>
        <w:t>a</w:t>
      </w:r>
      <w:r w:rsidRPr="001D31C7">
        <w:rPr>
          <w:rFonts w:ascii="Roboto" w:hAnsi="Roboto" w:cs="Arial"/>
          <w:sz w:val="22"/>
          <w:szCs w:val="22"/>
          <w:lang w:val="es-ES"/>
        </w:rPr>
        <w:t xml:space="preserve"> de las partes firmantes del convenio.</w:t>
      </w:r>
    </w:p>
    <w:p w14:paraId="07D1F824"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8. Corresponderá a la comisión de seguimiento velar por el correcto cumplimiento del convenio, impulsando la realización de todas las actuaciones que sean necesarias para su desarrollo y ejecución, sin perjuicio de las funciones que expresamente se recogen en el artículo 9 del Decreto 176/2014.</w:t>
      </w:r>
    </w:p>
    <w:p w14:paraId="1D292099" w14:textId="7A875E9E" w:rsidR="00EE377A" w:rsidRPr="001D31C7" w:rsidRDefault="00431214" w:rsidP="00796AE8">
      <w:pPr>
        <w:pStyle w:val="Standard"/>
        <w:spacing w:after="120" w:line="276" w:lineRule="auto"/>
        <w:jc w:val="both"/>
        <w:rPr>
          <w:rFonts w:ascii="Roboto" w:hAnsi="Roboto" w:cs="Arial"/>
          <w:b/>
          <w:bCs/>
          <w:sz w:val="22"/>
          <w:szCs w:val="22"/>
          <w:lang w:val="es-ES"/>
        </w:rPr>
      </w:pPr>
      <w:r>
        <w:rPr>
          <w:rFonts w:ascii="Roboto" w:hAnsi="Roboto" w:cs="Arial"/>
          <w:b/>
          <w:bCs/>
          <w:sz w:val="22"/>
          <w:szCs w:val="22"/>
          <w:lang w:val="es-ES"/>
        </w:rPr>
        <w:t>DÉCIMA</w:t>
      </w:r>
      <w:r w:rsidR="00EE377A" w:rsidRPr="001D31C7">
        <w:rPr>
          <w:rFonts w:ascii="Roboto" w:hAnsi="Roboto" w:cs="Arial"/>
          <w:b/>
          <w:bCs/>
          <w:sz w:val="22"/>
          <w:szCs w:val="22"/>
          <w:lang w:val="es-ES"/>
        </w:rPr>
        <w:t>. Régimen sancionador</w:t>
      </w:r>
    </w:p>
    <w:p w14:paraId="4DD444C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Se aplicará el régimen sancionador por la comisión de infracciones administrativas previstas en la normativa básica estatal que se establece en el título IV de </w:t>
      </w:r>
      <w:r w:rsidR="00DF1B17" w:rsidRPr="001D31C7">
        <w:rPr>
          <w:rFonts w:ascii="Roboto" w:hAnsi="Roboto" w:cs="Arial"/>
          <w:sz w:val="22"/>
          <w:szCs w:val="22"/>
          <w:lang w:val="es-ES"/>
        </w:rPr>
        <w:t>la LGS</w:t>
      </w:r>
      <w:r w:rsidRPr="001D31C7">
        <w:rPr>
          <w:rFonts w:ascii="Roboto" w:hAnsi="Roboto" w:cs="Arial"/>
          <w:sz w:val="22"/>
          <w:szCs w:val="22"/>
          <w:lang w:val="es-ES"/>
        </w:rPr>
        <w:t xml:space="preserve"> a los sujetos beneficiarios de subvenciones que sean responsables de estas, que serán sancionados conforme al que se dispone en el capítulo IV del título X de </w:t>
      </w:r>
      <w:r w:rsidR="00DF1B17" w:rsidRPr="001D31C7">
        <w:rPr>
          <w:rFonts w:ascii="Roboto" w:hAnsi="Roboto" w:cs="Arial"/>
          <w:sz w:val="22"/>
          <w:szCs w:val="22"/>
          <w:lang w:val="es-ES"/>
        </w:rPr>
        <w:t>la LHPG</w:t>
      </w:r>
      <w:r w:rsidRPr="001D31C7">
        <w:rPr>
          <w:rFonts w:ascii="Roboto" w:hAnsi="Roboto" w:cs="Arial"/>
          <w:sz w:val="22"/>
          <w:szCs w:val="22"/>
          <w:lang w:val="es-ES"/>
        </w:rPr>
        <w:t xml:space="preserve">, y con carácter procedimental, en los artículos 25 a 31 de </w:t>
      </w:r>
      <w:r w:rsidR="00F22519" w:rsidRPr="001D31C7">
        <w:rPr>
          <w:rFonts w:ascii="Roboto" w:hAnsi="Roboto" w:cs="Arial"/>
          <w:sz w:val="22"/>
          <w:szCs w:val="22"/>
          <w:lang w:val="es-ES"/>
        </w:rPr>
        <w:t>la LRJSP</w:t>
      </w:r>
      <w:r w:rsidRPr="001D31C7">
        <w:rPr>
          <w:rFonts w:ascii="Roboto" w:hAnsi="Roboto" w:cs="Arial"/>
          <w:sz w:val="22"/>
          <w:szCs w:val="22"/>
          <w:lang w:val="es-ES"/>
        </w:rPr>
        <w:t xml:space="preserve"> y en los artículos 53, 56 y 77.4 de </w:t>
      </w:r>
      <w:r w:rsidR="00DF1B17" w:rsidRPr="001D31C7">
        <w:rPr>
          <w:rFonts w:ascii="Roboto" w:hAnsi="Roboto" w:cs="Arial"/>
          <w:sz w:val="22"/>
          <w:szCs w:val="22"/>
          <w:lang w:val="es-ES"/>
        </w:rPr>
        <w:t>la LPACAP</w:t>
      </w:r>
      <w:r w:rsidRPr="001D31C7">
        <w:rPr>
          <w:rFonts w:ascii="Roboto" w:hAnsi="Roboto" w:cs="Arial"/>
          <w:sz w:val="22"/>
          <w:szCs w:val="22"/>
          <w:lang w:val="es-ES"/>
        </w:rPr>
        <w:t>.</w:t>
      </w:r>
    </w:p>
    <w:p w14:paraId="636067A7" w14:textId="010E0713" w:rsidR="00EE377A" w:rsidRPr="001D31C7" w:rsidRDefault="00431214" w:rsidP="00796AE8">
      <w:pPr>
        <w:pStyle w:val="Standard"/>
        <w:spacing w:after="120" w:line="276" w:lineRule="auto"/>
        <w:jc w:val="both"/>
        <w:rPr>
          <w:rFonts w:ascii="Roboto" w:hAnsi="Roboto" w:cs="Arial"/>
          <w:b/>
          <w:bCs/>
          <w:sz w:val="22"/>
          <w:szCs w:val="22"/>
          <w:lang w:val="es-ES"/>
        </w:rPr>
      </w:pPr>
      <w:r>
        <w:rPr>
          <w:rFonts w:ascii="Roboto" w:hAnsi="Roboto" w:cs="Arial"/>
          <w:b/>
          <w:bCs/>
          <w:sz w:val="22"/>
          <w:szCs w:val="22"/>
          <w:lang w:val="es-ES"/>
        </w:rPr>
        <w:t>UNDÉCIMA</w:t>
      </w:r>
      <w:r w:rsidR="00EE377A" w:rsidRPr="001D31C7">
        <w:rPr>
          <w:rFonts w:ascii="Roboto" w:hAnsi="Roboto" w:cs="Arial"/>
          <w:b/>
          <w:bCs/>
          <w:sz w:val="22"/>
          <w:szCs w:val="22"/>
          <w:lang w:val="es-ES"/>
        </w:rPr>
        <w:t>. Vigencia</w:t>
      </w:r>
    </w:p>
    <w:p w14:paraId="04756330" w14:textId="12321296"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Los efectos del presente convenio, con independencia de la fecha en que sea </w:t>
      </w:r>
      <w:r w:rsidR="001D31C7">
        <w:rPr>
          <w:rFonts w:ascii="Roboto" w:hAnsi="Roboto" w:cs="Arial"/>
          <w:sz w:val="22"/>
          <w:szCs w:val="22"/>
          <w:lang w:val="es-ES"/>
        </w:rPr>
        <w:t>suscri</w:t>
      </w:r>
      <w:r w:rsidRPr="001D31C7">
        <w:rPr>
          <w:rFonts w:ascii="Roboto" w:hAnsi="Roboto" w:cs="Arial"/>
          <w:sz w:val="22"/>
          <w:szCs w:val="22"/>
          <w:lang w:val="es-ES"/>
        </w:rPr>
        <w:t>to, se retrotraerán al 1 de enero de 2024 y finalizarán el 31 de diciembre de 2024.</w:t>
      </w:r>
    </w:p>
    <w:p w14:paraId="266AE309" w14:textId="294B1E1F" w:rsidR="00EE377A" w:rsidRPr="001D31C7" w:rsidRDefault="00431214" w:rsidP="00796AE8">
      <w:pPr>
        <w:pStyle w:val="Standard"/>
        <w:spacing w:after="120" w:line="276" w:lineRule="auto"/>
        <w:jc w:val="both"/>
        <w:rPr>
          <w:rFonts w:ascii="Roboto" w:hAnsi="Roboto" w:cs="Arial"/>
          <w:b/>
          <w:bCs/>
          <w:sz w:val="22"/>
          <w:szCs w:val="22"/>
          <w:lang w:val="es-ES"/>
        </w:rPr>
      </w:pPr>
      <w:r>
        <w:rPr>
          <w:rFonts w:ascii="Roboto" w:hAnsi="Roboto" w:cs="Arial"/>
          <w:b/>
          <w:bCs/>
          <w:sz w:val="22"/>
          <w:szCs w:val="22"/>
          <w:lang w:val="es-ES"/>
        </w:rPr>
        <w:t>DUODÉCIMA</w:t>
      </w:r>
      <w:r w:rsidR="00EE377A" w:rsidRPr="001D31C7">
        <w:rPr>
          <w:rFonts w:ascii="Roboto" w:hAnsi="Roboto" w:cs="Arial"/>
          <w:b/>
          <w:bCs/>
          <w:sz w:val="22"/>
          <w:szCs w:val="22"/>
          <w:lang w:val="es-ES"/>
        </w:rPr>
        <w:t>. Lugar de realización</w:t>
      </w:r>
    </w:p>
    <w:p w14:paraId="6D948564"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Las actividades objeto de este convenio se realizarán en la sede de las instalaciones propias de la UA o en cualquier otro espacio determinado de mutuo acuerdo por la UA y la Presidencia de la Generalitat.</w:t>
      </w:r>
    </w:p>
    <w:p w14:paraId="75CE4536" w14:textId="77777777" w:rsidR="00EE377A" w:rsidRPr="001D31C7" w:rsidRDefault="00F22519"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DECIMOTERCERA</w:t>
      </w:r>
      <w:r w:rsidR="00EE377A" w:rsidRPr="001D31C7">
        <w:rPr>
          <w:rFonts w:ascii="Roboto" w:hAnsi="Roboto" w:cs="Arial"/>
          <w:b/>
          <w:bCs/>
          <w:sz w:val="22"/>
          <w:szCs w:val="22"/>
          <w:lang w:val="es-ES"/>
        </w:rPr>
        <w:t>. Confidencialidad</w:t>
      </w:r>
    </w:p>
    <w:p w14:paraId="05421A70"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1. Sin perjuicio de las obligaciones en materia de publicidad activa y derecho de acceso a la información pública previstas en la Ley 19/2013, de 9 de diciembre, de transparencia, acceso a la información pública y buen gobierno, y en la Ley 1/2022, de 13 de abril, de la Generalitat, de transparencia y buen gobierno, las partes se comprometen a respetar la confidencialidad de la información que se suministra en la ejecución de este convenio.</w:t>
      </w:r>
    </w:p>
    <w:p w14:paraId="53FCEADE"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 Todos los materiales o documentación creados o generados en el marco del convenio podrán ser publicados en las webs o medios de difusión de la Presidencia de la Generalitat.</w:t>
      </w:r>
    </w:p>
    <w:p w14:paraId="28CB189F" w14:textId="77777777" w:rsidR="00EE377A" w:rsidRPr="001D31C7" w:rsidRDefault="00F22519"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DECIMOCUARTA</w:t>
      </w:r>
      <w:r w:rsidR="00EE377A" w:rsidRPr="001D31C7">
        <w:rPr>
          <w:rFonts w:ascii="Roboto" w:hAnsi="Roboto" w:cs="Arial"/>
          <w:b/>
          <w:bCs/>
          <w:sz w:val="22"/>
          <w:szCs w:val="22"/>
          <w:lang w:val="es-ES"/>
        </w:rPr>
        <w:t>. Causas de extinción</w:t>
      </w:r>
    </w:p>
    <w:p w14:paraId="127C5AAA"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Son causas de extinción del convenio las siguientes:</w:t>
      </w:r>
    </w:p>
    <w:p w14:paraId="47AEE980" w14:textId="77777777" w:rsidR="00EE377A" w:rsidRPr="001D31C7" w:rsidRDefault="00EE377A" w:rsidP="00796AE8">
      <w:pPr>
        <w:pStyle w:val="Standard"/>
        <w:numPr>
          <w:ilvl w:val="0"/>
          <w:numId w:val="6"/>
        </w:numPr>
        <w:spacing w:after="120" w:line="276" w:lineRule="auto"/>
        <w:jc w:val="both"/>
        <w:rPr>
          <w:rFonts w:ascii="Roboto" w:hAnsi="Roboto" w:cs="Arial"/>
          <w:sz w:val="22"/>
          <w:szCs w:val="22"/>
          <w:lang w:val="es-ES"/>
        </w:rPr>
      </w:pPr>
      <w:r w:rsidRPr="001D31C7">
        <w:rPr>
          <w:rFonts w:ascii="Roboto" w:hAnsi="Roboto" w:cs="Arial"/>
          <w:sz w:val="22"/>
          <w:szCs w:val="22"/>
          <w:lang w:val="es-ES"/>
        </w:rPr>
        <w:t>La finalización del plazo de vigencia del convenio.</w:t>
      </w:r>
    </w:p>
    <w:p w14:paraId="1C40A0C1" w14:textId="77777777" w:rsidR="00EE377A" w:rsidRPr="001D31C7" w:rsidRDefault="00EE377A" w:rsidP="00796AE8">
      <w:pPr>
        <w:pStyle w:val="Standard"/>
        <w:numPr>
          <w:ilvl w:val="0"/>
          <w:numId w:val="6"/>
        </w:numPr>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El mutuo acuerdo de las partes, manifestado por escrito.</w:t>
      </w:r>
    </w:p>
    <w:p w14:paraId="7663CA00" w14:textId="77777777" w:rsidR="00EE377A" w:rsidRPr="001D31C7" w:rsidRDefault="00EE377A" w:rsidP="00796AE8">
      <w:pPr>
        <w:pStyle w:val="Standard"/>
        <w:numPr>
          <w:ilvl w:val="0"/>
          <w:numId w:val="6"/>
        </w:numPr>
        <w:spacing w:after="120" w:line="276" w:lineRule="auto"/>
        <w:jc w:val="both"/>
        <w:rPr>
          <w:rFonts w:ascii="Roboto" w:hAnsi="Roboto" w:cs="Arial"/>
          <w:sz w:val="22"/>
          <w:szCs w:val="22"/>
          <w:lang w:val="es-ES"/>
        </w:rPr>
      </w:pPr>
      <w:r w:rsidRPr="001D31C7">
        <w:rPr>
          <w:rFonts w:ascii="Roboto" w:hAnsi="Roboto" w:cs="Arial"/>
          <w:sz w:val="22"/>
          <w:szCs w:val="22"/>
          <w:lang w:val="es-ES"/>
        </w:rPr>
        <w:t>El incumplimiento, por cualquier de las partes, de las condiciones establecidas en el presente convenio.</w:t>
      </w:r>
    </w:p>
    <w:p w14:paraId="6D49638C" w14:textId="1BDA7D61" w:rsidR="00EE377A" w:rsidRPr="001D31C7" w:rsidRDefault="00431214" w:rsidP="00796AE8">
      <w:pPr>
        <w:pStyle w:val="Standard"/>
        <w:numPr>
          <w:ilvl w:val="0"/>
          <w:numId w:val="6"/>
        </w:numPr>
        <w:spacing w:after="120" w:line="276" w:lineRule="auto"/>
        <w:jc w:val="both"/>
        <w:rPr>
          <w:rFonts w:ascii="Roboto" w:hAnsi="Roboto" w:cs="Arial"/>
          <w:sz w:val="22"/>
          <w:szCs w:val="22"/>
          <w:lang w:val="es-ES"/>
        </w:rPr>
      </w:pPr>
      <w:r>
        <w:rPr>
          <w:rFonts w:ascii="Roboto" w:hAnsi="Roboto" w:cs="Arial"/>
          <w:sz w:val="22"/>
          <w:szCs w:val="22"/>
          <w:lang w:val="es-ES"/>
        </w:rPr>
        <w:t xml:space="preserve">El </w:t>
      </w:r>
      <w:r w:rsidR="00EE377A" w:rsidRPr="001D31C7">
        <w:rPr>
          <w:rFonts w:ascii="Roboto" w:hAnsi="Roboto" w:cs="Arial"/>
          <w:sz w:val="22"/>
          <w:szCs w:val="22"/>
          <w:lang w:val="es-ES"/>
        </w:rPr>
        <w:t xml:space="preserve">incumplimiento de las actividades que se tienen que desarrollar o de la obligación de justificación. En este caso, corresponderá el reintegro de las cantidades recibidas en las condiciones que prevé el artículo 37 de </w:t>
      </w:r>
      <w:r w:rsidR="00DF1B17" w:rsidRPr="001D31C7">
        <w:rPr>
          <w:rFonts w:ascii="Roboto" w:hAnsi="Roboto" w:cs="Arial"/>
          <w:sz w:val="22"/>
          <w:szCs w:val="22"/>
          <w:lang w:val="es-ES"/>
        </w:rPr>
        <w:t>la LGS</w:t>
      </w:r>
      <w:r w:rsidR="00EE377A" w:rsidRPr="001D31C7">
        <w:rPr>
          <w:rFonts w:ascii="Roboto" w:hAnsi="Roboto" w:cs="Arial"/>
          <w:sz w:val="22"/>
          <w:szCs w:val="22"/>
          <w:lang w:val="es-ES"/>
        </w:rPr>
        <w:t xml:space="preserve"> y el artículo 172 de </w:t>
      </w:r>
      <w:r w:rsidR="00DF1B17" w:rsidRPr="001D31C7">
        <w:rPr>
          <w:rFonts w:ascii="Roboto" w:hAnsi="Roboto" w:cs="Arial"/>
          <w:sz w:val="22"/>
          <w:szCs w:val="22"/>
          <w:lang w:val="es-ES"/>
        </w:rPr>
        <w:t>la LHPG</w:t>
      </w:r>
      <w:r w:rsidR="00EE377A" w:rsidRPr="001D31C7">
        <w:rPr>
          <w:rFonts w:ascii="Roboto" w:hAnsi="Roboto" w:cs="Arial"/>
          <w:sz w:val="22"/>
          <w:szCs w:val="22"/>
          <w:lang w:val="es-ES"/>
        </w:rPr>
        <w:t>.</w:t>
      </w:r>
    </w:p>
    <w:p w14:paraId="337CF450" w14:textId="5ABA20E4" w:rsidR="00EE377A" w:rsidRPr="001D31C7" w:rsidRDefault="00DF1B17" w:rsidP="00796AE8">
      <w:pPr>
        <w:pStyle w:val="Standard"/>
        <w:numPr>
          <w:ilvl w:val="0"/>
          <w:numId w:val="6"/>
        </w:numPr>
        <w:spacing w:after="120" w:line="276" w:lineRule="auto"/>
        <w:jc w:val="both"/>
        <w:rPr>
          <w:rFonts w:ascii="Roboto" w:hAnsi="Roboto" w:cs="Arial"/>
          <w:sz w:val="22"/>
          <w:szCs w:val="22"/>
          <w:lang w:val="es-ES"/>
        </w:rPr>
      </w:pPr>
      <w:r w:rsidRPr="001D31C7">
        <w:rPr>
          <w:rFonts w:ascii="Roboto" w:hAnsi="Roboto" w:cs="Arial"/>
          <w:sz w:val="22"/>
          <w:szCs w:val="22"/>
          <w:lang w:val="es-ES"/>
        </w:rPr>
        <w:t>P</w:t>
      </w:r>
      <w:r w:rsidR="00431214">
        <w:rPr>
          <w:rFonts w:ascii="Roboto" w:hAnsi="Roboto" w:cs="Arial"/>
          <w:sz w:val="22"/>
          <w:szCs w:val="22"/>
          <w:lang w:val="es-ES"/>
        </w:rPr>
        <w:t>o</w:t>
      </w:r>
      <w:r w:rsidR="00EE377A" w:rsidRPr="001D31C7">
        <w:rPr>
          <w:rFonts w:ascii="Roboto" w:hAnsi="Roboto" w:cs="Arial"/>
          <w:sz w:val="22"/>
          <w:szCs w:val="22"/>
          <w:lang w:val="es-ES"/>
        </w:rPr>
        <w:t>r decisión unilateral de una de las partes, mediante comunicación expr</w:t>
      </w:r>
      <w:r w:rsidR="00431214">
        <w:rPr>
          <w:rFonts w:ascii="Roboto" w:hAnsi="Roboto" w:cs="Arial"/>
          <w:sz w:val="22"/>
          <w:szCs w:val="22"/>
          <w:lang w:val="es-ES"/>
        </w:rPr>
        <w:t>e</w:t>
      </w:r>
      <w:r w:rsidR="00EE377A" w:rsidRPr="001D31C7">
        <w:rPr>
          <w:rFonts w:ascii="Roboto" w:hAnsi="Roboto" w:cs="Arial"/>
          <w:sz w:val="22"/>
          <w:szCs w:val="22"/>
          <w:lang w:val="es-ES"/>
        </w:rPr>
        <w:t>s</w:t>
      </w:r>
      <w:r w:rsidR="00431214">
        <w:rPr>
          <w:rFonts w:ascii="Roboto" w:hAnsi="Roboto" w:cs="Arial"/>
          <w:sz w:val="22"/>
          <w:szCs w:val="22"/>
          <w:lang w:val="es-ES"/>
        </w:rPr>
        <w:t>a</w:t>
      </w:r>
      <w:r w:rsidR="00EE377A" w:rsidRPr="001D31C7">
        <w:rPr>
          <w:rFonts w:ascii="Roboto" w:hAnsi="Roboto" w:cs="Arial"/>
          <w:sz w:val="22"/>
          <w:szCs w:val="22"/>
          <w:lang w:val="es-ES"/>
        </w:rPr>
        <w:t xml:space="preserve"> por escrito a la otra parte, con una antelación mínima de dos meses a la fecha en que se da por concluido el convenio.</w:t>
      </w:r>
    </w:p>
    <w:p w14:paraId="5BB55DAE" w14:textId="77777777" w:rsidR="00EE377A" w:rsidRPr="001D31C7" w:rsidRDefault="00EE377A" w:rsidP="00796AE8">
      <w:pPr>
        <w:pStyle w:val="Standard"/>
        <w:numPr>
          <w:ilvl w:val="0"/>
          <w:numId w:val="6"/>
        </w:numPr>
        <w:spacing w:after="120" w:line="276" w:lineRule="auto"/>
        <w:jc w:val="both"/>
        <w:rPr>
          <w:rFonts w:ascii="Roboto" w:hAnsi="Roboto" w:cs="Arial"/>
          <w:sz w:val="22"/>
          <w:szCs w:val="22"/>
          <w:lang w:val="es-ES"/>
        </w:rPr>
      </w:pPr>
      <w:r w:rsidRPr="001D31C7">
        <w:rPr>
          <w:rFonts w:ascii="Roboto" w:hAnsi="Roboto" w:cs="Arial"/>
          <w:sz w:val="22"/>
          <w:szCs w:val="22"/>
          <w:lang w:val="es-ES"/>
        </w:rPr>
        <w:t>Las causas generales establecidas por la legislación vigente.</w:t>
      </w:r>
    </w:p>
    <w:p w14:paraId="57D7B407"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En caso de incumplimiento de las obligaciones y compromisos asumidos en este convenio, cualquiera de las partes puede notificar a la parte incumplidora un requerimiento para que cumpla en un determinado plazo las obligaciones o compromisos que se consideran incumplidos, en los términos que establece el artículo 51.2 de </w:t>
      </w:r>
      <w:r w:rsidR="00F22519" w:rsidRPr="001D31C7">
        <w:rPr>
          <w:rFonts w:ascii="Roboto" w:hAnsi="Roboto" w:cs="Arial"/>
          <w:sz w:val="22"/>
          <w:szCs w:val="22"/>
          <w:lang w:val="es-ES"/>
        </w:rPr>
        <w:t>la LRJSP</w:t>
      </w:r>
      <w:r w:rsidRPr="001D31C7">
        <w:rPr>
          <w:rFonts w:ascii="Roboto" w:hAnsi="Roboto" w:cs="Arial"/>
          <w:sz w:val="22"/>
          <w:szCs w:val="22"/>
          <w:lang w:val="es-ES"/>
        </w:rPr>
        <w:t>. Si en cualquier momento, durante la vigencia de este convenio, a consecuencia del seguimiento realizado, se comprueba la existencia de alguna de las causas de extinción hace poco indicadas, podrá instarse la resolución del convenio, comunicándolo a la otra parte y concediéndole un plazo de diez días para la presentación de alegaciones, en conformidad con lo establecido por la legislación reguladora del procedimiento administrativo común y el resto de normativa que pueda resultar aplicable.</w:t>
      </w:r>
    </w:p>
    <w:p w14:paraId="092245E4"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En cada caso concreto, en función de la causa específica de extinción y a la vista de la situación de las actuaciones en curso de ejecución, las partes establecerán la forma de finalización de estas actuaciones. </w:t>
      </w:r>
    </w:p>
    <w:p w14:paraId="02DFEB09" w14:textId="7A8647F9" w:rsidR="00EE377A" w:rsidRPr="001D31C7" w:rsidRDefault="00431214" w:rsidP="00796AE8">
      <w:pPr>
        <w:pStyle w:val="Standard"/>
        <w:spacing w:after="120" w:line="276" w:lineRule="auto"/>
        <w:jc w:val="both"/>
        <w:rPr>
          <w:rFonts w:ascii="Roboto" w:hAnsi="Roboto" w:cs="Arial"/>
          <w:b/>
          <w:bCs/>
          <w:sz w:val="22"/>
          <w:szCs w:val="22"/>
          <w:lang w:val="es-ES"/>
        </w:rPr>
      </w:pPr>
      <w:r>
        <w:rPr>
          <w:rFonts w:ascii="Roboto" w:hAnsi="Roboto" w:cs="Arial"/>
          <w:b/>
          <w:bCs/>
          <w:sz w:val="22"/>
          <w:szCs w:val="22"/>
          <w:lang w:val="es-ES"/>
        </w:rPr>
        <w:t>DÉCIMOQUINTA</w:t>
      </w:r>
      <w:r w:rsidR="00EE377A" w:rsidRPr="001D31C7">
        <w:rPr>
          <w:rFonts w:ascii="Roboto" w:hAnsi="Roboto" w:cs="Arial"/>
          <w:b/>
          <w:bCs/>
          <w:sz w:val="22"/>
          <w:szCs w:val="22"/>
          <w:lang w:val="es-ES"/>
        </w:rPr>
        <w:t>. Régimen jurídico del convenio</w:t>
      </w:r>
    </w:p>
    <w:p w14:paraId="63487C61"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El presente convenio tiene carácter administrativo y se regirá por el que se establece en sus cláusulas o, en su defecto, por el que se establece en la normativa general, siendo el régimen jurídico aplicable el establecido por </w:t>
      </w:r>
      <w:r w:rsidR="00F22519" w:rsidRPr="001D31C7">
        <w:rPr>
          <w:rFonts w:ascii="Roboto" w:hAnsi="Roboto" w:cs="Arial"/>
          <w:sz w:val="22"/>
          <w:szCs w:val="22"/>
          <w:lang w:val="es-ES"/>
        </w:rPr>
        <w:t>la LRJSP</w:t>
      </w:r>
      <w:r w:rsidRPr="001D31C7">
        <w:rPr>
          <w:rFonts w:ascii="Roboto" w:hAnsi="Roboto" w:cs="Arial"/>
          <w:sz w:val="22"/>
          <w:szCs w:val="22"/>
          <w:lang w:val="es-ES"/>
        </w:rPr>
        <w:t xml:space="preserve">, por los artículos de carácter básico de </w:t>
      </w:r>
      <w:r w:rsidR="00DF1B17" w:rsidRPr="001D31C7">
        <w:rPr>
          <w:rFonts w:ascii="Roboto" w:hAnsi="Roboto" w:cs="Arial"/>
          <w:sz w:val="22"/>
          <w:szCs w:val="22"/>
          <w:lang w:val="es-ES"/>
        </w:rPr>
        <w:t>la LGS</w:t>
      </w:r>
      <w:r w:rsidRPr="001D31C7">
        <w:rPr>
          <w:rFonts w:ascii="Roboto" w:hAnsi="Roboto" w:cs="Arial"/>
          <w:sz w:val="22"/>
          <w:szCs w:val="22"/>
          <w:lang w:val="es-ES"/>
        </w:rPr>
        <w:t xml:space="preserve">, así como los preceptos de este carácter del reglamento de la mencionada ley, aprobado por el Real Decreto 887/2006, de 21 de julio (LRJSP), de acuerdo con el que establecen las respectivas disposiciones finales primeras, y, finalmente, por las previsiones de </w:t>
      </w:r>
      <w:r w:rsidR="00DF1B17" w:rsidRPr="001D31C7">
        <w:rPr>
          <w:rFonts w:ascii="Roboto" w:hAnsi="Roboto" w:cs="Arial"/>
          <w:sz w:val="22"/>
          <w:szCs w:val="22"/>
          <w:lang w:val="es-ES"/>
        </w:rPr>
        <w:t>la LHPG</w:t>
      </w:r>
      <w:r w:rsidRPr="001D31C7">
        <w:rPr>
          <w:rFonts w:ascii="Roboto" w:hAnsi="Roboto" w:cs="Arial"/>
          <w:sz w:val="22"/>
          <w:szCs w:val="22"/>
          <w:lang w:val="es-ES"/>
        </w:rPr>
        <w:t>; todo esto, en relación con el que dispone el Decreto 176/2014.</w:t>
      </w:r>
    </w:p>
    <w:p w14:paraId="6ED87359"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La resolución de las controversias que puedan plantearse sobre la interpretación y la ejecución de este convenio tienen que resolverse de mutuo acuerdo entre las partes, a través de la comisión de seguimiento. Si no se puede llegar a este acuerdo, las posibles controversias tienen que ser resueltas en conformidad con el que dispone l</w:t>
      </w:r>
      <w:r w:rsidR="00F4758B" w:rsidRPr="001D31C7">
        <w:rPr>
          <w:rFonts w:ascii="Roboto" w:hAnsi="Roboto" w:cs="Arial"/>
          <w:sz w:val="22"/>
          <w:szCs w:val="22"/>
          <w:lang w:val="es-ES"/>
        </w:rPr>
        <w:t xml:space="preserve">a </w:t>
      </w:r>
      <w:r w:rsidRPr="001D31C7">
        <w:rPr>
          <w:rFonts w:ascii="Roboto" w:hAnsi="Roboto" w:cs="Arial"/>
          <w:sz w:val="22"/>
          <w:szCs w:val="22"/>
          <w:lang w:val="es-ES"/>
        </w:rPr>
        <w:t>LJCA.</w:t>
      </w:r>
    </w:p>
    <w:p w14:paraId="00CE1393" w14:textId="77777777" w:rsidR="00EE377A" w:rsidRPr="001D31C7" w:rsidRDefault="00F22519"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DECIMOSEXTA</w:t>
      </w:r>
      <w:r w:rsidR="00EE377A" w:rsidRPr="001D31C7">
        <w:rPr>
          <w:rFonts w:ascii="Roboto" w:hAnsi="Roboto" w:cs="Arial"/>
          <w:b/>
          <w:bCs/>
          <w:sz w:val="22"/>
          <w:szCs w:val="22"/>
          <w:lang w:val="es-ES"/>
        </w:rPr>
        <w:t>. Plan de control</w:t>
      </w:r>
    </w:p>
    <w:p w14:paraId="7CD193CA"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Durante el procedimiento de ejecución y comprobación de la justificación de esta subvención, se llevarán a cabo las siguientes actuaciones dentro del plan de control:</w:t>
      </w:r>
    </w:p>
    <w:p w14:paraId="0F1F9EBA" w14:textId="4450E6B1" w:rsidR="00EE377A" w:rsidRPr="001D31C7" w:rsidRDefault="00EE377A" w:rsidP="00796AE8">
      <w:pPr>
        <w:pStyle w:val="Standard"/>
        <w:numPr>
          <w:ilvl w:val="0"/>
          <w:numId w:val="7"/>
        </w:numPr>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Simultáneamente al proceso de ejecución de las actividades, se llevarán a cabo comprobaciones in situ de la realización, al menos, de dos actividades. En los casos de </w:t>
      </w:r>
      <w:r w:rsidRPr="001D31C7">
        <w:rPr>
          <w:rFonts w:ascii="Roboto" w:hAnsi="Roboto" w:cs="Arial"/>
          <w:sz w:val="22"/>
          <w:szCs w:val="22"/>
          <w:lang w:val="es-ES"/>
        </w:rPr>
        <w:lastRenderedPageBreak/>
        <w:t xml:space="preserve">realización de jornadas, ponencias o actas de difusión, se contará con la asistencia de alguno de los altos cargos de la Presidencia de la Generalitat para su participación en, al menos, uno de estos actos. De estas comprobaciones sobre el terreno se extenderá </w:t>
      </w:r>
      <w:r w:rsidR="00431214" w:rsidRPr="001D31C7">
        <w:rPr>
          <w:rFonts w:ascii="Roboto" w:hAnsi="Roboto" w:cs="Arial"/>
          <w:sz w:val="22"/>
          <w:szCs w:val="22"/>
          <w:lang w:val="es-ES"/>
        </w:rPr>
        <w:t>un acta</w:t>
      </w:r>
      <w:r w:rsidRPr="001D31C7">
        <w:rPr>
          <w:rFonts w:ascii="Roboto" w:hAnsi="Roboto" w:cs="Arial"/>
          <w:sz w:val="22"/>
          <w:szCs w:val="22"/>
          <w:lang w:val="es-ES"/>
        </w:rPr>
        <w:t xml:space="preserve"> de comprobación que lo verifico.</w:t>
      </w:r>
    </w:p>
    <w:p w14:paraId="4B190BA1" w14:textId="77777777" w:rsidR="00EE377A" w:rsidRPr="001D31C7" w:rsidRDefault="00EE377A" w:rsidP="00796AE8">
      <w:pPr>
        <w:pStyle w:val="Standard"/>
        <w:numPr>
          <w:ilvl w:val="0"/>
          <w:numId w:val="7"/>
        </w:numPr>
        <w:spacing w:after="120" w:line="276" w:lineRule="auto"/>
        <w:jc w:val="both"/>
        <w:rPr>
          <w:rFonts w:ascii="Roboto" w:hAnsi="Roboto" w:cs="Arial"/>
          <w:sz w:val="22"/>
          <w:szCs w:val="22"/>
          <w:lang w:val="es-ES"/>
        </w:rPr>
      </w:pPr>
      <w:r w:rsidRPr="001D31C7">
        <w:rPr>
          <w:rFonts w:ascii="Roboto" w:hAnsi="Roboto" w:cs="Arial"/>
          <w:sz w:val="22"/>
          <w:szCs w:val="22"/>
          <w:lang w:val="es-ES"/>
        </w:rPr>
        <w:t>Una vez finalizada la actividad, e incluso una vez efectuado el pago de la totalidad de la subvención, se realizará un control de calidad, al menos, de una actividad elegida de manera aleatoria, a partir de la documentación aportada como resultado de las actividades cumplidas, como memorias de ejecución, estudios de investigación, informo de resultados u otros documentos que aporto la entidad beneficiaria como conclusión de las actividades. Además, sobre las actividades seleccionadas, se recogerá información adicional que permita contextualizar la documentación aportada para la justificación de gastos y las actividades programadas en función de la comprobación de su efectivo grado de ejecución.</w:t>
      </w:r>
    </w:p>
    <w:p w14:paraId="1ADFF2F6"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Después de la ejecución del plan de control, y basándose en las actuaciones efectuadas, el órgano gestor elaborará un informe de ejecución y evaluación de resultados, de forma que sirva como instrumento de diagnóstico para la mejora, si procede, del sistema de gestión y control de las líneas y para implantar un sistema de rendición de cuentas.</w:t>
      </w:r>
    </w:p>
    <w:p w14:paraId="1C78882F" w14:textId="77777777" w:rsidR="00EE377A" w:rsidRPr="001D31C7" w:rsidRDefault="00F22519"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DECIMOSÉPTIMA</w:t>
      </w:r>
      <w:r w:rsidR="00EE377A" w:rsidRPr="001D31C7">
        <w:rPr>
          <w:rFonts w:ascii="Roboto" w:hAnsi="Roboto" w:cs="Arial"/>
          <w:b/>
          <w:bCs/>
          <w:sz w:val="22"/>
          <w:szCs w:val="22"/>
          <w:lang w:val="es-ES"/>
        </w:rPr>
        <w:t>. Transparencia, suministro de información y datos abiertos</w:t>
      </w:r>
    </w:p>
    <w:p w14:paraId="570D2B1F" w14:textId="25409AD6"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Sin perjuicio de las obligaciones de transparencia que tiene como entidad pública, en virtud de la Ley 19/2013, de 9 de diciembre, de transparencia, acceso a la información pública y buen gobierno, y de la Ley 1/2022, de 13 de abril, de transparencia y buen gobierno de la </w:t>
      </w:r>
      <w:r w:rsidR="001D31C7">
        <w:rPr>
          <w:rFonts w:ascii="Roboto" w:hAnsi="Roboto" w:cs="Arial"/>
          <w:sz w:val="22"/>
          <w:szCs w:val="22"/>
          <w:lang w:val="es-ES"/>
        </w:rPr>
        <w:t>Comunitat Valenciana</w:t>
      </w:r>
      <w:r w:rsidRPr="001D31C7">
        <w:rPr>
          <w:rFonts w:ascii="Roboto" w:hAnsi="Roboto" w:cs="Arial"/>
          <w:sz w:val="22"/>
          <w:szCs w:val="22"/>
          <w:lang w:val="es-ES"/>
        </w:rPr>
        <w:t>, la entidad beneficiaria tiene las siguientes obligaciones:</w:t>
      </w:r>
    </w:p>
    <w:p w14:paraId="2F3C1902"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1. Dar la adecuada publicidad del carácter público de la financiación de programas, actividades, inversiones o actuaciones de cualquier tipo que sean objeto de subvención, incluyendo el logotipo de la Generalitat en medios de difusión, como por ejemplo carteles, materiales imprimidos, medios electrónicos o audiovisuales y en cualquier otro medio de publicidad que se realice de la actividad subvencionada.</w:t>
      </w:r>
    </w:p>
    <w:p w14:paraId="2F9825EA"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2. Suministrar a la entidad concedente, previo requerimiento, toda la información que sea necesaria para el cumplimiento por esta de las obligaciones previstas en la legislación en materia de transparencia, en el plazo de 15 días hábiles desde el requerimiento.</w:t>
      </w:r>
    </w:p>
    <w:p w14:paraId="7AF340B8"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3. Disponer los nuevos conjuntos de datos que se generan por la formalización y el desarrollo de las subvenciones otorgadas por la Administración de la Generalitat, siempre que sea posible, como conjunto de datos abiertos.</w:t>
      </w:r>
    </w:p>
    <w:p w14:paraId="6106D451" w14:textId="77777777" w:rsidR="00EE377A" w:rsidRPr="001D31C7" w:rsidRDefault="00EE377A" w:rsidP="00796AE8">
      <w:pPr>
        <w:pStyle w:val="Standard"/>
        <w:spacing w:after="120" w:line="276" w:lineRule="auto"/>
        <w:jc w:val="both"/>
        <w:rPr>
          <w:rFonts w:ascii="Roboto" w:hAnsi="Roboto" w:cs="Arial"/>
          <w:b/>
          <w:bCs/>
          <w:sz w:val="22"/>
          <w:szCs w:val="22"/>
          <w:lang w:val="es-ES"/>
        </w:rPr>
      </w:pPr>
      <w:r w:rsidRPr="001D31C7">
        <w:rPr>
          <w:rFonts w:ascii="Roboto" w:hAnsi="Roboto" w:cs="Arial"/>
          <w:b/>
          <w:bCs/>
          <w:sz w:val="22"/>
          <w:szCs w:val="22"/>
          <w:lang w:val="es-ES"/>
        </w:rPr>
        <w:t>DECIMOCTAVA. Cláusula de tratamiento de datos de carácter personal</w:t>
      </w:r>
    </w:p>
    <w:p w14:paraId="5E0C22D5"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Las partes se obligan a cumplir las previsiones del Reglamento (UE) 2016/679, del Parlamento Europeo y del Consejo, de 27 de abril de 2016, relativo a la protección de las personas físicas en cuanto al tratamiento de datos personales y a la libre circulación de estos datos, y por el cual se deroga la Directiva 95/46/CE y las específicas de la Ley Orgánica 3/2018, de 5 de diciembre, de protección de datos personales y garantía de los derechos digitales, en cuanto a los datos personales que, como consecuencia de la ejecución de este convenio, sean tratadas por cada una de las partes o sean comunicadas entre estas. </w:t>
      </w:r>
    </w:p>
    <w:p w14:paraId="12A12571"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lastRenderedPageBreak/>
        <w:t>Información sobre el tratamiento de datos de carácter personal de los responsables designados para hacer el seguimiento del convenio y las personas firmantes de este:</w:t>
      </w:r>
    </w:p>
    <w:p w14:paraId="4B260E48"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POR PARTE DE LA PRESIDENCIA DE LA GENERALITAT</w:t>
      </w:r>
    </w:p>
    <w:p w14:paraId="0DFEBCC5" w14:textId="6EAEEE10"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Tiene la condición de responsable del tratamiento: la Subsecretaria de la Presidencia de la Generalitat. </w:t>
      </w:r>
    </w:p>
    <w:p w14:paraId="009C9887"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La finalidad para el tratamiento de datos personales es: gestión de convenios por los cuales se articulan ayudas, colaboraciones y acuerdos de cooperación. </w:t>
      </w:r>
    </w:p>
    <w:p w14:paraId="1294270C" w14:textId="10A5A121"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La persona interesada tiene derecho a solicitar el acceso, rectificación y supresión de sus datos de carácter personal, como también a solicitar la limitación u oposición a su tratamiento y a no ser objeto de decisiones individuales automatizadas, de manera presencial o telemática, en conformidad con lo previsto en el siguiente </w:t>
      </w:r>
      <w:hyperlink r:id="rId8" w:history="1">
        <w:r w:rsidRPr="001D31C7">
          <w:rPr>
            <w:rStyle w:val="Hipervnculo"/>
            <w:rFonts w:ascii="Roboto" w:hAnsi="Roboto" w:cs="Arial"/>
            <w:sz w:val="22"/>
            <w:szCs w:val="22"/>
            <w:lang w:val="es-ES"/>
          </w:rPr>
          <w:t>enla</w:t>
        </w:r>
        <w:r w:rsidRPr="001D31C7">
          <w:rPr>
            <w:rStyle w:val="Hipervnculo"/>
            <w:rFonts w:ascii="Roboto" w:hAnsi="Roboto" w:cs="Arial"/>
            <w:sz w:val="22"/>
            <w:szCs w:val="22"/>
            <w:lang w:val="es-ES"/>
          </w:rPr>
          <w:t>c</w:t>
        </w:r>
        <w:r w:rsidRPr="001D31C7">
          <w:rPr>
            <w:rStyle w:val="Hipervnculo"/>
            <w:rFonts w:ascii="Roboto" w:hAnsi="Roboto" w:cs="Arial"/>
            <w:sz w:val="22"/>
            <w:szCs w:val="22"/>
            <w:lang w:val="es-ES"/>
          </w:rPr>
          <w:t>e</w:t>
        </w:r>
      </w:hyperlink>
      <w:r w:rsidRPr="001D31C7">
        <w:rPr>
          <w:rFonts w:ascii="Roboto" w:hAnsi="Roboto" w:cs="Arial"/>
          <w:sz w:val="22"/>
          <w:szCs w:val="22"/>
          <w:lang w:val="es-ES"/>
        </w:rPr>
        <w:t>.</w:t>
      </w:r>
    </w:p>
    <w:p w14:paraId="58AAAD15" w14:textId="1E09DB4F"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Podéis obtener información más detallada en el siguiente </w:t>
      </w:r>
      <w:hyperlink r:id="rId9" w:history="1">
        <w:r w:rsidRPr="001D31C7">
          <w:rPr>
            <w:rStyle w:val="Hipervnculo"/>
            <w:rFonts w:ascii="Roboto" w:hAnsi="Roboto" w:cs="Arial"/>
            <w:sz w:val="22"/>
            <w:szCs w:val="22"/>
            <w:lang w:val="es-ES"/>
          </w:rPr>
          <w:t>enl</w:t>
        </w:r>
        <w:r w:rsidRPr="001D31C7">
          <w:rPr>
            <w:rStyle w:val="Hipervnculo"/>
            <w:rFonts w:ascii="Roboto" w:hAnsi="Roboto" w:cs="Arial"/>
            <w:sz w:val="22"/>
            <w:szCs w:val="22"/>
            <w:lang w:val="es-ES"/>
          </w:rPr>
          <w:t>a</w:t>
        </w:r>
        <w:r w:rsidRPr="001D31C7">
          <w:rPr>
            <w:rStyle w:val="Hipervnculo"/>
            <w:rFonts w:ascii="Roboto" w:hAnsi="Roboto" w:cs="Arial"/>
            <w:sz w:val="22"/>
            <w:szCs w:val="22"/>
            <w:lang w:val="es-ES"/>
          </w:rPr>
          <w:t>ce</w:t>
        </w:r>
      </w:hyperlink>
    </w:p>
    <w:p w14:paraId="26BEED0A"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POR PARTE DE LA UNIVERSIDAD:</w:t>
      </w:r>
    </w:p>
    <w:p w14:paraId="059851BB"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 xml:space="preserve">Tiene la condición de responsable del tratamiento: Gerencia. </w:t>
      </w:r>
    </w:p>
    <w:p w14:paraId="3F843625" w14:textId="77777777" w:rsidR="00EE377A" w:rsidRPr="001D31C7" w:rsidRDefault="00EE377A" w:rsidP="00796AE8">
      <w:pPr>
        <w:pStyle w:val="Standard"/>
        <w:spacing w:after="120" w:line="276" w:lineRule="auto"/>
        <w:jc w:val="both"/>
        <w:rPr>
          <w:rFonts w:ascii="Roboto" w:hAnsi="Roboto" w:cs="Arial"/>
          <w:sz w:val="22"/>
          <w:szCs w:val="22"/>
          <w:lang w:val="es-ES"/>
        </w:rPr>
      </w:pPr>
      <w:r w:rsidRPr="001D31C7">
        <w:rPr>
          <w:rFonts w:ascii="Roboto" w:hAnsi="Roboto" w:cs="Arial"/>
          <w:sz w:val="22"/>
          <w:szCs w:val="22"/>
          <w:lang w:val="es-ES"/>
        </w:rPr>
        <w:t>Y estando las partes de acuerdo con el contenido de este documento, para dejar constancia y en prueba de conformidad, se firma este convenio</w:t>
      </w:r>
      <w:r w:rsidR="00F4758B" w:rsidRPr="001D31C7">
        <w:rPr>
          <w:rFonts w:ascii="Roboto" w:hAnsi="Roboto" w:cs="Arial"/>
          <w:sz w:val="22"/>
          <w:szCs w:val="22"/>
          <w:lang w:val="es-ES"/>
        </w:rPr>
        <w:t xml:space="preserve"> en </w:t>
      </w:r>
      <w:r w:rsidRPr="001D31C7">
        <w:rPr>
          <w:rFonts w:ascii="Roboto" w:hAnsi="Roboto" w:cs="Arial"/>
          <w:sz w:val="22"/>
          <w:szCs w:val="22"/>
          <w:lang w:val="es-ES"/>
        </w:rPr>
        <w:t xml:space="preserve">la fecha </w:t>
      </w:r>
      <w:r w:rsidR="00F4758B" w:rsidRPr="001D31C7">
        <w:rPr>
          <w:rFonts w:ascii="Roboto" w:hAnsi="Roboto" w:cs="Arial"/>
          <w:sz w:val="22"/>
          <w:szCs w:val="22"/>
          <w:lang w:val="es-ES"/>
        </w:rPr>
        <w:t>de la firma digital</w:t>
      </w:r>
      <w:r w:rsidRPr="001D31C7">
        <w:rPr>
          <w:rFonts w:ascii="Roboto" w:hAnsi="Roboto" w:cs="Arial"/>
          <w:sz w:val="22"/>
          <w:szCs w:val="22"/>
          <w:lang w:val="es-ES"/>
        </w:rPr>
        <w:t>.</w:t>
      </w:r>
    </w:p>
    <w:p w14:paraId="4E1E00A8" w14:textId="77777777" w:rsidR="00EE377A" w:rsidRPr="001D31C7" w:rsidRDefault="00EE377A" w:rsidP="00796AE8">
      <w:pPr>
        <w:pStyle w:val="Standard"/>
        <w:spacing w:after="120" w:line="276" w:lineRule="auto"/>
        <w:jc w:val="both"/>
        <w:rPr>
          <w:rFonts w:ascii="Roboto" w:hAnsi="Roboto" w:cs="Arial"/>
          <w:sz w:val="22"/>
          <w:szCs w:val="22"/>
          <w:lang w:val="es-ES"/>
        </w:rPr>
      </w:pPr>
    </w:p>
    <w:tbl>
      <w:tblPr>
        <w:tblW w:w="0" w:type="auto"/>
        <w:jc w:val="center"/>
        <w:tblLook w:val="04A0" w:firstRow="1" w:lastRow="0" w:firstColumn="1" w:lastColumn="0" w:noHBand="0" w:noVBand="1"/>
      </w:tblPr>
      <w:tblGrid>
        <w:gridCol w:w="4552"/>
        <w:gridCol w:w="4518"/>
      </w:tblGrid>
      <w:tr w:rsidR="00EE377A" w:rsidRPr="001D31C7" w14:paraId="703C950F" w14:textId="77777777" w:rsidTr="000B1BF5">
        <w:trPr>
          <w:jc w:val="center"/>
        </w:trPr>
        <w:tc>
          <w:tcPr>
            <w:tcW w:w="4747" w:type="dxa"/>
            <w:shd w:val="clear" w:color="auto" w:fill="auto"/>
          </w:tcPr>
          <w:p w14:paraId="700C175A" w14:textId="77777777" w:rsidR="00EE377A" w:rsidRPr="001D31C7" w:rsidRDefault="00EE377A" w:rsidP="00796AE8">
            <w:pPr>
              <w:pStyle w:val="Standard"/>
              <w:spacing w:after="120" w:line="276" w:lineRule="auto"/>
              <w:jc w:val="center"/>
              <w:rPr>
                <w:rFonts w:ascii="Roboto" w:hAnsi="Roboto" w:cs="Arial"/>
                <w:sz w:val="22"/>
                <w:szCs w:val="22"/>
                <w:lang w:val="es-ES"/>
              </w:rPr>
            </w:pPr>
            <w:r w:rsidRPr="001D31C7">
              <w:rPr>
                <w:rFonts w:ascii="Roboto" w:hAnsi="Roboto" w:cs="Arial"/>
                <w:sz w:val="22"/>
                <w:szCs w:val="22"/>
                <w:lang w:val="es-ES"/>
              </w:rPr>
              <w:t>EL SECRETARIO AUTONÓMICO DE RELACIONES INSTITUCIONALES Y TRANSPARENCIA</w:t>
            </w:r>
          </w:p>
        </w:tc>
        <w:tc>
          <w:tcPr>
            <w:tcW w:w="4747" w:type="dxa"/>
            <w:shd w:val="clear" w:color="auto" w:fill="auto"/>
          </w:tcPr>
          <w:p w14:paraId="1AE8CE3C" w14:textId="5A19372E" w:rsidR="00EE377A" w:rsidRPr="001D31C7" w:rsidRDefault="00EE377A" w:rsidP="00796AE8">
            <w:pPr>
              <w:pStyle w:val="Standard"/>
              <w:spacing w:after="120" w:line="276" w:lineRule="auto"/>
              <w:jc w:val="center"/>
              <w:rPr>
                <w:rFonts w:ascii="Roboto" w:hAnsi="Roboto" w:cs="Arial"/>
                <w:sz w:val="22"/>
                <w:szCs w:val="22"/>
                <w:lang w:val="es-ES"/>
              </w:rPr>
            </w:pPr>
            <w:r w:rsidRPr="001D31C7">
              <w:rPr>
                <w:rFonts w:ascii="Roboto" w:hAnsi="Roboto" w:cs="Arial"/>
                <w:sz w:val="22"/>
                <w:szCs w:val="22"/>
                <w:lang w:val="es-ES"/>
              </w:rPr>
              <w:t>LA RECTORA DE LA UNIVERSIDAD D</w:t>
            </w:r>
            <w:r w:rsidR="00431214">
              <w:rPr>
                <w:rFonts w:ascii="Roboto" w:hAnsi="Roboto" w:cs="Arial"/>
                <w:sz w:val="22"/>
                <w:szCs w:val="22"/>
                <w:lang w:val="es-ES"/>
              </w:rPr>
              <w:t>E</w:t>
            </w:r>
            <w:r w:rsidRPr="001D31C7">
              <w:rPr>
                <w:rFonts w:ascii="Roboto" w:hAnsi="Roboto" w:cs="Arial"/>
                <w:sz w:val="22"/>
                <w:szCs w:val="22"/>
                <w:lang w:val="es-ES"/>
              </w:rPr>
              <w:t xml:space="preserve"> ALICANTE</w:t>
            </w:r>
          </w:p>
        </w:tc>
      </w:tr>
    </w:tbl>
    <w:p w14:paraId="5F2F424E" w14:textId="77777777" w:rsidR="00EE377A" w:rsidRPr="001D31C7" w:rsidRDefault="00EE377A" w:rsidP="00796AE8">
      <w:pPr>
        <w:pStyle w:val="Standard"/>
        <w:spacing w:after="120" w:line="276" w:lineRule="auto"/>
        <w:jc w:val="both"/>
        <w:rPr>
          <w:rFonts w:ascii="Roboto" w:hAnsi="Roboto" w:cs="Arial"/>
          <w:sz w:val="22"/>
          <w:szCs w:val="22"/>
          <w:lang w:val="es-ES"/>
        </w:rPr>
      </w:pPr>
    </w:p>
    <w:p w14:paraId="330F8CDE" w14:textId="77777777" w:rsidR="00EE377A" w:rsidRPr="001D31C7" w:rsidRDefault="00EE377A" w:rsidP="00796AE8">
      <w:pPr>
        <w:pStyle w:val="Standard"/>
        <w:spacing w:after="120" w:line="276" w:lineRule="auto"/>
        <w:jc w:val="both"/>
        <w:rPr>
          <w:rFonts w:ascii="Roboto" w:hAnsi="Roboto" w:cs="Arial"/>
          <w:sz w:val="22"/>
          <w:szCs w:val="22"/>
          <w:lang w:val="es-ES"/>
        </w:rPr>
      </w:pPr>
    </w:p>
    <w:p w14:paraId="769BF504" w14:textId="77777777" w:rsidR="00EE377A" w:rsidRPr="001D31C7" w:rsidRDefault="00EE377A" w:rsidP="00796AE8">
      <w:pPr>
        <w:pStyle w:val="Standard"/>
        <w:spacing w:after="120" w:line="276" w:lineRule="auto"/>
        <w:jc w:val="both"/>
        <w:rPr>
          <w:rFonts w:ascii="Roboto" w:hAnsi="Roboto" w:cs="Arial"/>
          <w:sz w:val="22"/>
          <w:szCs w:val="22"/>
          <w:lang w:val="es-ES"/>
        </w:rPr>
      </w:pPr>
    </w:p>
    <w:p w14:paraId="58138886" w14:textId="77777777" w:rsidR="00EE377A" w:rsidRPr="001D31C7" w:rsidRDefault="00EE377A" w:rsidP="00796AE8">
      <w:pPr>
        <w:pStyle w:val="Standard"/>
        <w:spacing w:after="120" w:line="276" w:lineRule="auto"/>
        <w:jc w:val="both"/>
        <w:rPr>
          <w:rFonts w:ascii="Roboto" w:hAnsi="Roboto" w:cs="Arial"/>
          <w:sz w:val="22"/>
          <w:szCs w:val="22"/>
          <w:lang w:val="es-ES"/>
        </w:rPr>
      </w:pPr>
    </w:p>
    <w:p w14:paraId="6331C91C" w14:textId="77777777" w:rsidR="00EE377A" w:rsidRPr="001D31C7" w:rsidRDefault="00EE377A" w:rsidP="00796AE8">
      <w:pPr>
        <w:pStyle w:val="Standard"/>
        <w:spacing w:after="120" w:line="276" w:lineRule="auto"/>
        <w:jc w:val="both"/>
        <w:rPr>
          <w:rFonts w:ascii="Roboto" w:hAnsi="Roboto" w:cs="Arial"/>
          <w:sz w:val="22"/>
          <w:szCs w:val="22"/>
          <w:lang w:val="es-ES"/>
        </w:rPr>
      </w:pPr>
    </w:p>
    <w:sectPr w:rsidR="00EE377A" w:rsidRPr="001D31C7" w:rsidSect="00CA53A3">
      <w:headerReference w:type="even" r:id="rId10"/>
      <w:headerReference w:type="default" r:id="rId11"/>
      <w:footerReference w:type="even" r:id="rId12"/>
      <w:footerReference w:type="default" r:id="rId13"/>
      <w:headerReference w:type="first" r:id="rId14"/>
      <w:footerReference w:type="first" r:id="rId15"/>
      <w:pgSz w:w="11906" w:h="16838"/>
      <w:pgMar w:top="1985" w:right="1418" w:bottom="1134" w:left="1418" w:header="720"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524E1" w14:textId="77777777" w:rsidR="00CB06C2" w:rsidRDefault="00CB06C2">
      <w:r>
        <w:separator/>
      </w:r>
    </w:p>
  </w:endnote>
  <w:endnote w:type="continuationSeparator" w:id="0">
    <w:p w14:paraId="5E04617E" w14:textId="77777777" w:rsidR="00CB06C2" w:rsidRDefault="00CB0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1239" w14:textId="77777777" w:rsidR="005665E0" w:rsidRDefault="005665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EBC5" w14:textId="77777777" w:rsidR="004879B3" w:rsidRPr="004879B3" w:rsidRDefault="004879B3" w:rsidP="004879B3">
    <w:pPr>
      <w:pStyle w:val="Piedepgina"/>
      <w:jc w:val="center"/>
      <w:rPr>
        <w:rFonts w:ascii="Roboto" w:hAnsi="Roboto"/>
        <w:sz w:val="18"/>
        <w:szCs w:val="18"/>
      </w:rPr>
    </w:pPr>
    <w:r w:rsidRPr="004879B3">
      <w:rPr>
        <w:rFonts w:ascii="Roboto" w:hAnsi="Roboto"/>
        <w:sz w:val="18"/>
        <w:szCs w:val="18"/>
      </w:rPr>
      <w:fldChar w:fldCharType="begin"/>
    </w:r>
    <w:r w:rsidRPr="004879B3">
      <w:rPr>
        <w:rFonts w:ascii="Roboto" w:hAnsi="Roboto"/>
        <w:sz w:val="18"/>
        <w:szCs w:val="18"/>
      </w:rPr>
      <w:instrText>PAGE</w:instrText>
    </w:r>
    <w:r w:rsidRPr="004879B3">
      <w:rPr>
        <w:rFonts w:ascii="Roboto" w:hAnsi="Roboto"/>
        <w:sz w:val="18"/>
        <w:szCs w:val="18"/>
      </w:rPr>
      <w:fldChar w:fldCharType="separate"/>
    </w:r>
    <w:r w:rsidRPr="004879B3">
      <w:rPr>
        <w:rFonts w:ascii="Roboto" w:hAnsi="Roboto"/>
        <w:sz w:val="18"/>
        <w:szCs w:val="18"/>
        <w:lang w:val="es-ES"/>
      </w:rPr>
      <w:t>2</w:t>
    </w:r>
    <w:r w:rsidRPr="004879B3">
      <w:rPr>
        <w:rFonts w:ascii="Roboto" w:hAnsi="Roboto"/>
        <w:sz w:val="18"/>
        <w:szCs w:val="18"/>
      </w:rPr>
      <w:fldChar w:fldCharType="end"/>
    </w:r>
    <w:r w:rsidRPr="004879B3">
      <w:rPr>
        <w:rFonts w:ascii="Roboto" w:hAnsi="Roboto"/>
        <w:sz w:val="18"/>
        <w:szCs w:val="18"/>
        <w:lang w:val="es-ES"/>
      </w:rPr>
      <w:t xml:space="preserve"> de </w:t>
    </w:r>
    <w:r w:rsidRPr="004879B3">
      <w:rPr>
        <w:rFonts w:ascii="Roboto" w:hAnsi="Roboto"/>
        <w:sz w:val="18"/>
        <w:szCs w:val="18"/>
      </w:rPr>
      <w:fldChar w:fldCharType="begin"/>
    </w:r>
    <w:r w:rsidRPr="004879B3">
      <w:rPr>
        <w:rFonts w:ascii="Roboto" w:hAnsi="Roboto"/>
        <w:sz w:val="18"/>
        <w:szCs w:val="18"/>
      </w:rPr>
      <w:instrText>NUMPAGES</w:instrText>
    </w:r>
    <w:r w:rsidRPr="004879B3">
      <w:rPr>
        <w:rFonts w:ascii="Roboto" w:hAnsi="Roboto"/>
        <w:sz w:val="18"/>
        <w:szCs w:val="18"/>
      </w:rPr>
      <w:fldChar w:fldCharType="separate"/>
    </w:r>
    <w:r w:rsidRPr="004879B3">
      <w:rPr>
        <w:rFonts w:ascii="Roboto" w:hAnsi="Roboto"/>
        <w:sz w:val="18"/>
        <w:szCs w:val="18"/>
        <w:lang w:val="es-ES"/>
      </w:rPr>
      <w:t>2</w:t>
    </w:r>
    <w:r w:rsidRPr="004879B3">
      <w:rPr>
        <w:rFonts w:ascii="Roboto" w:hAnsi="Roboto"/>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237E" w14:textId="77777777" w:rsidR="005665E0" w:rsidRDefault="005665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D19B5" w14:textId="77777777" w:rsidR="00CB06C2" w:rsidRDefault="00CB06C2">
      <w:r>
        <w:rPr>
          <w:color w:val="000000"/>
        </w:rPr>
        <w:separator/>
      </w:r>
    </w:p>
  </w:footnote>
  <w:footnote w:type="continuationSeparator" w:id="0">
    <w:p w14:paraId="2B6301B8" w14:textId="77777777" w:rsidR="00CB06C2" w:rsidRDefault="00CB0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CCC36" w14:textId="77777777" w:rsidR="005665E0" w:rsidRDefault="005665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1D119" w14:textId="5264AC5E" w:rsidR="00894892" w:rsidRDefault="005665E0" w:rsidP="00894892">
    <w:pPr>
      <w:pStyle w:val="Encabezado"/>
      <w:tabs>
        <w:tab w:val="clear" w:pos="8504"/>
      </w:tabs>
      <w:ind w:left="-833" w:right="-2"/>
      <w:jc w:val="right"/>
      <w:rPr>
        <w:rFonts w:ascii="Roboto" w:hAnsi="Roboto" w:cs="Times New Roman"/>
        <w:color w:val="C00000"/>
        <w:sz w:val="16"/>
        <w:szCs w:val="16"/>
        <w:lang w:eastAsia="es-ES_tradnl"/>
      </w:rPr>
    </w:pPr>
    <w:r>
      <w:rPr>
        <w:rFonts w:ascii="Roboto" w:hAnsi="Roboto" w:cs="Times New Roman"/>
        <w:noProof/>
        <w:color w:val="C00000"/>
        <w:sz w:val="16"/>
        <w:szCs w:val="16"/>
        <w:lang w:eastAsia="es-ES_tradnl"/>
      </w:rPr>
      <w:drawing>
        <wp:anchor distT="0" distB="0" distL="114300" distR="114300" simplePos="0" relativeHeight="251659264" behindDoc="0" locked="0" layoutInCell="1" allowOverlap="1" wp14:anchorId="7B3583E3" wp14:editId="0A74521B">
          <wp:simplePos x="0" y="0"/>
          <wp:positionH relativeFrom="column">
            <wp:posOffset>-33907</wp:posOffset>
          </wp:positionH>
          <wp:positionV relativeFrom="paragraph">
            <wp:posOffset>-93980</wp:posOffset>
          </wp:positionV>
          <wp:extent cx="1479599" cy="619200"/>
          <wp:effectExtent l="0" t="0" r="6301" b="9450"/>
          <wp:wrapThrough wrapText="bothSides">
            <wp:wrapPolygon edited="0">
              <wp:start x="0" y="0"/>
              <wp:lineTo x="0" y="21265"/>
              <wp:lineTo x="21414" y="21265"/>
              <wp:lineTo x="21414" y="0"/>
              <wp:lineTo x="0" y="0"/>
            </wp:wrapPolygon>
          </wp:wrapThrough>
          <wp:docPr id="4"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479599" cy="619200"/>
                  </a:xfrm>
                  <a:prstGeom prst="rect">
                    <a:avLst/>
                  </a:prstGeom>
                  <a:noFill/>
                  <a:ln>
                    <a:noFill/>
                    <a:prstDash/>
                  </a:ln>
                </pic:spPr>
              </pic:pic>
            </a:graphicData>
          </a:graphic>
          <wp14:sizeRelV relativeFrom="margin">
            <wp14:pctHeight>0</wp14:pctHeight>
          </wp14:sizeRelV>
        </wp:anchor>
      </w:drawing>
    </w:r>
    <w:r w:rsidR="00431214">
      <w:rPr>
        <w:noProof/>
      </w:rPr>
      <w:drawing>
        <wp:inline distT="0" distB="0" distL="0" distR="0" wp14:anchorId="3B2FE50A" wp14:editId="5F90D5BD">
          <wp:extent cx="2078990" cy="4140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78990" cy="414020"/>
                  </a:xfrm>
                  <a:prstGeom prst="rect">
                    <a:avLst/>
                  </a:prstGeom>
                  <a:noFill/>
                  <a:ln>
                    <a:noFill/>
                  </a:ln>
                </pic:spPr>
              </pic:pic>
            </a:graphicData>
          </a:graphic>
        </wp:inline>
      </w:drawing>
    </w:r>
  </w:p>
  <w:p w14:paraId="046F6B7A" w14:textId="77777777" w:rsidR="00D53E11" w:rsidRDefault="00D53E1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9FEA9" w14:textId="1D961895" w:rsidR="00770C03" w:rsidRDefault="00431214">
    <w:pPr>
      <w:pStyle w:val="Encabezado"/>
      <w:ind w:left="1985" w:right="851"/>
      <w:rPr>
        <w:rFonts w:ascii="Roboto" w:hAnsi="Roboto" w:cs="Times New Roman"/>
        <w:color w:val="C00000"/>
        <w:sz w:val="16"/>
        <w:szCs w:val="16"/>
        <w:lang w:eastAsia="es-ES_tradnl"/>
      </w:rPr>
    </w:pPr>
    <w:r>
      <w:rPr>
        <w:noProof/>
      </w:rPr>
      <w:drawing>
        <wp:anchor distT="0" distB="0" distL="114300" distR="114300" simplePos="0" relativeHeight="251657216" behindDoc="0" locked="0" layoutInCell="1" allowOverlap="1" wp14:anchorId="4C37A7AF" wp14:editId="2C9CFCAC">
          <wp:simplePos x="0" y="0"/>
          <wp:positionH relativeFrom="column">
            <wp:posOffset>-18415</wp:posOffset>
          </wp:positionH>
          <wp:positionV relativeFrom="paragraph">
            <wp:posOffset>-60960</wp:posOffset>
          </wp:positionV>
          <wp:extent cx="1479550" cy="619125"/>
          <wp:effectExtent l="0" t="0" r="0" b="0"/>
          <wp:wrapThrough wrapText="bothSides">
            <wp:wrapPolygon edited="0">
              <wp:start x="0" y="0"/>
              <wp:lineTo x="0" y="21268"/>
              <wp:lineTo x="21415" y="21268"/>
              <wp:lineTo x="21415" y="0"/>
              <wp:lineTo x="0" y="0"/>
            </wp:wrapPolygon>
          </wp:wrapThrough>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550" cy="619125"/>
                  </a:xfrm>
                  <a:prstGeom prst="rect">
                    <a:avLst/>
                  </a:prstGeom>
                  <a:noFill/>
                </pic:spPr>
              </pic:pic>
            </a:graphicData>
          </a:graphic>
          <wp14:sizeRelH relativeFrom="page">
            <wp14:pctWidth>0</wp14:pctWidth>
          </wp14:sizeRelH>
          <wp14:sizeRelV relativeFrom="page">
            <wp14:pctHeight>0</wp14:pctHeight>
          </wp14:sizeRelV>
        </wp:anchor>
      </w:drawing>
    </w:r>
  </w:p>
  <w:p w14:paraId="238BA583" w14:textId="77777777" w:rsidR="00770C03" w:rsidRDefault="00770C03">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A109A"/>
    <w:multiLevelType w:val="hybridMultilevel"/>
    <w:tmpl w:val="3424B8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95D2CFD"/>
    <w:multiLevelType w:val="hybridMultilevel"/>
    <w:tmpl w:val="721E63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CDE35B6"/>
    <w:multiLevelType w:val="hybridMultilevel"/>
    <w:tmpl w:val="735873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 w15:restartNumberingAfterBreak="0">
    <w:nsid w:val="5EA10C62"/>
    <w:multiLevelType w:val="hybridMultilevel"/>
    <w:tmpl w:val="5D725A2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71AB0DEC"/>
    <w:multiLevelType w:val="hybridMultilevel"/>
    <w:tmpl w:val="B09CD41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751C069A"/>
    <w:multiLevelType w:val="hybridMultilevel"/>
    <w:tmpl w:val="1EB0BC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2103378894">
    <w:abstractNumId w:val="3"/>
  </w:num>
  <w:num w:numId="2" w16cid:durableId="931357062">
    <w:abstractNumId w:val="1"/>
  </w:num>
  <w:num w:numId="3" w16cid:durableId="376122149">
    <w:abstractNumId w:val="2"/>
  </w:num>
  <w:num w:numId="4" w16cid:durableId="1890409754">
    <w:abstractNumId w:val="6"/>
  </w:num>
  <w:num w:numId="5" w16cid:durableId="90010972">
    <w:abstractNumId w:val="0"/>
  </w:num>
  <w:num w:numId="6" w16cid:durableId="752118378">
    <w:abstractNumId w:val="5"/>
  </w:num>
  <w:num w:numId="7" w16cid:durableId="611130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01E3"/>
    <w:rsid w:val="00072DD9"/>
    <w:rsid w:val="00086DC7"/>
    <w:rsid w:val="000A54F1"/>
    <w:rsid w:val="000B1BF5"/>
    <w:rsid w:val="000C04A9"/>
    <w:rsid w:val="000E3142"/>
    <w:rsid w:val="000F6273"/>
    <w:rsid w:val="001170D3"/>
    <w:rsid w:val="00120D41"/>
    <w:rsid w:val="00172C17"/>
    <w:rsid w:val="001C6DA1"/>
    <w:rsid w:val="001D31C7"/>
    <w:rsid w:val="001E7535"/>
    <w:rsid w:val="002A0B87"/>
    <w:rsid w:val="0032343C"/>
    <w:rsid w:val="003F3335"/>
    <w:rsid w:val="003F7B81"/>
    <w:rsid w:val="00431214"/>
    <w:rsid w:val="004879B3"/>
    <w:rsid w:val="004C0383"/>
    <w:rsid w:val="004C5022"/>
    <w:rsid w:val="004E75D7"/>
    <w:rsid w:val="004F4D5F"/>
    <w:rsid w:val="005303BF"/>
    <w:rsid w:val="0055322F"/>
    <w:rsid w:val="005665E0"/>
    <w:rsid w:val="00616993"/>
    <w:rsid w:val="00692A49"/>
    <w:rsid w:val="006A16E5"/>
    <w:rsid w:val="006A173F"/>
    <w:rsid w:val="006A5902"/>
    <w:rsid w:val="006C1592"/>
    <w:rsid w:val="006E6F0D"/>
    <w:rsid w:val="00726846"/>
    <w:rsid w:val="00750EC2"/>
    <w:rsid w:val="00770C03"/>
    <w:rsid w:val="00796AE8"/>
    <w:rsid w:val="007C1EC3"/>
    <w:rsid w:val="007E01AA"/>
    <w:rsid w:val="007F2835"/>
    <w:rsid w:val="008833A2"/>
    <w:rsid w:val="00894892"/>
    <w:rsid w:val="008B66B8"/>
    <w:rsid w:val="009012B5"/>
    <w:rsid w:val="009378AF"/>
    <w:rsid w:val="009D6BAA"/>
    <w:rsid w:val="00A02391"/>
    <w:rsid w:val="00A21F92"/>
    <w:rsid w:val="00A62185"/>
    <w:rsid w:val="00A76216"/>
    <w:rsid w:val="00A90B78"/>
    <w:rsid w:val="00AE3D7F"/>
    <w:rsid w:val="00B37AE8"/>
    <w:rsid w:val="00B43492"/>
    <w:rsid w:val="00B60BA8"/>
    <w:rsid w:val="00BD51AC"/>
    <w:rsid w:val="00BE455F"/>
    <w:rsid w:val="00C26E36"/>
    <w:rsid w:val="00CA2CBC"/>
    <w:rsid w:val="00CA53A3"/>
    <w:rsid w:val="00CB06C2"/>
    <w:rsid w:val="00CF5F10"/>
    <w:rsid w:val="00CF7037"/>
    <w:rsid w:val="00D53E11"/>
    <w:rsid w:val="00D86484"/>
    <w:rsid w:val="00D948CE"/>
    <w:rsid w:val="00DB617D"/>
    <w:rsid w:val="00DC4270"/>
    <w:rsid w:val="00DF1B17"/>
    <w:rsid w:val="00E8707E"/>
    <w:rsid w:val="00E94081"/>
    <w:rsid w:val="00EE377A"/>
    <w:rsid w:val="00F13C12"/>
    <w:rsid w:val="00F22519"/>
    <w:rsid w:val="00F32735"/>
    <w:rsid w:val="00F376D8"/>
    <w:rsid w:val="00F43555"/>
    <w:rsid w:val="00F4758B"/>
    <w:rsid w:val="00F60C4B"/>
    <w:rsid w:val="00F76F7E"/>
    <w:rsid w:val="00FB1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E368F"/>
  <w15:docId w15:val="{CF69A37B-2A62-4D86-8973-AA4F3BA5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styleId="Hipervnculo">
    <w:name w:val="Hyperlink"/>
    <w:uiPriority w:val="99"/>
    <w:unhideWhenUsed/>
    <w:rsid w:val="00DF1B17"/>
    <w:rPr>
      <w:color w:val="0563C1"/>
      <w:u w:val="single"/>
    </w:rPr>
  </w:style>
  <w:style w:type="character" w:styleId="Mencinsinresolver">
    <w:name w:val="Unresolved Mention"/>
    <w:uiPriority w:val="99"/>
    <w:semiHidden/>
    <w:unhideWhenUsed/>
    <w:rsid w:val="00DF1B17"/>
    <w:rPr>
      <w:color w:val="605E5C"/>
      <w:shd w:val="clear" w:color="auto" w:fill="E1DFDD"/>
    </w:rPr>
  </w:style>
  <w:style w:type="character" w:styleId="Hipervnculovisitado">
    <w:name w:val="FollowedHyperlink"/>
    <w:basedOn w:val="Fuentedeprrafopredeter"/>
    <w:uiPriority w:val="99"/>
    <w:semiHidden/>
    <w:unhideWhenUsed/>
    <w:rsid w:val="00431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1997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gva.es/es/inicio/procedimientos?id_proc=G18487"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esidencia.gva.es/es/proteccio-de-dad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4927</Words>
  <Characters>27104</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31968</CharactersWithSpaces>
  <SharedDoc>false</SharedDoc>
  <HLinks>
    <vt:vector size="18" baseType="variant">
      <vt:variant>
        <vt:i4>720991</vt:i4>
      </vt:variant>
      <vt:variant>
        <vt:i4>6</vt:i4>
      </vt:variant>
      <vt:variant>
        <vt:i4>0</vt:i4>
      </vt:variant>
      <vt:variant>
        <vt:i4>5</vt:i4>
      </vt:variant>
      <vt:variant>
        <vt:lpwstr>https://presidencia.gva.es/es/proteccio-de-dades</vt:lpwstr>
      </vt:variant>
      <vt:variant>
        <vt:lpwstr/>
      </vt:variant>
      <vt:variant>
        <vt:i4>5505150</vt:i4>
      </vt:variant>
      <vt:variant>
        <vt:i4>3</vt:i4>
      </vt:variant>
      <vt:variant>
        <vt:i4>0</vt:i4>
      </vt:variant>
      <vt:variant>
        <vt:i4>5</vt:i4>
      </vt:variant>
      <vt:variant>
        <vt:lpwstr>https://www.gva.es/va/inicio/procedimientos?id_proc=19970</vt:lpwstr>
      </vt:variant>
      <vt:variant>
        <vt:lpwstr/>
      </vt:variant>
      <vt:variant>
        <vt:i4>6815761</vt:i4>
      </vt:variant>
      <vt:variant>
        <vt:i4>0</vt:i4>
      </vt:variant>
      <vt:variant>
        <vt:i4>0</vt:i4>
      </vt:variant>
      <vt:variant>
        <vt:i4>5</vt:i4>
      </vt:variant>
      <vt:variant>
        <vt:lpwstr>https://www.gva.es/va/inicio/procedimientos?id_proc=G18487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3</cp:revision>
  <cp:lastPrinted>2024-05-09T09:35:00Z</cp:lastPrinted>
  <dcterms:created xsi:type="dcterms:W3CDTF">2024-05-10T12:01:00Z</dcterms:created>
  <dcterms:modified xsi:type="dcterms:W3CDTF">2024-05-10T12:03:00Z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